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11,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CM LIFE SCIENCES,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6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Delaware</w:t>
            </w:r>
          </w:p>
        </w:tc>
        <w:tc>
          <w:tcPr>
            <w:tcW w:w="448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0"/>
              </w:rPr>
              <w:t>001-39482</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85-1966622</w:t>
            </w:r>
          </w:p>
        </w:tc>
      </w:tr>
      <w:tr>
        <w:trPr>
          <w:trHeight w:val="202"/>
        </w:trPr>
        <w:tc>
          <w:tcPr>
            <w:tcW w:w="296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960" w:type="dxa"/>
            <w:vAlign w:val="bottom"/>
          </w:tcPr>
          <w:p>
            <w:pPr>
              <w:jc w:val="center"/>
              <w:ind w:left="570"/>
              <w:spacing w:after="0"/>
              <w:rPr>
                <w:sz w:val="20"/>
                <w:szCs w:val="20"/>
                <w:color w:val="auto"/>
              </w:rPr>
            </w:pPr>
            <w:r>
              <w:rPr>
                <w:rFonts w:ascii="Arial" w:cs="Arial" w:eastAsia="Arial" w:hAnsi="Arial"/>
                <w:sz w:val="18"/>
                <w:szCs w:val="18"/>
                <w:color w:val="auto"/>
                <w:w w:val="93"/>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Arial" w:cs="Arial" w:eastAsia="Arial" w:hAnsi="Arial"/>
                <w:sz w:val="18"/>
                <w:szCs w:val="18"/>
                <w:color w:val="auto"/>
                <w:w w:val="92"/>
              </w:rPr>
              <w:t>File Number)</w:t>
            </w:r>
          </w:p>
        </w:tc>
        <w:tc>
          <w:tcPr>
            <w:tcW w:w="282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c/o Corvex Management LP</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9"/>
              </w:rPr>
              <w:t>667 Madison Avenue</w:t>
            </w:r>
          </w:p>
        </w:tc>
        <w:tc>
          <w:tcPr>
            <w:tcW w:w="2820" w:type="dxa"/>
            <w:vAlign w:val="bottom"/>
          </w:tcPr>
          <w:p>
            <w:pPr>
              <w:spacing w:after="0"/>
              <w:rPr>
                <w:sz w:val="18"/>
                <w:szCs w:val="18"/>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3"/>
              </w:rPr>
              <w:t>New York, New York</w:t>
            </w:r>
          </w:p>
        </w:tc>
        <w:tc>
          <w:tcPr>
            <w:tcW w:w="2820" w:type="dxa"/>
            <w:vAlign w:val="bottom"/>
          </w:tcPr>
          <w:p>
            <w:pPr>
              <w:spacing w:after="0"/>
              <w:rPr>
                <w:sz w:val="19"/>
                <w:szCs w:val="19"/>
                <w:color w:val="auto"/>
              </w:rPr>
            </w:pPr>
          </w:p>
        </w:tc>
      </w:tr>
      <w:tr>
        <w:trPr>
          <w:trHeight w:val="230"/>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474-6745</w:t>
            </w:r>
          </w:p>
        </w:tc>
        <w:tc>
          <w:tcPr>
            <w:tcW w:w="2820" w:type="dxa"/>
            <w:vAlign w:val="bottom"/>
          </w:tcPr>
          <w:p>
            <w:pPr>
              <w:spacing w:after="0"/>
              <w:rPr>
                <w:sz w:val="24"/>
                <w:szCs w:val="24"/>
                <w:color w:val="auto"/>
              </w:rPr>
            </w:pPr>
          </w:p>
        </w:tc>
      </w:tr>
      <w:tr>
        <w:trPr>
          <w:trHeight w:val="418"/>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Not Applicable</w:t>
            </w:r>
          </w:p>
        </w:tc>
        <w:tc>
          <w:tcPr>
            <w:tcW w:w="282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800" w:hanging="792"/>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800" w:hanging="792"/>
        <w:spacing w:after="0"/>
        <w:tabs>
          <w:tab w:leader="none" w:pos="8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00" w:hanging="792"/>
        <w:spacing w:after="0"/>
        <w:tabs>
          <w:tab w:leader="none" w:pos="8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þ</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previously reported, on February 10, 2021, CM Life Sciences, Inc. (“CMLS” or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This Current Report on Form 8-K provides a summary of the Merger Agreement and the other agreements entered into and contemplated in connection with the Business Combination. The descriptions of these agreements do not purport to be complete and are qualified in their entirety by the terms and conditions of such agreements, copies of which are attached here as Exhibits 2.1, 10.1, 10.2, 10.3, 10.4 and 10.5 hereto.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10, 2021, CMLS entered into the Merger Agreement with Sema4 and S-IV Sub, Inc., a Delaware corporation and a direct, wholly-owned subsidiary of the Company (“Merger Sub”).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terms of the Merger Agreement, CMLS will acquire Sema4 through the merger of Merger Sub with and into Sema4, with Sema4 surviving as a wholly-owned subsidiary of CMLS (the “Merger”) and, in connection with the Merger, CMLS’s name will be changed to a name to be determined by Sema4 (and reasonably acceptable to CMLS).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Business Combination was unanimously approved by the boards of directors of each of CMLS and Sema4.</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CMLS’s stockholders and the satisfaction of certain other customary closing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Consideration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87" w:lineRule="exact"/>
        <w:rPr>
          <w:sz w:val="20"/>
          <w:szCs w:val="20"/>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CMLS (the “Common Stock”) equal to the quotient of: (i) (A) the product of</w:t>
      </w:r>
    </w:p>
    <w:p>
      <w:pPr>
        <w:spacing w:after="0" w:line="46" w:lineRule="exact"/>
        <w:rPr>
          <w:rFonts w:ascii="Arial" w:cs="Arial" w:eastAsia="Arial" w:hAnsi="Arial"/>
          <w:sz w:val="16"/>
          <w:szCs w:val="16"/>
          <w:color w:val="auto"/>
        </w:rPr>
      </w:pPr>
    </w:p>
    <w:p>
      <w:pPr>
        <w:ind w:left="660" w:right="20" w:hanging="4"/>
        <w:spacing w:after="0" w:line="260"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such stockholder’s total shares of Sema4 Capital Stock multiplied by (y) the per share amount calculated in accordance with the Merger Agreement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amount of cash payable to such stockholder pursuant to its cash election, if any, divided by (ii) $10.</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Earnout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CMLS has agreed to take all action within its power as may be necessary or appropriate such that, effective immediately after the closing of the Business Combination, the CMLS board of directors shall consist of up to nine directors, which shall initially include: (i) Nat Turner, Emily Leproust and Eli Casdin, as designees of CMLS; and (ii) the remaining director nominees to be designated by the Company in accordance with the terms of the Merger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Representations and Warranties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Merger Agreement contains representations and warranties of the parties thereto that are customary for transactions of this type, with respect to, among other things, (a) entity organization, formation and authority, (b) capital structure, (c) authorization to enter into the Merger Agreement, (d) legal compliance and approvals, (e) financial statements and liabilities, (f) absence of changes, (g) litigation, (h) employee matters, (i) real property, (j) taxes, (k) intellectual property and privacy, (l) material contracts, (m) transactions with affiliates, (n) government grants and incentives and (o) in the case of CMLS only, (i) its public filings, (ii) the PIPE Investment (as defined below) and (iii) its trust account.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Merger Agreement includes customary covenants of the parties with respect to the operation of their respective businesses prior to the consummation of the Business Combination and efforts to satisfy the conditions to consummation of the Business Combination.</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Merger Agreement also contains additional covenants of the parties, including, among others, covenants providing for CMLS and Sema4 to use their reasonable best efforts to obtain all necessary regulatory approvals and covenants providing for CMLS, Merger Sub and Sema4 to cooperate in the preparation of the Proxy Statement (as such term is defined in the Merger Agreement) required to be filed in connection with the Business Combination.</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CMLS has agreed to adopt an equity incentive plan and employee stock purchase plan, as more fully described in the Merger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Non-Solicitation Restrictions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Except as expressly permitted by the Merger Agreement, from the date of the Merger Agreement to the Effective Time or, if earlier, the valid termination of the Merger Agreement in accordance with its terms, CMLS, Sema4 and Merger Sub have each agreed not to, among other things, (a) solicit, initiate, enter into or continue discussions, negotiations or transactions with, or encourage or respond to any inquiries or proposals by, or provide any information to, any person concerning any Company Business Combination or Parent Business Combination (each as defined in the Merger Agreement), respectively, or (b) enter into any agreements regarding, continue or otherwise participate in any discussions or negotiations regarding, or cooperate in any way that would otherwise reasonably be expected to lead to a Company Business Combination or Parent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CMLS Change in Recommendation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CMLS is required to include in the Proxy Statement the recommendation of CMLS’s board of directors to CMLS’s stockholders that they approve the transaction proposals (as such proposals are more fully set forth in the Merger Agreement, collectively, the “CMLS Board Recommendation”). CMLS is permitted to change the CMLS Board Recommendation only as required by applicable legal requirements.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Conditions to Closing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Conditions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consummation of the Merger is conditioned upon, among other things, (a) receipt of CMLS’ stockholder approval, (b) CMLS having at least $5,000,001 of net tangible assets as described under the terms of the Merger Agreement, (c) the expiration or termination of the waiting period under the Hart-Scott-Rodino Act and (d) the absence of any governmental order, statute, rule or regulation enjoining or prohibiting the consummation of the Business Combination.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Sema4’s Conditions to Closing</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obligations of Sema4 to consummate the Merger also are conditioned upon, among other things, (a) customary closing conditions, including, without limitation, CMLS’s delivery of certain agreements, (b) the amendment and restatement of CMLS’s certificate of incorporation and bylaws, respectively, in substantially the form attached to the Merger Agreement, and (c) the aggregate cash proceeds from CMLS’s trust account, together with the proceeds from the PIPE Investment (as defined below), equaling no less than $300,000,000 (after deducting any amounts paid to CMLS stockholders that exercise their redemption rights in connection with the Business Combination and any unpaid transaction expenses incurred or subject to reimbursement by CMLS or Sema4) and (d) the approval by Nasdaq of CMLS’s listing application in connection with the Business Combination.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CMLS Conditions to Closing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obligations of CMLS to consummate the Merger are also conditioned upon, among other things, customary closing conditions, including, without limitation Sema4’s delivery of certain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Merger Agreement allows the parties to terminate the Merger Agreement if certain customary conditions described in the Merger Agreement are not satisfied, including, without limitation, each party’s right to terminate, subject to certain limited exceptions, if the Business Combination is not consummated by November 9, 2021.</w:t>
      </w:r>
    </w:p>
    <w:p>
      <w:pPr>
        <w:spacing w:after="0" w:line="18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If the Merger Agreement is validly terminated, none of the parties to the Merger Agreement will have any liability or any further obligation under the Merger Agreement other than customary confidentiality obligations , except in the case of a willful and intentional breach of the Merger Agreement or intentional fraud in the making of the representations and warranties in the Merger Agreement.</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copy of the Merger Agreement is filed with this Current Report on Form 8-K as Exhibit 2.1 and is incorporated herein by reference, and the foregoing description of the Merger Agreement is qualified in its entirety by reference thereto. 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representations, warranties and covenants in the Merger Agreement are also modified in important part by the underlying disclosure schedules which are not filed publicly and which are subject to a contractual standard of materiality different from that generally applicable to stockholders and were used for the purpose of allocating risk among the parties rather than establishing matters as facts. CMLS does not believe that these schedules contain information that is material to an investment decision.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 and PIPE Investment (Private Placement)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February 10, 2021, concurrently with the execution of the Merger Agreement, CMLS entered into subscription agreements (collectively, the “Subscription Agreements”) with certain investors (collectively, the “PIPE Investors” which include certain existing equityholders of Sema4), pursuant to, and on the terms and subject to the conditions of which, the PIPE Investors have collectively subscribed for 35,000,000 shares of Common Stock for an aggregate purchase price equal to $350,000,000 (the “PIPE Investment”). The PIPE Investment will be consummated immediately prior to the closing of the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right="280" w:firstLine="648"/>
        <w:spacing w:after="0" w:line="263" w:lineRule="auto"/>
        <w:rPr>
          <w:sz w:val="20"/>
          <w:szCs w:val="20"/>
          <w:color w:val="auto"/>
        </w:rPr>
      </w:pPr>
      <w:r>
        <w:rPr>
          <w:rFonts w:ascii="Arial" w:cs="Arial" w:eastAsia="Arial" w:hAnsi="Arial"/>
          <w:sz w:val="18"/>
          <w:szCs w:val="18"/>
          <w:color w:val="auto"/>
        </w:rPr>
        <w:t>The foregoing description of the Subscription Agreements and the PIPE Investment is subject to and qualified in its entirety by reference to the full text of the form of Subscription Agreement, a copy of which is attached as Exhibit 10.1 hereto, and the terms of which are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Lock-Up Agreements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10, 2021, CMLS entered into Lock-Up Agreements (each, a “Lock Up Agreement”) with certain stockholders of Sema4, pursuant to which such stockholders have agreed, respectively, to, among other things, customary lock-up restrictions following the closing of the Business Combination.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Lock-Up Agreements is subject to and qualified in its entirety by reference to the full text of the form of Lock-Up Agreements, the form of which is attached as Exhibit 10.2 hereto, and the terms of which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Support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10, 2021, CMLS entered into a Sponsor Support Agreement (the “Support Agreement”) with CMLS Holdings LLC, a Delaware limited liability company (“Sponsor”) and Sema4, whereby Sponsor has agreed to, among other things, (a) vote at any meeting of the stockholders of CMLS all of their shares of capital stock of CMLS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w:t>
      </w:r>
    </w:p>
    <w:p>
      <w:pPr>
        <w:spacing w:after="0" w:line="192"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foregoing description of the Support Agreement is subject to and qualified in its entirety by reference to the full text of the form of Support Agreement, a copy of which is attached as Exhibit 10.3 hereto, and the terms of which are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Forfeiture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10, 2021, the Sponsor entered into a Forfeiture Agreement (the “Forfeiture Agreement”) with Sema4 and CMLS, whereby Sponsor has agreed, subject to certain limitations and in accordance with the terms of the Forfeiture Agreement, to forfeit up to 33% of its (i) warrants for Common Stock and (ii) shares of class B common stock of CMLS, such actual amount tied to actual exercise of redemption rights of CMLS stockholders exercise their redemption rights in connection with the Business Combination, as more fully described in the Forfeiture Agreement.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Forfeiture Agreement is subject to and qualified in its entirety by reference to the full text of the form of Forfeiture Agreement, a copy of which is attached as Exhibit 10.4 hereto, and the terms of which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Registration Rights Agreement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At the closing of the Business Combination, Sema4, the Sponsor and certain stockholders of Sema4 will enter into an amended and restated registration rights agreement (the “Registration Rights Agreement”) pursuant to which, among other things, the parties thereto will be granted certain customary registration rights with respect to shares of Common Stock.</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description of the Registration Rights Agreement is subject to and qualified in its entirety by reference to the full text of the form of Registration Rights Agreement, a copy of which is included as Exhibit 10.5 hereto, and the terms of which are incorporated herein by reference.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disclosure set forth above in Item 1.01 of this Current Report on Form 8-K (this “Current Report”) is incorporated by reference herein. The shares of common stock to be issued in connection with the Merger Agreement and the Subscription Agreements and the transactions contemplated thereby will not be registered under the Securities Act of 1933, as amended (the “Securities Act”), and will be issued in reliance on the exemption from registration requirements thereof provided by Section 4(a)(2) of the Securities Act and/or Regulation D promulgated thereunder as a transaction by an issuer not involving a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Current Report on Form 8-K contains certain forward-looking statements within the meaning of the federal securities laws with respect to the proposed transaction between Sema4 and the Company, including statements regarding the anticipated benefits of the transaction, the anticipated timing of the transaction,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the Company’s securities, (ii) the risk that the transaction may not be completed by the Company’s business combination deadline and the potential failure to obtain an extension of the business combination deadline if sought by the Company, (iii) the failure to satisfy the conditions to the consummation of the transaction, including the adoption of the merger agreement by the shareholders of the Company, the satisfaction of the minimum trust account amount following redemptions by the Company’s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the Company related to the merger agreement or the transaction, (x) the ability to maintain the listing of the Company’s securities on a national securities exchange, (xi) the price of the Company’s securities may be volatile due to a variety of factors, including changes in the competitive and highly regulated industries in which the Company plans to operate or Sema4 operates, variations in operating performance across competitors, changes in laws and regulations affecting the Company’s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the Company’s registration on Form S-1 (File No. 333-246251), the proxy statement discussed above and other documents filed by the Company from time to time with the U.S. Securities and Exchange Commission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the Company assume no obligation and do not intend to update or revise these forward-looking statements, whether as a result of new information, future events, or otherwise. Neither Sema4 nor the Company gives any assurance that either Sema4 or the Company or the combined company will achieve its expectations.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 / Non-Solicitation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proposed transaction, the Company intends to file a proxy statement with the SEC. The proxy statement will be sent to the stockholders of the Company. The Company and Sema4 also will file other documents regarding the proposed transaction with the SEC. Before making any voting decision, investors and security holders of the Company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the Company and Sema4 through the website maintained by the SEC at www.sec.gov.</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documents filed by the Company with the SEC also may be obtained free of charge at the Company’s website at https://cmlifesciencesspac.com/ or upon written request to the Company, c/o Corvex Management, 667 Madison Ave, New York, NY 10065</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Sema4 and their respective directors and executive officers may be deemed to be participants in the solicitation of proxies from the Company’s shareholders in connection with the proposed transaction. Information about the Company’s directors and executive officers and their ownership of the Company’s securities is set forth in the Company’s filings with the SEC. To the extent that holdings of the Company’s securities have changed since the amounts printed in the Company’s Registration Statement on Form S-1, such changes have been or will be reflected on Statements of Change in Ownership on Form 4 filed with the SEC.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Current Report on Form 8-K shall not constitute a solicitation of a proxy, consent or authorization with respect to any securities or in respect of the Business Combination. This Current Report on Form 8-K shall also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20" w:type="dxa"/>
            <w:vAlign w:val="bottom"/>
          </w:tcPr>
          <w:p>
            <w:pPr>
              <w:ind w:left="170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2"/>
            <w:shd w:val="clear" w:color="auto" w:fill="CCEEFF"/>
          </w:tcPr>
          <w:p>
            <w:pPr>
              <w:spacing w:after="0" w:line="169"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Agreement and Plan of Merger, dated as of February 9, 2021, by and among, CM Life Sciences, Inc., S-IV Sub, Inc., and Mount Sinai</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Genomics, Inc. d/b/a Sema4.</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80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100" w:type="dxa"/>
            <w:vAlign w:val="bottom"/>
            <w:gridSpan w:val="2"/>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Form of Subscription Agreement.</w:t>
              </w:r>
            </w:hyperlink>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u w:val="single" w:color="auto"/>
                  <w:color w:val="0000EE"/>
                </w:rPr>
                <w:t>Form of Shareholder Lock-Up Agreement</w:t>
              </w:r>
              <w:r>
                <w:rPr>
                  <w:rFonts w:ascii="Arial" w:cs="Arial" w:eastAsia="Arial" w:hAnsi="Arial"/>
                  <w:sz w:val="18"/>
                  <w:szCs w:val="18"/>
                  <w:color w:val="0000EE"/>
                </w:rPr>
                <w:t>.</w:t>
              </w:r>
            </w:hyperlink>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
          </w:tcPr>
          <w:p>
            <w:pPr>
              <w:spacing w:after="0" w:line="17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Sponsor Support Agreement, dated as of February 9, 2021, by and among CMLS Holdings LLC, CM Life Sciences, Inc. and Mount Sinai</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Genomics, Inc. d/b/a Sema4.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rPr>
                <w:rFonts w:ascii="Arial" w:cs="Arial" w:eastAsia="Arial" w:hAnsi="Arial"/>
                <w:sz w:val="18"/>
                <w:szCs w:val="18"/>
                <w:u w:val="single" w:color="auto"/>
                <w:color w:val="0000EE"/>
                <w:w w:val="92"/>
              </w:rPr>
            </w:pPr>
            <w:hyperlink w:anchor="page151">
              <w:r>
                <w:rPr>
                  <w:rFonts w:ascii="Arial" w:cs="Arial" w:eastAsia="Arial" w:hAnsi="Arial"/>
                  <w:sz w:val="18"/>
                  <w:szCs w:val="18"/>
                  <w:u w:val="single" w:color="auto"/>
                  <w:color w:val="0000EE"/>
                  <w:w w:val="92"/>
                </w:rPr>
                <w:t>Forfeiture Agreement, dated as of February 9, 2021, by and between CMLS Holdings LLC and Mount Sinai Genomics, Inc. d/b/a Sema4.</w:t>
              </w:r>
            </w:hyperlink>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0100" w:type="dxa"/>
            <w:vAlign w:val="bottom"/>
            <w:gridSpan w:val="2"/>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Form of Amended and Restated Registration Rights Agreement.</w:t>
              </w:r>
            </w:hyperlink>
          </w:p>
        </w:tc>
      </w:tr>
      <w:tr>
        <w:trPr>
          <w:trHeight w:val="668"/>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ind w:left="4440"/>
              <w:spacing w:after="0"/>
              <w:rPr>
                <w:sz w:val="20"/>
                <w:szCs w:val="20"/>
                <w:color w:val="auto"/>
              </w:rPr>
            </w:pPr>
            <w:r>
              <w:rPr>
                <w:rFonts w:ascii="Arial" w:cs="Arial" w:eastAsia="Arial" w:hAnsi="Arial"/>
                <w:sz w:val="22"/>
                <w:szCs w:val="22"/>
                <w:color w:val="auto"/>
              </w:rPr>
              <w:t>6</w:t>
            </w:r>
          </w:p>
        </w:tc>
      </w:tr>
    </w:tbl>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Eli Casdin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CM LIFE SCIENCES,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S-IV SUB,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MOUNT SINAI GENOMICS, INC.,</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DATED AS OF 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1131570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THE CLOSING TRANSACTIONS</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w:t>
            </w:r>
          </w:p>
        </w:tc>
        <w:tc>
          <w:tcPr>
            <w:tcW w:w="7900" w:type="dxa"/>
            <w:vAlign w:val="bottom"/>
          </w:tcPr>
          <w:p>
            <w:pPr>
              <w:ind w:left="280"/>
              <w:spacing w:after="0"/>
              <w:rPr>
                <w:sz w:val="20"/>
                <w:szCs w:val="20"/>
                <w:color w:val="auto"/>
              </w:rPr>
            </w:pPr>
            <w:r>
              <w:rPr>
                <w:rFonts w:ascii="Arial" w:cs="Arial" w:eastAsia="Arial" w:hAnsi="Arial"/>
                <w:sz w:val="18"/>
                <w:szCs w:val="18"/>
                <w:color w:val="auto"/>
              </w:rPr>
              <w:t>Closing</w:t>
            </w:r>
          </w:p>
        </w:tc>
        <w:tc>
          <w:tcPr>
            <w:tcW w:w="2140" w:type="dxa"/>
            <w:vAlign w:val="bottom"/>
          </w:tcPr>
          <w:p>
            <w:pPr>
              <w:jc w:val="center"/>
              <w:ind w:left="1050"/>
              <w:spacing w:after="0"/>
              <w:rPr>
                <w:sz w:val="20"/>
                <w:szCs w:val="20"/>
                <w:color w:val="auto"/>
              </w:rPr>
            </w:pPr>
            <w:r>
              <w:rPr>
                <w:rFonts w:ascii="Arial" w:cs="Arial" w:eastAsia="Arial" w:hAnsi="Arial"/>
                <w:sz w:val="18"/>
                <w:szCs w:val="18"/>
                <w:color w:val="auto"/>
                <w:w w:val="79"/>
              </w:rPr>
              <w:t>2</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1.2</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Parent Financing Certificate</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1.3</w:t>
            </w:r>
          </w:p>
        </w:tc>
        <w:tc>
          <w:tcPr>
            <w:tcW w:w="7900" w:type="dxa"/>
            <w:vAlign w:val="bottom"/>
          </w:tcPr>
          <w:p>
            <w:pPr>
              <w:ind w:left="280"/>
              <w:spacing w:after="0"/>
              <w:rPr>
                <w:sz w:val="20"/>
                <w:szCs w:val="20"/>
                <w:color w:val="auto"/>
              </w:rPr>
            </w:pPr>
            <w:r>
              <w:rPr>
                <w:rFonts w:ascii="Arial" w:cs="Arial" w:eastAsia="Arial" w:hAnsi="Arial"/>
                <w:sz w:val="18"/>
                <w:szCs w:val="18"/>
                <w:color w:val="auto"/>
              </w:rPr>
              <w:t>Closing Documents</w:t>
            </w:r>
          </w:p>
        </w:tc>
        <w:tc>
          <w:tcPr>
            <w:tcW w:w="2140" w:type="dxa"/>
            <w:vAlign w:val="bottom"/>
          </w:tcPr>
          <w:p>
            <w:pPr>
              <w:jc w:val="center"/>
              <w:ind w:left="1050"/>
              <w:spacing w:after="0"/>
              <w:rPr>
                <w:sz w:val="20"/>
                <w:szCs w:val="20"/>
                <w:color w:val="auto"/>
              </w:rPr>
            </w:pPr>
            <w:r>
              <w:rPr>
                <w:rFonts w:ascii="Arial" w:cs="Arial" w:eastAsia="Arial" w:hAnsi="Arial"/>
                <w:sz w:val="18"/>
                <w:szCs w:val="18"/>
                <w:color w:val="auto"/>
                <w:w w:val="79"/>
              </w:rPr>
              <w:t>3</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Closing Transactions</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4</w:t>
            </w:r>
          </w:p>
        </w:tc>
      </w:tr>
      <w:tr>
        <w:trPr>
          <w:trHeight w:val="216"/>
        </w:trPr>
        <w:tc>
          <w:tcPr>
            <w:tcW w:w="9100" w:type="dxa"/>
            <w:vAlign w:val="bottom"/>
            <w:gridSpan w:val="2"/>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THE MERGER</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2.1</w:t>
            </w:r>
          </w:p>
        </w:tc>
        <w:tc>
          <w:tcPr>
            <w:tcW w:w="7900" w:type="dxa"/>
            <w:vAlign w:val="bottom"/>
          </w:tcPr>
          <w:p>
            <w:pPr>
              <w:ind w:left="280"/>
              <w:spacing w:after="0"/>
              <w:rPr>
                <w:sz w:val="20"/>
                <w:szCs w:val="20"/>
                <w:color w:val="auto"/>
              </w:rPr>
            </w:pPr>
            <w:r>
              <w:rPr>
                <w:rFonts w:ascii="Arial" w:cs="Arial" w:eastAsia="Arial" w:hAnsi="Arial"/>
                <w:sz w:val="18"/>
                <w:szCs w:val="18"/>
                <w:color w:val="auto"/>
              </w:rPr>
              <w:t>Effective Time</w:t>
            </w:r>
          </w:p>
        </w:tc>
        <w:tc>
          <w:tcPr>
            <w:tcW w:w="2140" w:type="dxa"/>
            <w:vAlign w:val="bottom"/>
          </w:tcPr>
          <w:p>
            <w:pPr>
              <w:jc w:val="center"/>
              <w:ind w:left="1050"/>
              <w:spacing w:after="0"/>
              <w:rPr>
                <w:sz w:val="20"/>
                <w:szCs w:val="20"/>
                <w:color w:val="auto"/>
              </w:rPr>
            </w:pPr>
            <w:r>
              <w:rPr>
                <w:rFonts w:ascii="Arial" w:cs="Arial" w:eastAsia="Arial" w:hAnsi="Arial"/>
                <w:sz w:val="18"/>
                <w:szCs w:val="18"/>
                <w:color w:val="auto"/>
                <w:w w:val="79"/>
              </w:rPr>
              <w:t>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2.2</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Merger</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2.3</w:t>
            </w:r>
          </w:p>
        </w:tc>
        <w:tc>
          <w:tcPr>
            <w:tcW w:w="7900" w:type="dxa"/>
            <w:vAlign w:val="bottom"/>
          </w:tcPr>
          <w:p>
            <w:pPr>
              <w:ind w:left="280"/>
              <w:spacing w:after="0"/>
              <w:rPr>
                <w:sz w:val="20"/>
                <w:szCs w:val="20"/>
                <w:color w:val="auto"/>
              </w:rPr>
            </w:pPr>
            <w:r>
              <w:rPr>
                <w:rFonts w:ascii="Arial" w:cs="Arial" w:eastAsia="Arial" w:hAnsi="Arial"/>
                <w:sz w:val="18"/>
                <w:szCs w:val="18"/>
                <w:color w:val="auto"/>
              </w:rPr>
              <w:t>Effect of the Merger</w:t>
            </w:r>
          </w:p>
        </w:tc>
        <w:tc>
          <w:tcPr>
            <w:tcW w:w="2140" w:type="dxa"/>
            <w:vAlign w:val="bottom"/>
          </w:tcPr>
          <w:p>
            <w:pPr>
              <w:jc w:val="center"/>
              <w:ind w:left="1050"/>
              <w:spacing w:after="0"/>
              <w:rPr>
                <w:sz w:val="20"/>
                <w:szCs w:val="20"/>
                <w:color w:val="auto"/>
              </w:rPr>
            </w:pPr>
            <w:r>
              <w:rPr>
                <w:rFonts w:ascii="Arial" w:cs="Arial" w:eastAsia="Arial" w:hAnsi="Arial"/>
                <w:sz w:val="18"/>
                <w:szCs w:val="18"/>
                <w:color w:val="auto"/>
                <w:w w:val="79"/>
              </w:rPr>
              <w:t>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2.4</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Governing Documents</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2.5</w:t>
            </w:r>
          </w:p>
        </w:tc>
        <w:tc>
          <w:tcPr>
            <w:tcW w:w="7900" w:type="dxa"/>
            <w:vAlign w:val="bottom"/>
          </w:tcPr>
          <w:p>
            <w:pPr>
              <w:ind w:left="280"/>
              <w:spacing w:after="0"/>
              <w:rPr>
                <w:sz w:val="20"/>
                <w:szCs w:val="20"/>
                <w:color w:val="auto"/>
              </w:rPr>
            </w:pPr>
            <w:r>
              <w:rPr>
                <w:rFonts w:ascii="Arial" w:cs="Arial" w:eastAsia="Arial" w:hAnsi="Arial"/>
                <w:sz w:val="18"/>
                <w:szCs w:val="18"/>
                <w:color w:val="auto"/>
              </w:rPr>
              <w:t>Directors and Officers of the Surviving Corporation</w:t>
            </w:r>
          </w:p>
        </w:tc>
        <w:tc>
          <w:tcPr>
            <w:tcW w:w="2140" w:type="dxa"/>
            <w:vAlign w:val="bottom"/>
          </w:tcPr>
          <w:p>
            <w:pPr>
              <w:jc w:val="center"/>
              <w:ind w:left="1050"/>
              <w:spacing w:after="0"/>
              <w:rPr>
                <w:sz w:val="20"/>
                <w:szCs w:val="20"/>
                <w:color w:val="auto"/>
              </w:rPr>
            </w:pPr>
            <w:r>
              <w:rPr>
                <w:rFonts w:ascii="Arial" w:cs="Arial" w:eastAsia="Arial" w:hAnsi="Arial"/>
                <w:sz w:val="18"/>
                <w:szCs w:val="18"/>
                <w:color w:val="auto"/>
                <w:w w:val="79"/>
              </w:rPr>
              <w:t>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2.6</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Merger Consideration</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2.7</w:t>
            </w:r>
          </w:p>
        </w:tc>
        <w:tc>
          <w:tcPr>
            <w:tcW w:w="7900" w:type="dxa"/>
            <w:vAlign w:val="bottom"/>
          </w:tcPr>
          <w:p>
            <w:pPr>
              <w:ind w:left="280"/>
              <w:spacing w:after="0"/>
              <w:rPr>
                <w:sz w:val="20"/>
                <w:szCs w:val="20"/>
                <w:color w:val="auto"/>
              </w:rPr>
            </w:pPr>
            <w:r>
              <w:rPr>
                <w:rFonts w:ascii="Arial" w:cs="Arial" w:eastAsia="Arial" w:hAnsi="Arial"/>
                <w:sz w:val="18"/>
                <w:szCs w:val="18"/>
                <w:color w:val="auto"/>
              </w:rPr>
              <w:t>Effect of the Merger on the Company Common Stock and Company Preferred Stock</w:t>
            </w:r>
          </w:p>
        </w:tc>
        <w:tc>
          <w:tcPr>
            <w:tcW w:w="2140" w:type="dxa"/>
            <w:vAlign w:val="bottom"/>
          </w:tcPr>
          <w:p>
            <w:pPr>
              <w:jc w:val="center"/>
              <w:ind w:left="1050"/>
              <w:spacing w:after="0"/>
              <w:rPr>
                <w:sz w:val="20"/>
                <w:szCs w:val="20"/>
                <w:color w:val="auto"/>
              </w:rPr>
            </w:pPr>
            <w:r>
              <w:rPr>
                <w:rFonts w:ascii="Arial" w:cs="Arial" w:eastAsia="Arial" w:hAnsi="Arial"/>
                <w:sz w:val="18"/>
                <w:szCs w:val="18"/>
                <w:color w:val="auto"/>
                <w:w w:val="79"/>
              </w:rPr>
              <w:t>5</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2.8</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Surrender of Company Certificates and Disbursement of Closing Consideration</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2.9</w:t>
            </w:r>
          </w:p>
        </w:tc>
        <w:tc>
          <w:tcPr>
            <w:tcW w:w="7900" w:type="dxa"/>
            <w:vAlign w:val="bottom"/>
          </w:tcPr>
          <w:p>
            <w:pPr>
              <w:ind w:left="280"/>
              <w:spacing w:after="0"/>
              <w:rPr>
                <w:sz w:val="20"/>
                <w:szCs w:val="20"/>
                <w:color w:val="auto"/>
              </w:rPr>
            </w:pPr>
            <w:r>
              <w:rPr>
                <w:rFonts w:ascii="Arial" w:cs="Arial" w:eastAsia="Arial" w:hAnsi="Arial"/>
                <w:sz w:val="18"/>
                <w:szCs w:val="18"/>
                <w:color w:val="auto"/>
              </w:rPr>
              <w:t>Withholding Taxes</w:t>
            </w:r>
          </w:p>
        </w:tc>
        <w:tc>
          <w:tcPr>
            <w:tcW w:w="2140" w:type="dxa"/>
            <w:vAlign w:val="bottom"/>
          </w:tcPr>
          <w:p>
            <w:pPr>
              <w:jc w:val="center"/>
              <w:ind w:left="1050"/>
              <w:spacing w:after="0"/>
              <w:rPr>
                <w:sz w:val="20"/>
                <w:szCs w:val="20"/>
                <w:color w:val="auto"/>
              </w:rPr>
            </w:pPr>
            <w:r>
              <w:rPr>
                <w:rFonts w:ascii="Arial" w:cs="Arial" w:eastAsia="Arial" w:hAnsi="Arial"/>
                <w:sz w:val="18"/>
                <w:szCs w:val="18"/>
                <w:color w:val="auto"/>
                <w:w w:val="79"/>
              </w:rPr>
              <w:t>8</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2.10</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Taking of Necessary Action; Further Action</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2.11</w:t>
            </w:r>
          </w:p>
        </w:tc>
        <w:tc>
          <w:tcPr>
            <w:tcW w:w="7900" w:type="dxa"/>
            <w:vAlign w:val="bottom"/>
          </w:tcPr>
          <w:p>
            <w:pPr>
              <w:ind w:left="280"/>
              <w:spacing w:after="0"/>
              <w:rPr>
                <w:sz w:val="20"/>
                <w:szCs w:val="20"/>
                <w:color w:val="auto"/>
              </w:rPr>
            </w:pPr>
            <w:r>
              <w:rPr>
                <w:rFonts w:ascii="Arial" w:cs="Arial" w:eastAsia="Arial" w:hAnsi="Arial"/>
                <w:sz w:val="18"/>
                <w:szCs w:val="18"/>
                <w:color w:val="auto"/>
              </w:rPr>
              <w:t>Tax Treatment of the Merger</w:t>
            </w:r>
          </w:p>
        </w:tc>
        <w:tc>
          <w:tcPr>
            <w:tcW w:w="2140" w:type="dxa"/>
            <w:vAlign w:val="bottom"/>
          </w:tcPr>
          <w:p>
            <w:pPr>
              <w:jc w:val="center"/>
              <w:ind w:left="1050"/>
              <w:spacing w:after="0"/>
              <w:rPr>
                <w:sz w:val="20"/>
                <w:szCs w:val="20"/>
                <w:color w:val="auto"/>
              </w:rPr>
            </w:pPr>
            <w:r>
              <w:rPr>
                <w:rFonts w:ascii="Arial" w:cs="Arial" w:eastAsia="Arial" w:hAnsi="Arial"/>
                <w:sz w:val="18"/>
                <w:szCs w:val="18"/>
                <w:color w:val="auto"/>
                <w:w w:val="79"/>
              </w:rPr>
              <w:t>8</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2.12</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on Company Options,</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2.13</w:t>
            </w:r>
          </w:p>
        </w:tc>
        <w:tc>
          <w:tcPr>
            <w:tcW w:w="7900" w:type="dxa"/>
            <w:vAlign w:val="bottom"/>
          </w:tcPr>
          <w:p>
            <w:pPr>
              <w:ind w:left="280"/>
              <w:spacing w:after="0"/>
              <w:rPr>
                <w:sz w:val="20"/>
                <w:szCs w:val="20"/>
                <w:color w:val="auto"/>
              </w:rPr>
            </w:pPr>
            <w:r>
              <w:rPr>
                <w:rFonts w:ascii="Arial" w:cs="Arial" w:eastAsia="Arial" w:hAnsi="Arial"/>
                <w:sz w:val="18"/>
                <w:szCs w:val="18"/>
                <w:color w:val="auto"/>
              </w:rPr>
              <w:t>Dissenting Shares</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10</w:t>
            </w:r>
          </w:p>
        </w:tc>
      </w:tr>
      <w:tr>
        <w:trPr>
          <w:trHeight w:val="216"/>
        </w:trPr>
        <w:tc>
          <w:tcPr>
            <w:tcW w:w="910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III EARN OUT</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10</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3.1</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Earn-Out Shares</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10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3.2</w:t>
            </w:r>
          </w:p>
        </w:tc>
        <w:tc>
          <w:tcPr>
            <w:tcW w:w="7900" w:type="dxa"/>
            <w:vAlign w:val="bottom"/>
          </w:tcPr>
          <w:p>
            <w:pPr>
              <w:ind w:left="280"/>
              <w:spacing w:after="0"/>
              <w:rPr>
                <w:sz w:val="20"/>
                <w:szCs w:val="20"/>
                <w:color w:val="auto"/>
              </w:rPr>
            </w:pPr>
            <w:r>
              <w:rPr>
                <w:rFonts w:ascii="Arial" w:cs="Arial" w:eastAsia="Arial" w:hAnsi="Arial"/>
                <w:sz w:val="18"/>
                <w:szCs w:val="18"/>
                <w:color w:val="auto"/>
              </w:rPr>
              <w:t>Acceleration Event</w:t>
            </w:r>
          </w:p>
        </w:tc>
        <w:tc>
          <w:tcPr>
            <w:tcW w:w="2140" w:type="dxa"/>
            <w:vAlign w:val="bottom"/>
          </w:tcPr>
          <w:p>
            <w:pPr>
              <w:jc w:val="center"/>
              <w:ind w:left="1050"/>
              <w:spacing w:after="0"/>
              <w:rPr>
                <w:sz w:val="20"/>
                <w:szCs w:val="20"/>
                <w:color w:val="auto"/>
              </w:rPr>
            </w:pPr>
            <w:r>
              <w:rPr>
                <w:rFonts w:ascii="Arial" w:cs="Arial" w:eastAsia="Arial" w:hAnsi="Arial"/>
                <w:sz w:val="18"/>
                <w:szCs w:val="18"/>
                <w:color w:val="auto"/>
                <w:w w:val="79"/>
              </w:rPr>
              <w:t>11</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3.3</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 Treatment of Earn-Out Shares</w:t>
            </w:r>
          </w:p>
        </w:tc>
        <w:tc>
          <w:tcPr>
            <w:tcW w:w="21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79"/>
              </w:rPr>
              <w:t>11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3.4</w:t>
            </w:r>
          </w:p>
        </w:tc>
        <w:tc>
          <w:tcPr>
            <w:tcW w:w="7900" w:type="dxa"/>
            <w:vAlign w:val="bottom"/>
          </w:tcPr>
          <w:p>
            <w:pPr>
              <w:ind w:left="280"/>
              <w:spacing w:after="0"/>
              <w:rPr>
                <w:sz w:val="20"/>
                <w:szCs w:val="20"/>
                <w:color w:val="auto"/>
              </w:rPr>
            </w:pPr>
            <w:r>
              <w:rPr>
                <w:rFonts w:ascii="Arial" w:cs="Arial" w:eastAsia="Arial" w:hAnsi="Arial"/>
                <w:sz w:val="18"/>
                <w:szCs w:val="18"/>
                <w:color w:val="auto"/>
              </w:rPr>
              <w:t>Earn-Out Service Providers</w:t>
            </w:r>
          </w:p>
        </w:tc>
        <w:tc>
          <w:tcPr>
            <w:tcW w:w="2140" w:type="dxa"/>
            <w:vAlign w:val="bottom"/>
          </w:tcPr>
          <w:p>
            <w:pPr>
              <w:jc w:val="center"/>
              <w:ind w:left="1050"/>
              <w:spacing w:after="0"/>
              <w:rPr>
                <w:sz w:val="20"/>
                <w:szCs w:val="20"/>
                <w:color w:val="auto"/>
              </w:rPr>
            </w:pPr>
            <w:r>
              <w:rPr>
                <w:rFonts w:ascii="Arial" w:cs="Arial" w:eastAsia="Arial" w:hAnsi="Arial"/>
                <w:sz w:val="18"/>
                <w:szCs w:val="18"/>
                <w:color w:val="auto"/>
                <w:w w:val="79"/>
              </w:rPr>
              <w:t>11</w:t>
            </w:r>
          </w:p>
        </w:tc>
      </w:tr>
      <w:tr>
        <w:trPr>
          <w:trHeight w:val="216"/>
        </w:trPr>
        <w:tc>
          <w:tcPr>
            <w:tcW w:w="910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REGARDING THE COMPANY</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12</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4.1</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Organization and Qualification</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12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4.2</w:t>
            </w:r>
          </w:p>
        </w:tc>
        <w:tc>
          <w:tcPr>
            <w:tcW w:w="7900" w:type="dxa"/>
            <w:vAlign w:val="bottom"/>
          </w:tcPr>
          <w:p>
            <w:pPr>
              <w:ind w:left="280"/>
              <w:spacing w:after="0"/>
              <w:rPr>
                <w:sz w:val="20"/>
                <w:szCs w:val="20"/>
                <w:color w:val="auto"/>
              </w:rPr>
            </w:pPr>
            <w:r>
              <w:rPr>
                <w:rFonts w:ascii="Arial" w:cs="Arial" w:eastAsia="Arial" w:hAnsi="Arial"/>
                <w:sz w:val="18"/>
                <w:szCs w:val="18"/>
                <w:color w:val="auto"/>
              </w:rPr>
              <w:t>Company Subsidiaries</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12</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4.3</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Capitalization</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12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4.4</w:t>
            </w:r>
          </w:p>
        </w:tc>
        <w:tc>
          <w:tcPr>
            <w:tcW w:w="7900" w:type="dxa"/>
            <w:vAlign w:val="bottom"/>
          </w:tcPr>
          <w:p>
            <w:pPr>
              <w:ind w:left="280"/>
              <w:spacing w:after="0"/>
              <w:rPr>
                <w:sz w:val="20"/>
                <w:szCs w:val="20"/>
                <w:color w:val="auto"/>
              </w:rPr>
            </w:pPr>
            <w:r>
              <w:rPr>
                <w:rFonts w:ascii="Arial" w:cs="Arial" w:eastAsia="Arial" w:hAnsi="Arial"/>
                <w:sz w:val="18"/>
                <w:szCs w:val="18"/>
                <w:color w:val="auto"/>
              </w:rPr>
              <w:t>Due Authorization</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4.5</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Conflict; Governmental Consents and Filings</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4.6</w:t>
            </w:r>
          </w:p>
        </w:tc>
        <w:tc>
          <w:tcPr>
            <w:tcW w:w="7900" w:type="dxa"/>
            <w:vAlign w:val="bottom"/>
          </w:tcPr>
          <w:p>
            <w:pPr>
              <w:ind w:left="280"/>
              <w:spacing w:after="0"/>
              <w:rPr>
                <w:sz w:val="20"/>
                <w:szCs w:val="20"/>
                <w:color w:val="auto"/>
              </w:rPr>
            </w:pPr>
            <w:r>
              <w:rPr>
                <w:rFonts w:ascii="Arial" w:cs="Arial" w:eastAsia="Arial" w:hAnsi="Arial"/>
                <w:sz w:val="18"/>
                <w:szCs w:val="18"/>
                <w:color w:val="auto"/>
              </w:rPr>
              <w:t>Legal Compliance; Approvals</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15</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4.7</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Government Contracts</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15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4.8</w:t>
            </w:r>
          </w:p>
        </w:tc>
        <w:tc>
          <w:tcPr>
            <w:tcW w:w="790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15</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4.9</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Undisclosed Liabilities</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15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4.10</w:t>
            </w:r>
          </w:p>
        </w:tc>
        <w:tc>
          <w:tcPr>
            <w:tcW w:w="7900" w:type="dxa"/>
            <w:vAlign w:val="bottom"/>
          </w:tcPr>
          <w:p>
            <w:pPr>
              <w:ind w:left="280"/>
              <w:spacing w:after="0"/>
              <w:rPr>
                <w:sz w:val="20"/>
                <w:szCs w:val="20"/>
                <w:color w:val="auto"/>
              </w:rPr>
            </w:pPr>
            <w:r>
              <w:rPr>
                <w:rFonts w:ascii="Arial" w:cs="Arial" w:eastAsia="Arial" w:hAnsi="Arial"/>
                <w:sz w:val="18"/>
                <w:szCs w:val="18"/>
                <w:color w:val="auto"/>
              </w:rPr>
              <w:t>Absence of Certain Changes or Events</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16</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4.11</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Litigation</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16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4.12</w:t>
            </w:r>
          </w:p>
        </w:tc>
        <w:tc>
          <w:tcPr>
            <w:tcW w:w="7900" w:type="dxa"/>
            <w:vAlign w:val="bottom"/>
          </w:tcPr>
          <w:p>
            <w:pPr>
              <w:ind w:left="280"/>
              <w:spacing w:after="0"/>
              <w:rPr>
                <w:sz w:val="20"/>
                <w:szCs w:val="20"/>
                <w:color w:val="auto"/>
              </w:rPr>
            </w:pPr>
            <w:r>
              <w:rPr>
                <w:rFonts w:ascii="Arial" w:cs="Arial" w:eastAsia="Arial" w:hAnsi="Arial"/>
                <w:sz w:val="18"/>
                <w:szCs w:val="18"/>
                <w:color w:val="auto"/>
              </w:rPr>
              <w:t>Company Benefit Plans</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16</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4.13</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Labor Relations</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19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4.14</w:t>
            </w:r>
          </w:p>
        </w:tc>
        <w:tc>
          <w:tcPr>
            <w:tcW w:w="7900" w:type="dxa"/>
            <w:vAlign w:val="bottom"/>
          </w:tcPr>
          <w:p>
            <w:pPr>
              <w:ind w:left="280"/>
              <w:spacing w:after="0"/>
              <w:rPr>
                <w:sz w:val="20"/>
                <w:szCs w:val="20"/>
                <w:color w:val="auto"/>
              </w:rPr>
            </w:pPr>
            <w:r>
              <w:rPr>
                <w:rFonts w:ascii="Arial" w:cs="Arial" w:eastAsia="Arial" w:hAnsi="Arial"/>
                <w:sz w:val="18"/>
                <w:szCs w:val="18"/>
                <w:color w:val="auto"/>
              </w:rPr>
              <w:t>Real Property; Tangible Property</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20</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4.15</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Taxes</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21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4.16</w:t>
            </w:r>
          </w:p>
        </w:tc>
        <w:tc>
          <w:tcPr>
            <w:tcW w:w="7900" w:type="dxa"/>
            <w:vAlign w:val="bottom"/>
          </w:tcPr>
          <w:p>
            <w:pPr>
              <w:ind w:left="280"/>
              <w:spacing w:after="0"/>
              <w:rPr>
                <w:sz w:val="20"/>
                <w:szCs w:val="20"/>
                <w:color w:val="auto"/>
              </w:rPr>
            </w:pPr>
            <w:r>
              <w:rPr>
                <w:rFonts w:ascii="Arial" w:cs="Arial" w:eastAsia="Arial" w:hAnsi="Arial"/>
                <w:sz w:val="18"/>
                <w:szCs w:val="18"/>
                <w:color w:val="auto"/>
              </w:rPr>
              <w:t>Environmental Matters</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23</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4.17</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Brokers; Third Party Expenses</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23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4.18</w:t>
            </w:r>
          </w:p>
        </w:tc>
        <w:tc>
          <w:tcPr>
            <w:tcW w:w="7900" w:type="dxa"/>
            <w:vAlign w:val="bottom"/>
          </w:tcPr>
          <w:p>
            <w:pPr>
              <w:ind w:left="280"/>
              <w:spacing w:after="0"/>
              <w:rPr>
                <w:sz w:val="20"/>
                <w:szCs w:val="20"/>
                <w:color w:val="auto"/>
              </w:rPr>
            </w:pPr>
            <w:r>
              <w:rPr>
                <w:rFonts w:ascii="Arial" w:cs="Arial" w:eastAsia="Arial" w:hAnsi="Arial"/>
                <w:sz w:val="18"/>
                <w:szCs w:val="18"/>
                <w:color w:val="auto"/>
              </w:rPr>
              <w:t>Intellectual Property</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23</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4.19</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Privacy</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25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4.20</w:t>
            </w:r>
          </w:p>
        </w:tc>
        <w:tc>
          <w:tcPr>
            <w:tcW w:w="7900" w:type="dxa"/>
            <w:vAlign w:val="bottom"/>
          </w:tcPr>
          <w:p>
            <w:pPr>
              <w:ind w:left="280"/>
              <w:spacing w:after="0"/>
              <w:rPr>
                <w:sz w:val="20"/>
                <w:szCs w:val="20"/>
                <w:color w:val="auto"/>
              </w:rPr>
            </w:pPr>
            <w:r>
              <w:rPr>
                <w:rFonts w:ascii="Arial" w:cs="Arial" w:eastAsia="Arial" w:hAnsi="Arial"/>
                <w:sz w:val="18"/>
                <w:szCs w:val="18"/>
                <w:color w:val="auto"/>
              </w:rPr>
              <w:t>Agreements, Contracts and Commitments</w:t>
            </w:r>
          </w:p>
        </w:tc>
        <w:tc>
          <w:tcPr>
            <w:tcW w:w="2140" w:type="dxa"/>
            <w:vAlign w:val="bottom"/>
          </w:tcPr>
          <w:p>
            <w:pPr>
              <w:jc w:val="center"/>
              <w:ind w:left="1070"/>
              <w:spacing w:after="0"/>
              <w:rPr>
                <w:sz w:val="20"/>
                <w:szCs w:val="20"/>
                <w:color w:val="auto"/>
              </w:rPr>
            </w:pPr>
            <w:r>
              <w:rPr>
                <w:rFonts w:ascii="Arial" w:cs="Arial" w:eastAsia="Arial" w:hAnsi="Arial"/>
                <w:sz w:val="18"/>
                <w:szCs w:val="18"/>
                <w:color w:val="auto"/>
                <w:w w:val="89"/>
              </w:rPr>
              <w:t>26</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4.21</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Insurance</w:t>
            </w:r>
          </w:p>
        </w:tc>
        <w:tc>
          <w:tcPr>
            <w:tcW w:w="21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9"/>
              </w:rPr>
              <w:t>27</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4.22</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Affiliate Matters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4.23</w:t>
            </w:r>
          </w:p>
        </w:tc>
        <w:tc>
          <w:tcPr>
            <w:tcW w:w="7560" w:type="dxa"/>
            <w:vAlign w:val="bottom"/>
          </w:tcPr>
          <w:p>
            <w:pPr>
              <w:ind w:left="280"/>
              <w:spacing w:after="0"/>
              <w:rPr>
                <w:sz w:val="20"/>
                <w:szCs w:val="20"/>
                <w:color w:val="auto"/>
              </w:rPr>
            </w:pPr>
            <w:r>
              <w:rPr>
                <w:rFonts w:ascii="Arial" w:cs="Arial" w:eastAsia="Arial" w:hAnsi="Arial"/>
                <w:sz w:val="18"/>
                <w:szCs w:val="18"/>
                <w:color w:val="auto"/>
              </w:rPr>
              <w:t>Certain Provided Information</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4.24</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Absence of Certain Business Practices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4.25</w:t>
            </w:r>
          </w:p>
        </w:tc>
        <w:tc>
          <w:tcPr>
            <w:tcW w:w="7560" w:type="dxa"/>
            <w:vAlign w:val="bottom"/>
          </w:tcPr>
          <w:p>
            <w:pPr>
              <w:ind w:left="280"/>
              <w:spacing w:after="0"/>
              <w:rPr>
                <w:sz w:val="20"/>
                <w:szCs w:val="20"/>
                <w:color w:val="auto"/>
              </w:rPr>
            </w:pPr>
            <w:r>
              <w:rPr>
                <w:rFonts w:ascii="Arial" w:cs="Arial" w:eastAsia="Arial" w:hAnsi="Arial"/>
                <w:sz w:val="18"/>
                <w:szCs w:val="18"/>
                <w:color w:val="auto"/>
              </w:rPr>
              <w:t>Government Grants and Incentives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4.26</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OIG</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4.27</w:t>
            </w:r>
          </w:p>
        </w:tc>
        <w:tc>
          <w:tcPr>
            <w:tcW w:w="7560" w:type="dxa"/>
            <w:vAlign w:val="bottom"/>
          </w:tcPr>
          <w:p>
            <w:pPr>
              <w:ind w:left="280"/>
              <w:spacing w:after="0"/>
              <w:rPr>
                <w:sz w:val="20"/>
                <w:szCs w:val="20"/>
                <w:color w:val="auto"/>
              </w:rPr>
            </w:pPr>
            <w:r>
              <w:rPr>
                <w:rFonts w:ascii="Arial" w:cs="Arial" w:eastAsia="Arial" w:hAnsi="Arial"/>
                <w:sz w:val="18"/>
                <w:szCs w:val="18"/>
                <w:color w:val="auto"/>
              </w:rPr>
              <w:t>Suppliers and Customers.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4.28</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Disclaimer of Other Warranties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30</w:t>
            </w:r>
          </w:p>
        </w:tc>
      </w:tr>
      <w:tr>
        <w:trPr>
          <w:trHeight w:val="216"/>
        </w:trPr>
        <w:tc>
          <w:tcPr>
            <w:tcW w:w="876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REPRESENTATIONS AND WARRANTIES OF PARENT AND MERGER SUB</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w:t>
            </w:r>
          </w:p>
        </w:tc>
        <w:tc>
          <w:tcPr>
            <w:tcW w:w="7560" w:type="dxa"/>
            <w:vAlign w:val="bottom"/>
          </w:tcPr>
          <w:p>
            <w:pPr>
              <w:ind w:left="280"/>
              <w:spacing w:after="0"/>
              <w:rPr>
                <w:sz w:val="20"/>
                <w:szCs w:val="20"/>
                <w:color w:val="auto"/>
              </w:rPr>
            </w:pPr>
            <w:r>
              <w:rPr>
                <w:rFonts w:ascii="Arial" w:cs="Arial" w:eastAsia="Arial" w:hAnsi="Arial"/>
                <w:sz w:val="18"/>
                <w:szCs w:val="18"/>
                <w:color w:val="auto"/>
              </w:rPr>
              <w:t>Organization and Qualification</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5.2</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Parent Subsidiaries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5.3</w:t>
            </w:r>
          </w:p>
        </w:tc>
        <w:tc>
          <w:tcPr>
            <w:tcW w:w="7560" w:type="dxa"/>
            <w:vAlign w:val="bottom"/>
          </w:tcPr>
          <w:p>
            <w:pPr>
              <w:ind w:left="280"/>
              <w:spacing w:after="0"/>
              <w:rPr>
                <w:sz w:val="20"/>
                <w:szCs w:val="20"/>
                <w:color w:val="auto"/>
              </w:rPr>
            </w:pPr>
            <w:r>
              <w:rPr>
                <w:rFonts w:ascii="Arial" w:cs="Arial" w:eastAsia="Arial" w:hAnsi="Arial"/>
                <w:sz w:val="18"/>
                <w:szCs w:val="18"/>
                <w:color w:val="auto"/>
              </w:rPr>
              <w:t>Capitalization</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5.4</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Authority Relative to this Agreement</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5.5</w:t>
            </w:r>
          </w:p>
        </w:tc>
        <w:tc>
          <w:tcPr>
            <w:tcW w:w="7560" w:type="dxa"/>
            <w:vAlign w:val="bottom"/>
          </w:tcPr>
          <w:p>
            <w:pPr>
              <w:ind w:left="280"/>
              <w:spacing w:after="0"/>
              <w:rPr>
                <w:sz w:val="20"/>
                <w:szCs w:val="20"/>
                <w:color w:val="auto"/>
              </w:rPr>
            </w:pPr>
            <w:r>
              <w:rPr>
                <w:rFonts w:ascii="Arial" w:cs="Arial" w:eastAsia="Arial" w:hAnsi="Arial"/>
                <w:sz w:val="18"/>
                <w:szCs w:val="18"/>
                <w:color w:val="auto"/>
              </w:rPr>
              <w:t>No Conflict; Required Filings and Consents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33</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5.6</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Compliance; Approvals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5.7</w:t>
            </w:r>
          </w:p>
        </w:tc>
        <w:tc>
          <w:tcPr>
            <w:tcW w:w="7560" w:type="dxa"/>
            <w:vAlign w:val="bottom"/>
          </w:tcPr>
          <w:p>
            <w:pPr>
              <w:ind w:left="280"/>
              <w:spacing w:after="0"/>
              <w:rPr>
                <w:sz w:val="20"/>
                <w:szCs w:val="20"/>
                <w:color w:val="auto"/>
              </w:rPr>
            </w:pPr>
            <w:r>
              <w:rPr>
                <w:rFonts w:ascii="Arial" w:cs="Arial" w:eastAsia="Arial" w:hAnsi="Arial"/>
                <w:sz w:val="18"/>
                <w:szCs w:val="18"/>
                <w:color w:val="auto"/>
              </w:rPr>
              <w:t>Parent SEC Reports and Financial Statements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5.8</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Absence of Certain Changes or Events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5.9</w:t>
            </w:r>
          </w:p>
        </w:tc>
        <w:tc>
          <w:tcPr>
            <w:tcW w:w="7560" w:type="dxa"/>
            <w:vAlign w:val="bottom"/>
          </w:tcPr>
          <w:p>
            <w:pPr>
              <w:ind w:left="28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5.10</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Business Activities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5.11</w:t>
            </w:r>
          </w:p>
        </w:tc>
        <w:tc>
          <w:tcPr>
            <w:tcW w:w="7560" w:type="dxa"/>
            <w:vAlign w:val="bottom"/>
          </w:tcPr>
          <w:p>
            <w:pPr>
              <w:ind w:left="280"/>
              <w:spacing w:after="0"/>
              <w:rPr>
                <w:sz w:val="20"/>
                <w:szCs w:val="20"/>
                <w:color w:val="auto"/>
              </w:rPr>
            </w:pPr>
            <w:r>
              <w:rPr>
                <w:rFonts w:ascii="Arial" w:cs="Arial" w:eastAsia="Arial" w:hAnsi="Arial"/>
                <w:sz w:val="18"/>
                <w:szCs w:val="18"/>
                <w:color w:val="auto"/>
              </w:rPr>
              <w:t>Parent Material Contracts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5.12</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Parent Listing</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5.13</w:t>
            </w:r>
          </w:p>
        </w:tc>
        <w:tc>
          <w:tcPr>
            <w:tcW w:w="7560" w:type="dxa"/>
            <w:vAlign w:val="bottom"/>
          </w:tcPr>
          <w:p>
            <w:pPr>
              <w:ind w:left="280"/>
              <w:spacing w:after="0"/>
              <w:rPr>
                <w:sz w:val="20"/>
                <w:szCs w:val="20"/>
                <w:color w:val="auto"/>
              </w:rPr>
            </w:pPr>
            <w:r>
              <w:rPr>
                <w:rFonts w:ascii="Arial" w:cs="Arial" w:eastAsia="Arial" w:hAnsi="Arial"/>
                <w:sz w:val="18"/>
                <w:szCs w:val="18"/>
                <w:color w:val="auto"/>
              </w:rPr>
              <w:t>Equity Financing Amount</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36</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5.14</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Trust Account</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5.15</w:t>
            </w:r>
          </w:p>
        </w:tc>
        <w:tc>
          <w:tcPr>
            <w:tcW w:w="7560" w:type="dxa"/>
            <w:vAlign w:val="bottom"/>
          </w:tcPr>
          <w:p>
            <w:pPr>
              <w:ind w:left="28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37</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5.16</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Information Supplied</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5.17</w:t>
            </w:r>
          </w:p>
        </w:tc>
        <w:tc>
          <w:tcPr>
            <w:tcW w:w="7560" w:type="dxa"/>
            <w:vAlign w:val="bottom"/>
          </w:tcPr>
          <w:p>
            <w:pPr>
              <w:ind w:left="280"/>
              <w:spacing w:after="0"/>
              <w:rPr>
                <w:sz w:val="20"/>
                <w:szCs w:val="20"/>
                <w:color w:val="auto"/>
              </w:rPr>
            </w:pPr>
            <w:r>
              <w:rPr>
                <w:rFonts w:ascii="Arial" w:cs="Arial" w:eastAsia="Arial" w:hAnsi="Arial"/>
                <w:sz w:val="18"/>
                <w:szCs w:val="18"/>
                <w:color w:val="auto"/>
              </w:rPr>
              <w:t>Employees; Benefit Plans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5.18</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Board Approval; Stockholder Vote</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5.19</w:t>
            </w:r>
          </w:p>
        </w:tc>
        <w:tc>
          <w:tcPr>
            <w:tcW w:w="7560" w:type="dxa"/>
            <w:vAlign w:val="bottom"/>
          </w:tcPr>
          <w:p>
            <w:pPr>
              <w:ind w:left="280"/>
              <w:spacing w:after="0"/>
              <w:rPr>
                <w:sz w:val="20"/>
                <w:szCs w:val="20"/>
                <w:color w:val="auto"/>
              </w:rPr>
            </w:pPr>
            <w:r>
              <w:rPr>
                <w:rFonts w:ascii="Arial" w:cs="Arial" w:eastAsia="Arial" w:hAnsi="Arial"/>
                <w:sz w:val="18"/>
                <w:szCs w:val="18"/>
                <w:color w:val="auto"/>
              </w:rPr>
              <w:t>Title to Assets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5.20</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Affiliate Transactions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5.21</w:t>
            </w:r>
          </w:p>
        </w:tc>
        <w:tc>
          <w:tcPr>
            <w:tcW w:w="7560" w:type="dxa"/>
            <w:vAlign w:val="bottom"/>
          </w:tcPr>
          <w:p>
            <w:pPr>
              <w:ind w:left="280"/>
              <w:spacing w:after="0"/>
              <w:rPr>
                <w:sz w:val="20"/>
                <w:szCs w:val="20"/>
                <w:color w:val="auto"/>
              </w:rPr>
            </w:pPr>
            <w:r>
              <w:rPr>
                <w:rFonts w:ascii="Arial" w:cs="Arial" w:eastAsia="Arial" w:hAnsi="Arial"/>
                <w:sz w:val="18"/>
                <w:szCs w:val="18"/>
                <w:color w:val="auto"/>
              </w:rPr>
              <w:t>Brokers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5.22</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Disclaimer of Other Warranties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39</w:t>
            </w:r>
          </w:p>
        </w:tc>
      </w:tr>
      <w:tr>
        <w:trPr>
          <w:trHeight w:val="216"/>
        </w:trPr>
        <w:tc>
          <w:tcPr>
            <w:tcW w:w="876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CONDUCT PRIOR TO THE CLOSING DATE</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6.1</w:t>
            </w:r>
          </w:p>
        </w:tc>
        <w:tc>
          <w:tcPr>
            <w:tcW w:w="7560" w:type="dxa"/>
            <w:vAlign w:val="bottom"/>
          </w:tcPr>
          <w:p>
            <w:pPr>
              <w:ind w:left="280"/>
              <w:spacing w:after="0"/>
              <w:rPr>
                <w:sz w:val="20"/>
                <w:szCs w:val="20"/>
                <w:color w:val="auto"/>
              </w:rPr>
            </w:pPr>
            <w:r>
              <w:rPr>
                <w:rFonts w:ascii="Arial" w:cs="Arial" w:eastAsia="Arial" w:hAnsi="Arial"/>
                <w:sz w:val="18"/>
                <w:szCs w:val="18"/>
                <w:color w:val="auto"/>
              </w:rPr>
              <w:t>Conduct of Business by the Company and the Company Subsidiaries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40</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6.2</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Conduct of Business by Parent and Merger Sub</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43</w:t>
            </w:r>
          </w:p>
        </w:tc>
      </w:tr>
      <w:tr>
        <w:trPr>
          <w:trHeight w:val="216"/>
        </w:trPr>
        <w:tc>
          <w:tcPr>
            <w:tcW w:w="876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ADDITIONAL AGREEMENTS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w:t>
            </w:r>
          </w:p>
        </w:tc>
        <w:tc>
          <w:tcPr>
            <w:tcW w:w="7560" w:type="dxa"/>
            <w:vAlign w:val="bottom"/>
          </w:tcPr>
          <w:p>
            <w:pPr>
              <w:ind w:left="280"/>
              <w:spacing w:after="0"/>
              <w:rPr>
                <w:sz w:val="20"/>
                <w:szCs w:val="20"/>
                <w:color w:val="auto"/>
              </w:rPr>
            </w:pPr>
            <w:r>
              <w:rPr>
                <w:rFonts w:ascii="Arial" w:cs="Arial" w:eastAsia="Arial" w:hAnsi="Arial"/>
                <w:sz w:val="18"/>
                <w:szCs w:val="18"/>
                <w:color w:val="auto"/>
              </w:rPr>
              <w:t>Proxy Statement; Special Meeting</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44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7.2</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Regulatory Approvals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7.3</w:t>
            </w:r>
          </w:p>
        </w:tc>
        <w:tc>
          <w:tcPr>
            <w:tcW w:w="7560" w:type="dxa"/>
            <w:vAlign w:val="bottom"/>
          </w:tcPr>
          <w:p>
            <w:pPr>
              <w:ind w:left="280"/>
              <w:spacing w:after="0"/>
              <w:rPr>
                <w:sz w:val="20"/>
                <w:szCs w:val="20"/>
                <w:color w:val="auto"/>
              </w:rPr>
            </w:pPr>
            <w:r>
              <w:rPr>
                <w:rFonts w:ascii="Arial" w:cs="Arial" w:eastAsia="Arial" w:hAnsi="Arial"/>
                <w:sz w:val="18"/>
                <w:szCs w:val="18"/>
                <w:color w:val="auto"/>
              </w:rPr>
              <w:t>Other Filings; Press Release</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7.4</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Confidentiality; Access to Information</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7.5</w:t>
            </w:r>
          </w:p>
        </w:tc>
        <w:tc>
          <w:tcPr>
            <w:tcW w:w="7560" w:type="dxa"/>
            <w:vAlign w:val="bottom"/>
          </w:tcPr>
          <w:p>
            <w:pPr>
              <w:ind w:left="280"/>
              <w:spacing w:after="0"/>
              <w:rPr>
                <w:sz w:val="20"/>
                <w:szCs w:val="20"/>
                <w:color w:val="auto"/>
              </w:rPr>
            </w:pPr>
            <w:r>
              <w:rPr>
                <w:rFonts w:ascii="Arial" w:cs="Arial" w:eastAsia="Arial" w:hAnsi="Arial"/>
                <w:sz w:val="18"/>
                <w:szCs w:val="18"/>
                <w:color w:val="auto"/>
              </w:rPr>
              <w:t>Reasonable Best Efforts</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49</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7.6</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Parent Securities Transactions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7.7</w:t>
            </w:r>
          </w:p>
        </w:tc>
        <w:tc>
          <w:tcPr>
            <w:tcW w:w="7560" w:type="dxa"/>
            <w:vAlign w:val="bottom"/>
          </w:tcPr>
          <w:p>
            <w:pPr>
              <w:ind w:left="280"/>
              <w:spacing w:after="0"/>
              <w:rPr>
                <w:sz w:val="20"/>
                <w:szCs w:val="20"/>
                <w:color w:val="auto"/>
              </w:rPr>
            </w:pPr>
            <w:r>
              <w:rPr>
                <w:rFonts w:ascii="Arial" w:cs="Arial" w:eastAsia="Arial" w:hAnsi="Arial"/>
                <w:sz w:val="18"/>
                <w:szCs w:val="18"/>
                <w:color w:val="auto"/>
              </w:rPr>
              <w:t>No Claim Against Trust Account</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50</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7.8</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Disclosure of Certain Matters</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7.9</w:t>
            </w:r>
          </w:p>
        </w:tc>
        <w:tc>
          <w:tcPr>
            <w:tcW w:w="7560" w:type="dxa"/>
            <w:vAlign w:val="bottom"/>
          </w:tcPr>
          <w:p>
            <w:pPr>
              <w:ind w:left="280"/>
              <w:spacing w:after="0"/>
              <w:rPr>
                <w:sz w:val="20"/>
                <w:szCs w:val="20"/>
                <w:color w:val="auto"/>
              </w:rPr>
            </w:pPr>
            <w:r>
              <w:rPr>
                <w:rFonts w:ascii="Arial" w:cs="Arial" w:eastAsia="Arial" w:hAnsi="Arial"/>
                <w:sz w:val="18"/>
                <w:szCs w:val="18"/>
                <w:color w:val="auto"/>
              </w:rPr>
              <w:t>Securities Listing</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51</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7.10</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Solicitation</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7.11</w:t>
            </w:r>
          </w:p>
        </w:tc>
        <w:tc>
          <w:tcPr>
            <w:tcW w:w="7560" w:type="dxa"/>
            <w:vAlign w:val="bottom"/>
          </w:tcPr>
          <w:p>
            <w:pPr>
              <w:ind w:left="280"/>
              <w:spacing w:after="0"/>
              <w:rPr>
                <w:sz w:val="20"/>
                <w:szCs w:val="20"/>
                <w:color w:val="auto"/>
              </w:rPr>
            </w:pPr>
            <w:r>
              <w:rPr>
                <w:rFonts w:ascii="Arial" w:cs="Arial" w:eastAsia="Arial" w:hAnsi="Arial"/>
                <w:sz w:val="18"/>
                <w:szCs w:val="18"/>
                <w:color w:val="auto"/>
              </w:rPr>
              <w:t>Trust Account</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52</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7.12</w:t>
            </w:r>
          </w:p>
        </w:tc>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Directors’ and Officers’ Liability Insurance</w:t>
            </w:r>
          </w:p>
        </w:tc>
        <w:tc>
          <w:tcPr>
            <w:tcW w:w="2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7.13</w:t>
            </w:r>
          </w:p>
        </w:tc>
        <w:tc>
          <w:tcPr>
            <w:tcW w:w="7560" w:type="dxa"/>
            <w:vAlign w:val="bottom"/>
          </w:tcPr>
          <w:p>
            <w:pPr>
              <w:ind w:left="280"/>
              <w:spacing w:after="0"/>
              <w:rPr>
                <w:sz w:val="20"/>
                <w:szCs w:val="20"/>
                <w:color w:val="auto"/>
              </w:rPr>
            </w:pPr>
            <w:r>
              <w:rPr>
                <w:rFonts w:ascii="Arial" w:cs="Arial" w:eastAsia="Arial" w:hAnsi="Arial"/>
                <w:sz w:val="18"/>
                <w:szCs w:val="18"/>
                <w:color w:val="auto"/>
              </w:rPr>
              <w:t>[Intentionally Left Blank]</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7.14</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Matters</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7.15</w:t>
            </w:r>
          </w:p>
        </w:tc>
        <w:tc>
          <w:tcPr>
            <w:tcW w:w="7240" w:type="dxa"/>
            <w:vAlign w:val="bottom"/>
          </w:tcPr>
          <w:p>
            <w:pPr>
              <w:ind w:left="240"/>
              <w:spacing w:after="0"/>
              <w:rPr>
                <w:sz w:val="20"/>
                <w:szCs w:val="20"/>
                <w:color w:val="auto"/>
              </w:rPr>
            </w:pPr>
            <w:r>
              <w:rPr>
                <w:rFonts w:ascii="Arial" w:cs="Arial" w:eastAsia="Arial" w:hAnsi="Arial"/>
                <w:sz w:val="18"/>
                <w:szCs w:val="18"/>
                <w:color w:val="auto"/>
              </w:rPr>
              <w:t>Equity Financing Agreements</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7.16</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16 Matters</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7.17</w:t>
            </w:r>
          </w:p>
        </w:tc>
        <w:tc>
          <w:tcPr>
            <w:tcW w:w="7240" w:type="dxa"/>
            <w:vAlign w:val="bottom"/>
          </w:tcPr>
          <w:p>
            <w:pPr>
              <w:ind w:left="240"/>
              <w:spacing w:after="0"/>
              <w:rPr>
                <w:sz w:val="20"/>
                <w:szCs w:val="20"/>
                <w:color w:val="auto"/>
              </w:rPr>
            </w:pPr>
            <w:r>
              <w:rPr>
                <w:rFonts w:ascii="Arial" w:cs="Arial" w:eastAsia="Arial" w:hAnsi="Arial"/>
                <w:sz w:val="18"/>
                <w:szCs w:val="18"/>
                <w:color w:val="auto"/>
              </w:rPr>
              <w:t>Board of Directors</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7.18</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LTIP and ESPP</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7.19</w:t>
            </w:r>
          </w:p>
        </w:tc>
        <w:tc>
          <w:tcPr>
            <w:tcW w:w="7240" w:type="dxa"/>
            <w:vAlign w:val="bottom"/>
          </w:tcPr>
          <w:p>
            <w:pPr>
              <w:ind w:left="240"/>
              <w:spacing w:after="0"/>
              <w:rPr>
                <w:sz w:val="20"/>
                <w:szCs w:val="20"/>
                <w:color w:val="auto"/>
              </w:rPr>
            </w:pPr>
            <w:r>
              <w:rPr>
                <w:rFonts w:ascii="Arial" w:cs="Arial" w:eastAsia="Arial" w:hAnsi="Arial"/>
                <w:sz w:val="18"/>
                <w:szCs w:val="18"/>
                <w:color w:val="auto"/>
              </w:rPr>
              <w:t>Release.</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56</w:t>
            </w:r>
          </w:p>
        </w:tc>
      </w:tr>
      <w:tr>
        <w:trPr>
          <w:trHeight w:val="216"/>
        </w:trPr>
        <w:tc>
          <w:tcPr>
            <w:tcW w:w="8480" w:type="dxa"/>
            <w:vAlign w:val="bottom"/>
            <w:gridSpan w:val="2"/>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ARTICLE VIII CONDITIONS TO THE TRANSACTION</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8.1</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Conditions to Obligations of Each Party’s Obligations</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8.2</w:t>
            </w:r>
          </w:p>
        </w:tc>
        <w:tc>
          <w:tcPr>
            <w:tcW w:w="7240" w:type="dxa"/>
            <w:vAlign w:val="bottom"/>
          </w:tcPr>
          <w:p>
            <w:pPr>
              <w:ind w:left="240"/>
              <w:spacing w:after="0"/>
              <w:rPr>
                <w:sz w:val="20"/>
                <w:szCs w:val="20"/>
                <w:color w:val="auto"/>
              </w:rPr>
            </w:pPr>
            <w:r>
              <w:rPr>
                <w:rFonts w:ascii="Arial" w:cs="Arial" w:eastAsia="Arial" w:hAnsi="Arial"/>
                <w:sz w:val="18"/>
                <w:szCs w:val="18"/>
                <w:color w:val="auto"/>
              </w:rPr>
              <w:t>Additional Conditions to Obligations of the Company</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8.3</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Conditions to the Obligations of Parent and Merger Sub</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58</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TERMINATION</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9.1</w:t>
            </w:r>
          </w:p>
        </w:tc>
        <w:tc>
          <w:tcPr>
            <w:tcW w:w="724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9.2</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of Termination; Effect of Termination</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60</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NO SURVIVAL</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10.1</w:t>
            </w:r>
          </w:p>
        </w:tc>
        <w:tc>
          <w:tcPr>
            <w:tcW w:w="7240" w:type="dxa"/>
            <w:vAlign w:val="bottom"/>
          </w:tcPr>
          <w:p>
            <w:pPr>
              <w:ind w:left="240"/>
              <w:spacing w:after="0"/>
              <w:rPr>
                <w:sz w:val="20"/>
                <w:szCs w:val="20"/>
                <w:color w:val="auto"/>
              </w:rPr>
            </w:pPr>
            <w:r>
              <w:rPr>
                <w:rFonts w:ascii="Arial" w:cs="Arial" w:eastAsia="Arial" w:hAnsi="Arial"/>
                <w:sz w:val="18"/>
                <w:szCs w:val="18"/>
                <w:color w:val="auto"/>
              </w:rPr>
              <w:t>No Survival</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60</w:t>
            </w:r>
          </w:p>
        </w:tc>
      </w:tr>
      <w:tr>
        <w:trPr>
          <w:trHeight w:val="216"/>
        </w:trPr>
        <w:tc>
          <w:tcPr>
            <w:tcW w:w="8480" w:type="dxa"/>
            <w:vAlign w:val="bottom"/>
            <w:gridSpan w:val="2"/>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ARTICLE XI GENERAL PROVISIONS</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61</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11.1</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Notices</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11.2</w:t>
            </w:r>
          </w:p>
        </w:tc>
        <w:tc>
          <w:tcPr>
            <w:tcW w:w="7240" w:type="dxa"/>
            <w:vAlign w:val="bottom"/>
          </w:tcPr>
          <w:p>
            <w:pPr>
              <w:ind w:left="240"/>
              <w:spacing w:after="0"/>
              <w:rPr>
                <w:sz w:val="20"/>
                <w:szCs w:val="20"/>
                <w:color w:val="auto"/>
              </w:rPr>
            </w:pPr>
            <w:r>
              <w:rPr>
                <w:rFonts w:ascii="Arial" w:cs="Arial" w:eastAsia="Arial" w:hAnsi="Arial"/>
                <w:sz w:val="18"/>
                <w:szCs w:val="18"/>
                <w:color w:val="auto"/>
              </w:rPr>
              <w:t>Interpretation</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62</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11.3</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Counterparts; Electronic Delivery</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11.4</w:t>
            </w:r>
          </w:p>
        </w:tc>
        <w:tc>
          <w:tcPr>
            <w:tcW w:w="7240" w:type="dxa"/>
            <w:vAlign w:val="bottom"/>
          </w:tcPr>
          <w:p>
            <w:pPr>
              <w:ind w:left="240"/>
              <w:spacing w:after="0"/>
              <w:rPr>
                <w:sz w:val="20"/>
                <w:szCs w:val="20"/>
                <w:color w:val="auto"/>
              </w:rPr>
            </w:pPr>
            <w:r>
              <w:rPr>
                <w:rFonts w:ascii="Arial" w:cs="Arial" w:eastAsia="Arial" w:hAnsi="Arial"/>
                <w:sz w:val="18"/>
                <w:szCs w:val="18"/>
                <w:color w:val="auto"/>
              </w:rPr>
              <w:t>Entire Agreement; Third Party Beneficiaries</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62</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11.5</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Severability</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11.6</w:t>
            </w:r>
          </w:p>
        </w:tc>
        <w:tc>
          <w:tcPr>
            <w:tcW w:w="7240" w:type="dxa"/>
            <w:vAlign w:val="bottom"/>
          </w:tcPr>
          <w:p>
            <w:pPr>
              <w:ind w:left="240"/>
              <w:spacing w:after="0"/>
              <w:rPr>
                <w:sz w:val="20"/>
                <w:szCs w:val="20"/>
                <w:color w:val="auto"/>
              </w:rPr>
            </w:pPr>
            <w:r>
              <w:rPr>
                <w:rFonts w:ascii="Arial" w:cs="Arial" w:eastAsia="Arial" w:hAnsi="Arial"/>
                <w:sz w:val="18"/>
                <w:szCs w:val="18"/>
                <w:color w:val="auto"/>
              </w:rPr>
              <w:t>Other Remedies; Specific Performance</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11.7</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Governing Law</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11.8</w:t>
            </w:r>
          </w:p>
        </w:tc>
        <w:tc>
          <w:tcPr>
            <w:tcW w:w="7240" w:type="dxa"/>
            <w:vAlign w:val="bottom"/>
          </w:tcPr>
          <w:p>
            <w:pPr>
              <w:ind w:left="240"/>
              <w:spacing w:after="0"/>
              <w:rPr>
                <w:sz w:val="20"/>
                <w:szCs w:val="20"/>
                <w:color w:val="auto"/>
              </w:rPr>
            </w:pPr>
            <w:r>
              <w:rPr>
                <w:rFonts w:ascii="Arial" w:cs="Arial" w:eastAsia="Arial" w:hAnsi="Arial"/>
                <w:sz w:val="18"/>
                <w:szCs w:val="18"/>
                <w:color w:val="auto"/>
              </w:rPr>
              <w:t>Consent to Jurisdiction; Waiver of Jury Trial</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11.9</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Rules of Construction</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11.10</w:t>
            </w:r>
          </w:p>
        </w:tc>
        <w:tc>
          <w:tcPr>
            <w:tcW w:w="7240" w:type="dxa"/>
            <w:vAlign w:val="bottom"/>
          </w:tcPr>
          <w:p>
            <w:pPr>
              <w:ind w:left="240"/>
              <w:spacing w:after="0"/>
              <w:rPr>
                <w:sz w:val="20"/>
                <w:szCs w:val="20"/>
                <w:color w:val="auto"/>
              </w:rPr>
            </w:pPr>
            <w:r>
              <w:rPr>
                <w:rFonts w:ascii="Arial" w:cs="Arial" w:eastAsia="Arial" w:hAnsi="Arial"/>
                <w:sz w:val="18"/>
                <w:szCs w:val="18"/>
                <w:color w:val="auto"/>
              </w:rPr>
              <w:t>Expenses</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11.11</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Assignment</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11.12</w:t>
            </w:r>
          </w:p>
        </w:tc>
        <w:tc>
          <w:tcPr>
            <w:tcW w:w="7240" w:type="dxa"/>
            <w:vAlign w:val="bottom"/>
          </w:tcPr>
          <w:p>
            <w:pPr>
              <w:ind w:left="240"/>
              <w:spacing w:after="0"/>
              <w:rPr>
                <w:sz w:val="20"/>
                <w:szCs w:val="20"/>
                <w:color w:val="auto"/>
              </w:rPr>
            </w:pPr>
            <w:r>
              <w:rPr>
                <w:rFonts w:ascii="Arial" w:cs="Arial" w:eastAsia="Arial" w:hAnsi="Arial"/>
                <w:sz w:val="18"/>
                <w:szCs w:val="18"/>
                <w:color w:val="auto"/>
              </w:rPr>
              <w:t>Amendment</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11.13</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Extension; Waiver</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11.14</w:t>
            </w:r>
          </w:p>
        </w:tc>
        <w:tc>
          <w:tcPr>
            <w:tcW w:w="7240" w:type="dxa"/>
            <w:vAlign w:val="bottom"/>
          </w:tcPr>
          <w:p>
            <w:pPr>
              <w:ind w:left="240"/>
              <w:spacing w:after="0"/>
              <w:rPr>
                <w:sz w:val="20"/>
                <w:szCs w:val="20"/>
                <w:color w:val="auto"/>
              </w:rPr>
            </w:pPr>
            <w:r>
              <w:rPr>
                <w:rFonts w:ascii="Arial" w:cs="Arial" w:eastAsia="Arial" w:hAnsi="Arial"/>
                <w:sz w:val="18"/>
                <w:szCs w:val="18"/>
                <w:color w:val="auto"/>
              </w:rPr>
              <w:t>No Recourse</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65</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11.15</w:t>
            </w: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Legal Representation</w:t>
            </w:r>
          </w:p>
        </w:tc>
        <w:tc>
          <w:tcPr>
            <w:tcW w:w="2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65</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11.16</w:t>
            </w:r>
          </w:p>
        </w:tc>
        <w:tc>
          <w:tcPr>
            <w:tcW w:w="7240" w:type="dxa"/>
            <w:vAlign w:val="bottom"/>
          </w:tcPr>
          <w:p>
            <w:pPr>
              <w:ind w:left="240"/>
              <w:spacing w:after="0"/>
              <w:rPr>
                <w:sz w:val="20"/>
                <w:szCs w:val="20"/>
                <w:color w:val="auto"/>
              </w:rPr>
            </w:pPr>
            <w:r>
              <w:rPr>
                <w:rFonts w:ascii="Arial" w:cs="Arial" w:eastAsia="Arial" w:hAnsi="Arial"/>
                <w:sz w:val="18"/>
                <w:szCs w:val="18"/>
                <w:color w:val="auto"/>
              </w:rPr>
              <w:t>Disclosure Letters and Exhibits</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66</w:t>
            </w:r>
          </w:p>
        </w:tc>
      </w:tr>
      <w:tr>
        <w:trPr>
          <w:trHeight w:val="202"/>
        </w:trPr>
        <w:tc>
          <w:tcPr>
            <w:tcW w:w="8480" w:type="dxa"/>
            <w:vAlign w:val="bottom"/>
            <w:gridSpan w:val="2"/>
          </w:tcPr>
          <w:p>
            <w:pPr>
              <w:spacing w:after="0"/>
              <w:rPr>
                <w:sz w:val="17"/>
                <w:szCs w:val="17"/>
                <w:color w:val="auto"/>
              </w:rPr>
            </w:pPr>
          </w:p>
        </w:tc>
        <w:tc>
          <w:tcPr>
            <w:tcW w:w="2760" w:type="dxa"/>
            <w:vAlign w:val="bottom"/>
          </w:tcPr>
          <w:p>
            <w:pPr>
              <w:spacing w:after="0"/>
              <w:rPr>
                <w:sz w:val="17"/>
                <w:szCs w:val="17"/>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Schedule A DEFINED TERMS</w:t>
            </w:r>
          </w:p>
        </w:tc>
        <w:tc>
          <w:tcPr>
            <w:tcW w:w="27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A Form of Parent Amended and Restated Charter</w:t>
            </w:r>
          </w:p>
        </w:tc>
        <w:tc>
          <w:tcPr>
            <w:tcW w:w="27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B Form of Parent Amended and Restated Bylaws</w:t>
            </w:r>
          </w:p>
        </w:tc>
        <w:tc>
          <w:tcPr>
            <w:tcW w:w="27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C Form of LTIP</w:t>
            </w:r>
          </w:p>
        </w:tc>
        <w:tc>
          <w:tcPr>
            <w:tcW w:w="27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D Form of Employee Stock Purchase Plan</w:t>
            </w:r>
          </w:p>
        </w:tc>
        <w:tc>
          <w:tcPr>
            <w:tcW w:w="27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E Form of Amended and Restated Registration Rights Agreement</w:t>
            </w:r>
          </w:p>
        </w:tc>
        <w:tc>
          <w:tcPr>
            <w:tcW w:w="27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THIS AGREEMENT AND PLAN OF MERGER </w:t>
      </w:r>
      <w:r>
        <w:rPr>
          <w:rFonts w:ascii="Arial" w:cs="Arial" w:eastAsia="Arial" w:hAnsi="Arial"/>
          <w:sz w:val="18"/>
          <w:szCs w:val="18"/>
          <w:color w:val="auto"/>
        </w:rPr>
        <w:t>is made and entered into as of February 9, 2021, by and among CM Life Sciences,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S-IV Sub, Inc., a Delaware corporation and a direct,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Mount Sinai Genomics, Inc., a Delaware corporation, d/b/a Sema4 (the “</w:t>
      </w:r>
      <w:r>
        <w:rPr>
          <w:rFonts w:ascii="Arial" w:cs="Arial" w:eastAsia="Arial" w:hAnsi="Arial"/>
          <w:sz w:val="18"/>
          <w:szCs w:val="18"/>
          <w:u w:val="single" w:color="auto"/>
          <w:color w:val="auto"/>
        </w:rPr>
        <w:t>Company</w:t>
      </w:r>
      <w:r>
        <w:rPr>
          <w:rFonts w:ascii="Arial" w:cs="Arial" w:eastAsia="Arial" w:hAnsi="Arial"/>
          <w:sz w:val="18"/>
          <w:szCs w:val="18"/>
          <w:color w:val="auto"/>
        </w:rPr>
        <w:t>”). Each of the Company, Parent and Merger Sub shall individually be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The term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as used herein refers to this Agreement and Plan of Merger, as the same may be amended from time to time, and all schedules, exhibits and annexes hereto (including the Company Disclosure Letter and the Parent Disclosure Letter, as defined herein). Defined terms used in this Agreement are listed alphabetically in </w:t>
      </w:r>
      <w:r>
        <w:rPr>
          <w:rFonts w:ascii="Arial" w:cs="Arial" w:eastAsia="Arial" w:hAnsi="Arial"/>
          <w:sz w:val="18"/>
          <w:szCs w:val="18"/>
          <w:u w:val="single" w:color="auto"/>
          <w:color w:val="auto"/>
        </w:rPr>
        <w:t>Schedule A</w:t>
      </w:r>
      <w:r>
        <w:rPr>
          <w:rFonts w:ascii="Arial" w:cs="Arial" w:eastAsia="Arial" w:hAnsi="Arial"/>
          <w:sz w:val="18"/>
          <w:szCs w:val="18"/>
          <w:color w:val="auto"/>
        </w:rPr>
        <w:t>, together with the section and, if applicable, subsection in which the definition of each such term is located.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Parent is a blank check company incorporated in Delaware for the purpose of effecting a merger, capital stock exchange, asset</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stock purchase, reorganization or similar business combination with one or more businesses.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terms and subject to the conditions of this Agreement and in accordance with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other applicable Legal Requirements (collectively, as applicable based on context, the “</w:t>
      </w:r>
      <w:r>
        <w:rPr>
          <w:rFonts w:ascii="Arial" w:cs="Arial" w:eastAsia="Arial" w:hAnsi="Arial"/>
          <w:sz w:val="18"/>
          <w:szCs w:val="18"/>
          <w:u w:val="single" w:color="auto"/>
          <w:color w:val="auto"/>
        </w:rPr>
        <w:t>Applicable Legal Requirements</w:t>
      </w:r>
      <w:r>
        <w:rPr>
          <w:rFonts w:ascii="Arial" w:cs="Arial" w:eastAsia="Arial" w:hAnsi="Arial"/>
          <w:sz w:val="18"/>
          <w:szCs w:val="18"/>
          <w:color w:val="auto"/>
        </w:rPr>
        <w:t>”), the Parties intend to enter into a business combination transaction by which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being the surviving corporation of the Merger (the Company, in its capacity as the surviving corporation of the Merger, is sometimes referred to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income tax purposes (and for purposes of any applicable state or local tax Legal Requirements that follows the U.S.</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income tax treatment), each of the Parties intends that the Merger will constitute a transaction that qualifies as a “reorganization” within the meaning of Section 368(a) of the Code and any comparable provision of state or local tax Legal Requirements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and that this Agreement be, and hereby is, adopted as a “plan of reorganization” for the purposes of Section 368 of the Code and Treasury Regulations Section 1.368-2(g).</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has unanimously: (a) determined that it is in the best interests of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and declared it advisable, to enter into this Agreement providing for the Merger in accordance with the DGCL; (b) approved this Agreement and the Transactions, including the Merger in accordance with the DGCL, on the terms and subject to the conditions of this Agreement; and (c) adopted a resolution recommending the plan of merger set forth in this Agreement be adopted by the stockholders of the Company.</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following execution of this Agreement, the Company shall to seek to obtain and deliver to Parent as promptly as practicable, and in</w:t>
      </w:r>
      <w:r>
        <w:rPr>
          <w:rFonts w:ascii="Arial" w:cs="Arial" w:eastAsia="Arial" w:hAnsi="Arial"/>
          <w:sz w:val="17"/>
          <w:szCs w:val="17"/>
          <w:b w:val="1"/>
          <w:bCs w:val="1"/>
          <w:color w:val="auto"/>
        </w:rPr>
        <w:t xml:space="preserve"> </w:t>
      </w:r>
      <w:r>
        <w:rPr>
          <w:rFonts w:ascii="Arial" w:cs="Arial" w:eastAsia="Arial" w:hAnsi="Arial"/>
          <w:sz w:val="17"/>
          <w:szCs w:val="17"/>
          <w:color w:val="auto"/>
        </w:rPr>
        <w:t>any event no later than 24 hours following execution of this Agreement (the “</w:t>
      </w:r>
      <w:r>
        <w:rPr>
          <w:rFonts w:ascii="Arial" w:cs="Arial" w:eastAsia="Arial" w:hAnsi="Arial"/>
          <w:sz w:val="17"/>
          <w:szCs w:val="17"/>
          <w:u w:val="single" w:color="auto"/>
          <w:color w:val="auto"/>
        </w:rPr>
        <w:t>Company Stockholder Approval Deadline</w:t>
      </w:r>
      <w:r>
        <w:rPr>
          <w:rFonts w:ascii="Arial" w:cs="Arial" w:eastAsia="Arial" w:hAnsi="Arial"/>
          <w:sz w:val="17"/>
          <w:szCs w:val="17"/>
          <w:color w:val="auto"/>
        </w:rPr>
        <w:t>”): (a) a written consent of the stockholders of the Company (the “</w:t>
      </w:r>
      <w:r>
        <w:rPr>
          <w:rFonts w:ascii="Arial" w:cs="Arial" w:eastAsia="Arial" w:hAnsi="Arial"/>
          <w:sz w:val="17"/>
          <w:szCs w:val="17"/>
          <w:u w:val="single" w:color="auto"/>
          <w:color w:val="auto"/>
        </w:rPr>
        <w:t>Stockholder Consent and Joinder</w:t>
      </w:r>
      <w:r>
        <w:rPr>
          <w:rFonts w:ascii="Arial" w:cs="Arial" w:eastAsia="Arial" w:hAnsi="Arial"/>
          <w:sz w:val="17"/>
          <w:szCs w:val="17"/>
          <w:color w:val="auto"/>
        </w:rPr>
        <w:t>”), pursuant to which the requisite number of stockholders of the Company required to approve and adopt this Agreement, the Merger and the other Transactions under the Company Charter and the DGCL (the “</w:t>
      </w:r>
      <w:r>
        <w:rPr>
          <w:rFonts w:ascii="Arial" w:cs="Arial" w:eastAsia="Arial" w:hAnsi="Arial"/>
          <w:sz w:val="17"/>
          <w:szCs w:val="17"/>
          <w:u w:val="single" w:color="auto"/>
          <w:color w:val="auto"/>
        </w:rPr>
        <w:t>Company Stockholder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Approval</w:t>
      </w:r>
      <w:r>
        <w:rPr>
          <w:rFonts w:ascii="Arial" w:cs="Arial" w:eastAsia="Arial" w:hAnsi="Arial"/>
          <w:sz w:val="17"/>
          <w:szCs w:val="17"/>
          <w:color w:val="auto"/>
        </w:rPr>
        <w:t>” and such consenting stockholders of the Company, the “</w:t>
      </w:r>
      <w:r>
        <w:rPr>
          <w:rFonts w:ascii="Arial" w:cs="Arial" w:eastAsia="Arial" w:hAnsi="Arial"/>
          <w:sz w:val="17"/>
          <w:szCs w:val="17"/>
          <w:u w:val="single" w:color="auto"/>
          <w:color w:val="auto"/>
        </w:rPr>
        <w:t>Consenting Stockholders</w:t>
      </w:r>
      <w:r>
        <w:rPr>
          <w:rFonts w:ascii="Arial" w:cs="Arial" w:eastAsia="Arial" w:hAnsi="Arial"/>
          <w:sz w:val="17"/>
          <w:szCs w:val="17"/>
          <w:color w:val="auto"/>
        </w:rPr>
        <w:t>”) will so approve and adopt this Agreement, the Merger and the other Transaction and (b) a lock-up letter agreement (the “</w:t>
      </w:r>
      <w:r>
        <w:rPr>
          <w:rFonts w:ascii="Arial" w:cs="Arial" w:eastAsia="Arial" w:hAnsi="Arial"/>
          <w:sz w:val="17"/>
          <w:szCs w:val="17"/>
          <w:u w:val="single" w:color="auto"/>
          <w:color w:val="auto"/>
        </w:rPr>
        <w:t>Stockholder Lock-Up Agreement</w:t>
      </w:r>
      <w:r>
        <w:rPr>
          <w:rFonts w:ascii="Arial" w:cs="Arial" w:eastAsia="Arial" w:hAnsi="Arial"/>
          <w:sz w:val="17"/>
          <w:szCs w:val="17"/>
          <w:color w:val="auto"/>
        </w:rPr>
        <w:t>”) executed by each Consenting Stockholder, pursuant to which such Consenting Stockholder agrees to certain restrictions on its ability to sell or otherwise dispose of the shares of Parent Class A Stock such Consenting Stockholder receives pursuant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Parent has unanimously: (a) determined that it is in the best interests of Parent and the stockholders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Parent, and declared it advisable, to enter into this Agreement providing for the Merger in accordance with the DGCL; (b) determined that the fair market value of the Company is equal to at least 80% of the amount held in the Trust Account (excluding any deferred underwriting commissions and taxes payable on interest earned) as of the date hereof; (c) approved this Agreement and the Transactions, including the Merger in accordance with the DGCL, on the terms and subject to the conditions of this Agreement; and (d) adopted a resolution recommending the plan of merger set forth in this Agreement be adopted by the stockholders of Parent (the “</w:t>
      </w:r>
      <w:r>
        <w:rPr>
          <w:rFonts w:ascii="Arial" w:cs="Arial" w:eastAsia="Arial" w:hAnsi="Arial"/>
          <w:sz w:val="17"/>
          <w:szCs w:val="17"/>
          <w:u w:val="single" w:color="auto"/>
          <w:color w:val="auto"/>
        </w:rPr>
        <w:t>Parent Recommendation</w:t>
      </w:r>
      <w:r>
        <w:rPr>
          <w:rFonts w:ascii="Arial" w:cs="Arial" w:eastAsia="Arial" w:hAnsi="Arial"/>
          <w:sz w:val="17"/>
          <w:szCs w:val="17"/>
          <w:color w:val="auto"/>
        </w:rPr>
        <w:t>”).</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prior to the Closing, Parent shall: (a) subject to obtaining the approval of the Parent Stockholder Matters, adopt the Third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and Restated Certificate of Incorporation of Parent (the “</w:t>
      </w:r>
      <w:r>
        <w:rPr>
          <w:rFonts w:ascii="Arial" w:cs="Arial" w:eastAsia="Arial" w:hAnsi="Arial"/>
          <w:sz w:val="17"/>
          <w:szCs w:val="17"/>
          <w:u w:val="single" w:color="auto"/>
          <w:color w:val="auto"/>
        </w:rPr>
        <w:t>Parent A&amp;R Charter</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(b) amend and restate the existing bylaws of Parent (the “</w:t>
      </w:r>
      <w:r>
        <w:rPr>
          <w:rFonts w:ascii="Arial" w:cs="Arial" w:eastAsia="Arial" w:hAnsi="Arial"/>
          <w:sz w:val="17"/>
          <w:szCs w:val="17"/>
          <w:u w:val="single" w:color="auto"/>
          <w:color w:val="auto"/>
        </w:rPr>
        <w:t>Parent A&amp;R Bylaws</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(c) adopt an equity incentive plan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(as such form may be modified in accordance with Section 7.18) (the “</w:t>
      </w:r>
      <w:r>
        <w:rPr>
          <w:rFonts w:ascii="Arial" w:cs="Arial" w:eastAsia="Arial" w:hAnsi="Arial"/>
          <w:sz w:val="17"/>
          <w:szCs w:val="17"/>
          <w:u w:val="single" w:color="auto"/>
          <w:color w:val="auto"/>
        </w:rPr>
        <w:t>LTIP</w:t>
      </w:r>
      <w:r>
        <w:rPr>
          <w:rFonts w:ascii="Arial" w:cs="Arial" w:eastAsia="Arial" w:hAnsi="Arial"/>
          <w:sz w:val="17"/>
          <w:szCs w:val="17"/>
          <w:color w:val="auto"/>
        </w:rPr>
        <w:t xml:space="preserve">”) and (d) adopt an employee stock purchase plan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(as such form may be modified in accordance with Section 7.18) (the “</w:t>
      </w:r>
      <w:r>
        <w:rPr>
          <w:rFonts w:ascii="Arial" w:cs="Arial" w:eastAsia="Arial" w:hAnsi="Arial"/>
          <w:sz w:val="17"/>
          <w:szCs w:val="17"/>
          <w:u w:val="single" w:color="auto"/>
          <w:color w:val="auto"/>
        </w:rPr>
        <w:t>ESPP</w:t>
      </w:r>
      <w:r>
        <w:rPr>
          <w:rFonts w:ascii="Arial" w:cs="Arial" w:eastAsia="Arial" w:hAnsi="Arial"/>
          <w:sz w:val="17"/>
          <w:szCs w:val="17"/>
          <w:color w:val="auto"/>
        </w:rPr>
        <w:t>”).</w:t>
      </w:r>
    </w:p>
    <w:p>
      <w:pPr>
        <w:spacing w:after="0" w:line="16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or about the date hereof, Parent has obtained commitments from the Equity Financing Investors for equity financing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Subscription Agreements, with such equity financings to be consummated immediately prior to the consummation of the Transactions.</w:t>
      </w:r>
    </w:p>
    <w:p>
      <w:pPr>
        <w:spacing w:after="0" w:line="14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consummation of the Merger, Parent and the Company Stockholders will enter into an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Rights Agreement (the “</w:t>
      </w:r>
      <w:r>
        <w:rPr>
          <w:rFonts w:ascii="Arial" w:cs="Arial" w:eastAsia="Arial" w:hAnsi="Arial"/>
          <w:sz w:val="17"/>
          <w:szCs w:val="17"/>
          <w:u w:val="single" w:color="auto"/>
          <w:color w:val="auto"/>
        </w:rPr>
        <w:t>A&amp;R Registration Rights Agreement</w:t>
      </w:r>
      <w:r>
        <w:rPr>
          <w:rFonts w:ascii="Arial" w:cs="Arial" w:eastAsia="Arial" w:hAnsi="Arial"/>
          <w:sz w:val="17"/>
          <w:szCs w:val="17"/>
          <w:color w:val="auto"/>
        </w:rPr>
        <w:t xml:space="preserve">”) substantially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Company’s willingness to enter into this Agreement, simultaneously with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the Sponsor has executed and delivered to the Company the Sponsor Support Agreement (as defined below) pursuant to which the Sponsor has agreed to, among other things, vote to adopt and approve this Agreement and the other documents contemplated hereby and the transactions contemplated hereby and thereby.</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promises and representations set forth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CLOSING TRANSACTIONS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 Unless this Agreement shall have been terminated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 the consummation of the Transactions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other than the filing of the Certificate of Merger (as defined below), shall take place by electronic exchange of documents and signatures at a time and date to be specified in writing by the Parties, which shall be no later than the third Business Day after the satisfaction or waiver of the conditions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(other than those conditions that by their nature are to be satisfied at the Closing, but subject to the satisfaction or waiver of those conditions), or at such other time, date and location as the Parties agree in writing (the date on which the Closing occurs,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Parties agree that the Closing signatures may be transmitted by email pdf files.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Parent Financing Certificate</w:t>
      </w:r>
      <w:r>
        <w:rPr>
          <w:rFonts w:ascii="Arial" w:cs="Arial" w:eastAsia="Arial" w:hAnsi="Arial"/>
          <w:sz w:val="18"/>
          <w:szCs w:val="18"/>
          <w:color w:val="auto"/>
        </w:rPr>
        <w:t xml:space="preserve"> . Not more than two Business Days prior to the Closing, Parent shall deliver to the Company written notice (the “</w:t>
      </w:r>
      <w:r>
        <w:rPr>
          <w:rFonts w:ascii="Arial" w:cs="Arial" w:eastAsia="Arial" w:hAnsi="Arial"/>
          <w:sz w:val="18"/>
          <w:szCs w:val="18"/>
          <w:u w:val="single" w:color="auto"/>
          <w:color w:val="auto"/>
        </w:rPr>
        <w:t>Parent Financing Certificate</w:t>
      </w:r>
      <w:r>
        <w:rPr>
          <w:rFonts w:ascii="Arial" w:cs="Arial" w:eastAsia="Arial" w:hAnsi="Arial"/>
          <w:sz w:val="18"/>
          <w:szCs w:val="18"/>
          <w:color w:val="auto"/>
        </w:rPr>
        <w:t>”) setting forth: (a) the aggregate amount of cash proceeds that will be required to satisfy any exercise of the Parent Stockholder Redemptions; (b) the amount of Parent Cash and Parent Transaction Costs as of the Closing; (c) the aggregate amount of the equity financing committed to Parent by the Equity Financing Agreements and (d) the number of shares of Parent Class A Stock to be outstanding as of the Closing after giving effect to the Parent Stockholder Redemptions, any forfeitures of shares of Parent Class A Stock by the Sponsor pursuant to the Sponsor Forfeiture Agreement, dated as of the date hereof, between the Parent and the Company, and the issuance of shares of Parent Class A Stock pursuant to the Equity Financing Agreements.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Closing Documents</w:t>
      </w:r>
      <w:r>
        <w:rPr>
          <w:rFonts w:ascii="Arial" w:cs="Arial" w:eastAsia="Arial" w:hAnsi="Arial"/>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Closing, Parent or Merger Sub, as applicable, shall deliver to the Company:</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certified copy of the Parent A&amp;R Charter and the Parent A&amp;R Bylaws;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 copy of the A&amp;R Registration Rights Agreement, duly executed by Parent, Sponsor and the other existing parties thereto;</w:t>
      </w:r>
    </w:p>
    <w:p>
      <w:pPr>
        <w:spacing w:after="0" w:line="236" w:lineRule="exact"/>
        <w:rPr>
          <w:rFonts w:ascii="Arial" w:cs="Arial" w:eastAsia="Arial" w:hAnsi="Arial"/>
          <w:sz w:val="17"/>
          <w:szCs w:val="17"/>
          <w:color w:val="auto"/>
        </w:rPr>
      </w:pPr>
    </w:p>
    <w:p>
      <w:pPr>
        <w:ind w:left="660" w:firstLine="644"/>
        <w:spacing w:after="0" w:line="277" w:lineRule="auto"/>
        <w:tabs>
          <w:tab w:leader="none" w:pos="1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copies of resolutions and actions taken by Parent’s and Merger Sub’s board of directors and stockholders in connection with the approval of this Agreement and the Transactions;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623" w:val="left"/>
        </w:tabs>
        <w:numPr>
          <w:ilvl w:val="1"/>
          <w:numId w:val="5"/>
        </w:numPr>
        <w:rPr>
          <w:rFonts w:ascii="Arial" w:cs="Arial" w:eastAsia="Arial" w:hAnsi="Arial"/>
          <w:sz w:val="18"/>
          <w:szCs w:val="18"/>
          <w:color w:val="auto"/>
        </w:rPr>
      </w:pPr>
      <w:r>
        <w:rPr>
          <w:rFonts w:ascii="Arial" w:cs="Arial" w:eastAsia="Arial" w:hAnsi="Arial"/>
          <w:sz w:val="18"/>
          <w:szCs w:val="18"/>
          <w:color w:val="auto"/>
        </w:rPr>
        <w:t>written resignations in forms satisfactory to the Company, dated as of the Closing Date and effective as of the Closing executed by the officers and directors of Merger Sub and the officers and directors of Parent who will not retain such positions upon the Closing, as mutually agreed by Parent and the Company;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Indemnification Agreements, duly executed by Parent;</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all other documents, instruments or certificates required to be delivered by Parent at or prior to the Closing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Closing, the Company shall deliver to Parent: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copy of the Certificate of Merger, duly executed by the Company;</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copy of the A&amp;R Registration Rights Agreement, duly executed by the Consenting Stockholders;</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copy of the Sponsor Agreement, duly executed by the Company;</w:t>
      </w:r>
    </w:p>
    <w:p>
      <w:pPr>
        <w:spacing w:after="0" w:line="225" w:lineRule="exact"/>
        <w:rPr>
          <w:rFonts w:ascii="Arial" w:cs="Arial" w:eastAsia="Arial" w:hAnsi="Arial"/>
          <w:sz w:val="18"/>
          <w:szCs w:val="18"/>
          <w:color w:val="auto"/>
        </w:rPr>
      </w:pPr>
    </w:p>
    <w:p>
      <w:pPr>
        <w:ind w:left="660" w:firstLine="644"/>
        <w:spacing w:after="0" w:line="277" w:lineRule="auto"/>
        <w:tabs>
          <w:tab w:leader="none" w:pos="1624" w:val="left"/>
        </w:tabs>
        <w:numPr>
          <w:ilvl w:val="1"/>
          <w:numId w:val="5"/>
        </w:numPr>
        <w:rPr>
          <w:rFonts w:ascii="Arial" w:cs="Arial" w:eastAsia="Arial" w:hAnsi="Arial"/>
          <w:sz w:val="18"/>
          <w:szCs w:val="18"/>
          <w:color w:val="auto"/>
        </w:rPr>
      </w:pPr>
      <w:r>
        <w:rPr>
          <w:rFonts w:ascii="Arial" w:cs="Arial" w:eastAsia="Arial" w:hAnsi="Arial"/>
          <w:sz w:val="18"/>
          <w:szCs w:val="18"/>
          <w:color w:val="auto"/>
        </w:rPr>
        <w:t>copies of resolutions and actions taken by the Company’s board of directors and the Company Stockholders in connection with the approval of this Agreement and the Transactions;</w:t>
      </w:r>
    </w:p>
    <w:p>
      <w:pPr>
        <w:spacing w:after="0" w:line="170" w:lineRule="exact"/>
        <w:rPr>
          <w:rFonts w:ascii="Arial" w:cs="Arial" w:eastAsia="Arial" w:hAnsi="Arial"/>
          <w:sz w:val="18"/>
          <w:szCs w:val="18"/>
          <w:color w:val="auto"/>
        </w:rPr>
      </w:pPr>
    </w:p>
    <w:p>
      <w:pPr>
        <w:jc w:val="both"/>
        <w:ind w:left="660" w:firstLine="644"/>
        <w:spacing w:after="0" w:line="270" w:lineRule="auto"/>
        <w:tabs>
          <w:tab w:leader="none" w:pos="1590"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a schedule reflecting: (A) the calculation of the Closing Available Cash, Closing Available Excess Cash, Closing Cash Payment Amount and the Closing Number of Securities, in each case, based upon the amounts contained in the Parent Financing Certificate; (B) the calculation, as of the Closing, of the Aggregate Company Share Amount, Total Outstanding Company Shares, each Company Stockholder’s Total Stockholder Outstanding Shares, the Per Share Amount and the Earn-Out Total Outstanding Shares; (C) each Company Stockholder’s Cash Cap (if any), Cash Pro Rata Share (expressed as both a dollar amount and percentage), Cash Pro Rata Share Excess Percentage, Cash Pro Rata Share Excess Amount and Stockholder Cash Payment Amount; (D) the portion of the Closing Number of Securities issuable to each Company Stockholder at Closing pursuant to </w:t>
      </w:r>
      <w:r>
        <w:rPr>
          <w:rFonts w:ascii="Arial" w:cs="Arial" w:eastAsia="Arial" w:hAnsi="Arial"/>
          <w:sz w:val="17"/>
          <w:szCs w:val="17"/>
          <w:u w:val="single" w:color="auto"/>
          <w:color w:val="auto"/>
        </w:rPr>
        <w:t>Section 2.7(a)(ii)</w:t>
      </w:r>
      <w:r>
        <w:rPr>
          <w:rFonts w:ascii="Arial" w:cs="Arial" w:eastAsia="Arial" w:hAnsi="Arial"/>
          <w:sz w:val="17"/>
          <w:szCs w:val="17"/>
          <w:color w:val="auto"/>
        </w:rPr>
        <w:t xml:space="preserve">; and (E) each Company Stockholder’s Earn-Out Pro Rata Share of the Earn-Out Shares to be issued upon the occurrence of each Triggering Event in accordance with </w:t>
      </w:r>
      <w:r>
        <w:rPr>
          <w:rFonts w:ascii="Arial" w:cs="Arial" w:eastAsia="Arial" w:hAnsi="Arial"/>
          <w:sz w:val="17"/>
          <w:szCs w:val="17"/>
          <w:u w:val="single" w:color="auto"/>
          <w:color w:val="auto"/>
        </w:rPr>
        <w:t>Article III</w:t>
      </w:r>
      <w:r>
        <w:rPr>
          <w:rFonts w:ascii="Arial" w:cs="Arial" w:eastAsia="Arial" w:hAnsi="Arial"/>
          <w:sz w:val="17"/>
          <w:szCs w:val="17"/>
          <w:color w:val="auto"/>
        </w:rPr>
        <w:t>, based on the Earn-Out Total Outstanding Shares and Earn-Out RSUs as of the Closing; and</w:t>
      </w:r>
    </w:p>
    <w:p>
      <w:pPr>
        <w:spacing w:after="0" w:line="180" w:lineRule="exact"/>
        <w:rPr>
          <w:rFonts w:ascii="Arial" w:cs="Arial" w:eastAsia="Arial" w:hAnsi="Arial"/>
          <w:sz w:val="17"/>
          <w:szCs w:val="17"/>
          <w:color w:val="auto"/>
        </w:rPr>
      </w:pPr>
    </w:p>
    <w:p>
      <w:pPr>
        <w:ind w:left="1600" w:hanging="296"/>
        <w:spacing w:after="0"/>
        <w:tabs>
          <w:tab w:leader="none" w:pos="1600"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all other documents, instruments or certificates required to be delivered by the Company at or prior to the Closing pursuant to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8.3</w:t>
      </w: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648"/>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Closing Transactions</w:t>
      </w:r>
      <w:r>
        <w:rPr>
          <w:rFonts w:ascii="Arial" w:cs="Arial" w:eastAsia="Arial" w:hAnsi="Arial"/>
          <w:sz w:val="18"/>
          <w:szCs w:val="18"/>
          <w:color w:val="auto"/>
        </w:rPr>
        <w:t>. At the Closing and on the Closing Date, the Parties shall cause the consummation of the following transactions in the following order, upon the terms and subject to the conditions of this Agreement:</w:t>
      </w:r>
    </w:p>
    <w:p>
      <w:pPr>
        <w:spacing w:after="0" w:line="170" w:lineRule="exact"/>
        <w:rPr>
          <w:sz w:val="20"/>
          <w:szCs w:val="20"/>
          <w:color w:val="auto"/>
        </w:rPr>
      </w:pPr>
    </w:p>
    <w:p>
      <w:pPr>
        <w:ind w:firstLine="656"/>
        <w:spacing w:after="0" w:line="277" w:lineRule="auto"/>
        <w:tabs>
          <w:tab w:leader="none" w:pos="931"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Parent shall make any payments in the aggregate amount of cash proceeds that will be required to satisfy any exercise of the Parent Stockholder Redemptions.</w:t>
      </w:r>
    </w:p>
    <w:p>
      <w:pPr>
        <w:spacing w:after="0" w:line="170" w:lineRule="exact"/>
        <w:rPr>
          <w:rFonts w:ascii="Arial" w:cs="Arial" w:eastAsia="Arial" w:hAnsi="Arial"/>
          <w:sz w:val="18"/>
          <w:szCs w:val="18"/>
          <w:color w:val="auto"/>
        </w:rPr>
      </w:pPr>
    </w:p>
    <w:p>
      <w:pPr>
        <w:ind w:right="20" w:firstLine="656"/>
        <w:spacing w:after="0" w:line="277" w:lineRule="auto"/>
        <w:tabs>
          <w:tab w:leader="none" w:pos="912"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Parent shall pay, or cause to be paid, all Parent Transaction Costs and Company Transaction Costs to the applicable payees, to the extent not paid prior to the Closing.</w:t>
      </w:r>
    </w:p>
    <w:p>
      <w:pPr>
        <w:spacing w:after="0" w:line="170" w:lineRule="exact"/>
        <w:rPr>
          <w:rFonts w:ascii="Arial" w:cs="Arial" w:eastAsia="Arial" w:hAnsi="Arial"/>
          <w:sz w:val="18"/>
          <w:szCs w:val="18"/>
          <w:color w:val="auto"/>
        </w:rPr>
      </w:pPr>
    </w:p>
    <w:p>
      <w:pPr>
        <w:ind w:right="20" w:firstLine="656"/>
        <w:spacing w:after="0" w:line="277" w:lineRule="auto"/>
        <w:tabs>
          <w:tab w:leader="none" w:pos="9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certificate of merger with respect to the Merger shall be prepared and executed in accordance with the relevant provisions of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and filed with the Secretary of State of the State of Delaware.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Parent shall contribute to the Company an amount equal to or greater than the Company’s Required Funds.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Parent shall deposit (or cause to be deposited) with the Exchange Agent the Closing Cash Payment Amount and the Closing Number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MERGER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terms and subject to the conditions of this Agreement, on the Closing Date the Company and Merger Sub shall cause the Merger to be consummated by filing the Certificate of Merger with the Secretary of State of the State of Delaware, in accordance with the applicable provisions of the DGCL (the time of such filing, or such later time as may be agreed in writing by the Company and Parent and specified in the Certificate of Merger, being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upon the terms and subject to the conditions of this Agreement and in accordance with the applicable provisions of the DGCL, Merger Sub and the Company shall consummate the Merger, pursuant to which Merger Sub shall be merged with and into the Company, following which the separate corporate existence of Merger Sub shall cease and the Company shall continue as the Surviving Corporation after the Merger and as a direct, wholly-owned subsidiary of Parent.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Merger Sub and the Company set forth in this Agreement to be performed after the Effective Time.</w:t>
      </w:r>
    </w:p>
    <w:p>
      <w:pPr>
        <w:spacing w:after="0" w:line="192"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Governing Documents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7.12</w:t>
      </w:r>
      <w:r>
        <w:rPr>
          <w:rFonts w:ascii="Arial" w:cs="Arial" w:eastAsia="Arial" w:hAnsi="Arial"/>
          <w:sz w:val="16"/>
          <w:szCs w:val="16"/>
          <w:color w:val="auto"/>
        </w:rPr>
        <w:t>, at the Effective Time, the certificate of incorporation and bylaws of the Surviving Corporation shall be amended to read the same as the certificate of incorporation and bylaws of Merger Sub as in effect immediately prior to the Effective Time, except that the name of the Surviving Corporation shall be the name determined by the Company (and reasonably acceptable to Parent).</w:t>
      </w:r>
    </w:p>
    <w:p>
      <w:pPr>
        <w:spacing w:after="0" w:line="14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Directors and Officers of the Surviving Corporation</w:t>
      </w:r>
      <w:r>
        <w:rPr>
          <w:rFonts w:ascii="Arial" w:cs="Arial" w:eastAsia="Arial" w:hAnsi="Arial"/>
          <w:sz w:val="16"/>
          <w:szCs w:val="16"/>
          <w:color w:val="auto"/>
        </w:rPr>
        <w:t>. Immediately after the Effective Time, the board of directors and executive officers of the Surviving Corporation shall be the board of directors and executive officers of the Company as of immediately prior to the Effective Time.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225" w:lineRule="exact"/>
        <w:rPr>
          <w:sz w:val="20"/>
          <w:szCs w:val="20"/>
          <w:color w:val="auto"/>
        </w:rPr>
      </w:pPr>
    </w:p>
    <w:p>
      <w:pPr>
        <w:ind w:left="900" w:hanging="244"/>
        <w:spacing w:after="0"/>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Upon the terms and subject to the conditions of this Agreement, the aggregate consideration to be paid to the Company Stockholders shall be:</w:t>
      </w:r>
    </w:p>
    <w:p>
      <w:pPr>
        <w:spacing w:after="0" w:line="46" w:lineRule="exact"/>
        <w:rPr>
          <w:rFonts w:ascii="Arial" w:cs="Arial" w:eastAsia="Arial" w:hAnsi="Arial"/>
          <w:sz w:val="16"/>
          <w:szCs w:val="16"/>
          <w:color w:val="auto"/>
        </w:rPr>
      </w:pPr>
    </w:p>
    <w:p>
      <w:pPr>
        <w:ind w:firstLine="8"/>
        <w:spacing w:after="0" w:line="260" w:lineRule="auto"/>
        <w:tabs>
          <w:tab w:leader="none" w:pos="23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Closing Merger Consideration; and (ii) the contingent right to receive the Earn-Out Shares following the Closing in accordance with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Total Consideration</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firstLine="656"/>
        <w:spacing w:after="0" w:line="277" w:lineRule="auto"/>
        <w:tabs>
          <w:tab w:leader="none" w:pos="92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Closing Merger Consideration shall be paid or issued, as applicable, in the form of: (i) an amount in cash equal to the Closing Cash Payment Amount; and (ii) the Closing Number of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Effect of the Merger on the Company Common Stock and Company Preferred Stock</w:t>
      </w:r>
    </w:p>
    <w:p>
      <w:pPr>
        <w:spacing w:after="0" w:line="23" w:lineRule="exact"/>
        <w:rPr>
          <w:sz w:val="20"/>
          <w:szCs w:val="20"/>
          <w:color w:val="auto"/>
        </w:rPr>
      </w:pPr>
    </w:p>
    <w:p>
      <w:pPr>
        <w:ind w:firstLine="8"/>
        <w:spacing w:after="0" w:line="290" w:lineRule="auto"/>
        <w:tabs>
          <w:tab w:leader="none" w:pos="96"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this Agreement, at the Effective Time, by virtue of the Merger and without any further action on the part of Parent, Merger Sub, the Company, the Company Stockholders or the holders of any of the securities of Parent, the following shall occur:</w:t>
      </w:r>
    </w:p>
    <w:p>
      <w:pPr>
        <w:spacing w:after="0" w:line="164" w:lineRule="exact"/>
        <w:rPr>
          <w:rFonts w:ascii="Arial" w:cs="Arial" w:eastAsia="Arial" w:hAnsi="Arial"/>
          <w:sz w:val="17"/>
          <w:szCs w:val="17"/>
          <w:color w:val="auto"/>
        </w:rPr>
      </w:pPr>
    </w:p>
    <w:p>
      <w:pPr>
        <w:jc w:val="both"/>
        <w:ind w:firstLine="656"/>
        <w:spacing w:after="0" w:line="233" w:lineRule="auto"/>
        <w:tabs>
          <w:tab w:leader="none" w:pos="895"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share of Class B Common Stock issued and outstanding immediately prior to the Effective Time will be converted into 1/100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a share of Class A Common Stock in accordance with the Company Organizational Documents. Immediately thereafter, each share of Company Common Stock and Company Preferred Stock (other than Excluded Shares and Dissenting Shares) issued and outstanding immediately prior to the Effective Time will be cancelled and automatically deemed for all purposes to represent the right to receive a portion of the Total Consideration, with each Company Stockholder being entitled to receive:</w:t>
      </w:r>
    </w:p>
    <w:p>
      <w:pPr>
        <w:spacing w:after="0" w:line="205" w:lineRule="exact"/>
        <w:rPr>
          <w:rFonts w:ascii="Arial" w:cs="Arial" w:eastAsia="Arial" w:hAnsi="Arial"/>
          <w:sz w:val="18"/>
          <w:szCs w:val="18"/>
          <w:color w:val="auto"/>
        </w:rPr>
      </w:pPr>
    </w:p>
    <w:p>
      <w:pPr>
        <w:jc w:val="both"/>
        <w:ind w:left="660" w:firstLine="644"/>
        <w:spacing w:after="0" w:line="257" w:lineRule="auto"/>
        <w:tabs>
          <w:tab w:leader="none" w:pos="1530" w:val="left"/>
        </w:tabs>
        <w:numPr>
          <w:ilvl w:val="2"/>
          <w:numId w:val="9"/>
        </w:numPr>
        <w:rPr>
          <w:rFonts w:ascii="Arial" w:cs="Arial" w:eastAsia="Arial" w:hAnsi="Arial"/>
          <w:sz w:val="18"/>
          <w:szCs w:val="18"/>
          <w:color w:val="auto"/>
        </w:rPr>
      </w:pPr>
      <w:r>
        <w:rPr>
          <w:rFonts w:ascii="Arial" w:cs="Arial" w:eastAsia="Arial" w:hAnsi="Arial"/>
          <w:sz w:val="18"/>
          <w:szCs w:val="18"/>
          <w:color w:val="auto"/>
        </w:rPr>
        <w:t>if such Company Stockholder has made a Cash Election, such Company Stockholder’s Cash Pro Rata Share of the Closing Available Cash and, if applicable, such Company Stockholder’s Cash Pro Rata Share Excess Amount of the Closing Available Excess Cash (such aggregate amount in cash, the “</w:t>
      </w:r>
      <w:r>
        <w:rPr>
          <w:rFonts w:ascii="Arial" w:cs="Arial" w:eastAsia="Arial" w:hAnsi="Arial"/>
          <w:sz w:val="18"/>
          <w:szCs w:val="18"/>
          <w:u w:val="single" w:color="auto"/>
          <w:color w:val="auto"/>
        </w:rPr>
        <w:t>Stockholder Cash Payment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Company Stockholder’s Stockholder Cash Payment Amount exceed an amount equal to the product of (x) such Company Stockholder’s Total Stockholder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Per Share Amount;</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587" w:val="left"/>
        </w:tabs>
        <w:numPr>
          <w:ilvl w:val="2"/>
          <w:numId w:val="9"/>
        </w:numPr>
        <w:rPr>
          <w:rFonts w:ascii="Arial" w:cs="Arial" w:eastAsia="Arial" w:hAnsi="Arial"/>
          <w:sz w:val="18"/>
          <w:szCs w:val="18"/>
          <w:color w:val="auto"/>
        </w:rPr>
      </w:pPr>
      <w:r>
        <w:rPr>
          <w:rFonts w:ascii="Arial" w:cs="Arial" w:eastAsia="Arial" w:hAnsi="Arial"/>
          <w:sz w:val="18"/>
          <w:szCs w:val="18"/>
          <w:color w:val="auto"/>
        </w:rPr>
        <w:t xml:space="preserve">a number of shares of Parent Class A Stock equal to the quotient of: (A) (1) the product of (x) such Company Stockholder’s Total Stockholder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Per Share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(2) such Company Stockholder’s Stockholder Cash 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Parent Stock Price; and</w:t>
      </w:r>
    </w:p>
    <w:p>
      <w:pPr>
        <w:spacing w:after="0" w:line="183" w:lineRule="exact"/>
        <w:rPr>
          <w:rFonts w:ascii="Arial" w:cs="Arial" w:eastAsia="Arial" w:hAnsi="Arial"/>
          <w:sz w:val="18"/>
          <w:szCs w:val="18"/>
          <w:color w:val="auto"/>
        </w:rPr>
      </w:pPr>
    </w:p>
    <w:p>
      <w:pPr>
        <w:ind w:left="1620" w:hanging="316"/>
        <w:spacing w:after="0"/>
        <w:tabs>
          <w:tab w:leader="none" w:pos="1620" w:val="left"/>
        </w:tabs>
        <w:numPr>
          <w:ilvl w:val="2"/>
          <w:numId w:val="9"/>
        </w:numPr>
        <w:rPr>
          <w:rFonts w:ascii="Arial" w:cs="Arial" w:eastAsia="Arial" w:hAnsi="Arial"/>
          <w:sz w:val="16"/>
          <w:szCs w:val="16"/>
          <w:color w:val="auto"/>
        </w:rPr>
      </w:pPr>
      <w:r>
        <w:rPr>
          <w:rFonts w:ascii="Arial" w:cs="Arial" w:eastAsia="Arial" w:hAnsi="Arial"/>
          <w:sz w:val="16"/>
          <w:szCs w:val="16"/>
          <w:color w:val="auto"/>
        </w:rPr>
        <w:t xml:space="preserve">its Earn-Out Pro Rata Share of any Earn-Out Shares in accordance with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subject to adjustment in accordance with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2.7(e)</w:t>
      </w:r>
      <w:r>
        <w:rPr>
          <w:rFonts w:ascii="Arial" w:cs="Arial" w:eastAsia="Arial" w:hAnsi="Arial"/>
          <w:sz w:val="18"/>
          <w:szCs w:val="18"/>
          <w:color w:val="auto"/>
        </w:rPr>
        <w: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each case, without interest, upon surrender of stock certificates representing all of such Company Stockholder’s Company Common Stock and Company Preferred Stock (each, a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and delivery of the other documents required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As of the Effective Time, each Company Stockholder shall cease to have any other rights in and to the Company or Surviving Corporation, and each Certificate relating to the ownership of shares of Company Common Stock and Company Preferred Stock (other than Excluded Shares) shall thereafter represent only the right to receive the applicable portion of the Total Consideration.</w:t>
      </w:r>
    </w:p>
    <w:p>
      <w:pPr>
        <w:spacing w:after="0" w:line="188" w:lineRule="exact"/>
        <w:rPr>
          <w:sz w:val="20"/>
          <w:szCs w:val="20"/>
          <w:color w:val="auto"/>
        </w:rPr>
      </w:pPr>
    </w:p>
    <w:p>
      <w:pPr>
        <w:ind w:right="20" w:firstLine="656"/>
        <w:spacing w:after="0" w:line="308" w:lineRule="auto"/>
        <w:tabs>
          <w:tab w:leader="none" w:pos="921"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fraction of a share of Parent Class A Stock will be issued by virtue of the Merger. Any fractional shares that would otherwise be issued will be rounded down to the nearest whole share of Parent Class A Stock.</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56"/>
        <w:spacing w:after="0" w:line="257" w:lineRule="auto"/>
        <w:tabs>
          <w:tab w:leader="none" w:pos="9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Surviving Corporation,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share of Company Common Stock and Company Preferred Stock held in the Company’s treasury or owned by Parent, Merger Sub or the Company immediately prior to the Effective Time (each an “</w:t>
      </w:r>
      <w:r>
        <w:rPr>
          <w:rFonts w:ascii="Arial" w:cs="Arial" w:eastAsia="Arial" w:hAnsi="Arial"/>
          <w:sz w:val="18"/>
          <w:szCs w:val="18"/>
          <w:u w:val="single" w:color="auto"/>
          <w:color w:val="auto"/>
        </w:rPr>
        <w:t>Excluded Share</w:t>
      </w:r>
      <w:r>
        <w:rPr>
          <w:rFonts w:ascii="Arial" w:cs="Arial" w:eastAsia="Arial" w:hAnsi="Arial"/>
          <w:sz w:val="18"/>
          <w:szCs w:val="18"/>
          <w:color w:val="auto"/>
        </w:rPr>
        <w:t>”), shall be cancelled and no consideration shall be paid or payable with respect thereto.</w:t>
      </w:r>
    </w:p>
    <w:p>
      <w:pPr>
        <w:spacing w:after="0" w:line="183" w:lineRule="exact"/>
        <w:rPr>
          <w:rFonts w:ascii="Arial" w:cs="Arial" w:eastAsia="Arial" w:hAnsi="Arial"/>
          <w:sz w:val="18"/>
          <w:szCs w:val="18"/>
          <w:color w:val="auto"/>
        </w:rPr>
      </w:pPr>
    </w:p>
    <w:p>
      <w:pPr>
        <w:jc w:val="both"/>
        <w:ind w:firstLine="656"/>
        <w:spacing w:after="0" w:line="296" w:lineRule="auto"/>
        <w:tabs>
          <w:tab w:leader="none" w:pos="8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numbers of shares of Parent Class A Stock that the Company Stockholders are entitled to receive as a result of the Merger, and each other amount contained herein which is based upon the number of shares of Parent Class A Stock, and as otherwise contemplated by this Agreement shall be adjusted to reflect appropriately the effect of any stock split, split-up, reverse stock split, stock dividend or distribution (including any dividend or distribution of securities convertible into Parent Class A Stock), extraordinary cash dividend, reorganization, recapitalization, reclassification, combination, exchange of shares or other like change with respect to Parent Class A Stock occurring on or after the date hereof and prior to the Closing.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Surrender of Company Certificates and Disbursement of Closing Consideration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9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at the Effective Time, Parent shall deliver, or cause to be delivered to each Company Stockholder portion of the Total Consideration to which such Company Stockholder is entitled pursuant to clauses (i) and (ii) of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57" w:lineRule="auto"/>
        <w:tabs>
          <w:tab w:leader="none" w:pos="9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the Effective Time, unless otherwise agreed by the Parties, Parent shall appoint a commercial bank or trust company reasonably acceptable to the Company (the “</w:t>
      </w:r>
      <w:r>
        <w:rPr>
          <w:rFonts w:ascii="Arial" w:cs="Arial" w:eastAsia="Arial" w:hAnsi="Arial"/>
          <w:sz w:val="18"/>
          <w:szCs w:val="18"/>
          <w:u w:val="single" w:color="auto"/>
          <w:color w:val="auto"/>
        </w:rPr>
        <w:t>Exchange Agent</w:t>
      </w:r>
      <w:r>
        <w:rPr>
          <w:rFonts w:ascii="Arial" w:cs="Arial" w:eastAsia="Arial" w:hAnsi="Arial"/>
          <w:sz w:val="18"/>
          <w:szCs w:val="18"/>
          <w:color w:val="auto"/>
        </w:rPr>
        <w:t>”) for the purpose of exchanging Certificates for each Company Stockholder’s portion of the Closing Consideration. Not less than thirty (30) days prior to the anticipated Effective Time, the Company shall provide an election form for the Cash Election in a form mutually acceptable to Parent and the Company to each Company Stockholder that has not previously submitted a Cash Election or confirmed in writing to the Company that it will not be making a Cash Election.</w:t>
      </w:r>
    </w:p>
    <w:p>
      <w:pPr>
        <w:spacing w:after="0" w:line="187" w:lineRule="exact"/>
        <w:rPr>
          <w:rFonts w:ascii="Arial" w:cs="Arial" w:eastAsia="Arial" w:hAnsi="Arial"/>
          <w:sz w:val="18"/>
          <w:szCs w:val="18"/>
          <w:color w:val="auto"/>
        </w:rPr>
      </w:pPr>
    </w:p>
    <w:p>
      <w:pPr>
        <w:jc w:val="both"/>
        <w:ind w:firstLine="656"/>
        <w:spacing w:after="0" w:line="301" w:lineRule="auto"/>
        <w:tabs>
          <w:tab w:leader="none" w:pos="8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the Effective Time, Parent shall deposit with the Exchange Agent the aggregate amount of the cash portion of the Closing Consideration and make available the aggregate amount of the equity portion of the Closing Consideration. Such cash and equity deposited with the Exchange Agent shall be referred to in this Agreement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At the Effective Time, Parent shall deliver irrevocable instructions to the Exchange Agent to deliver the Closing Consideration out of the Exchange Fund in the manner it is contemplated to be issued or paid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56"/>
        <w:spacing w:after="0" w:line="284" w:lineRule="auto"/>
        <w:tabs>
          <w:tab w:leader="none" w:pos="9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(and in any event within five Business Days thereafter), the Exchange Agent shall mail to each Company Stockholder who has not already received the Surrender Documentation (other than holders of Excluded Shares and Dissenting Shares): (i) a letter of transmittal in customary form specifying that delivery shall be effected, and risk of loss and title to the Certificates shall pass, only upon delivery of the Certificates (or affidavits of loss in lieu of the Certificates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to the Exchange Agent (the “</w:t>
      </w:r>
      <w:r>
        <w:rPr>
          <w:rFonts w:ascii="Arial" w:cs="Arial" w:eastAsia="Arial" w:hAnsi="Arial"/>
          <w:sz w:val="16"/>
          <w:szCs w:val="16"/>
          <w:u w:val="single" w:color="auto"/>
          <w:color w:val="auto"/>
        </w:rPr>
        <w:t>Surrender Documentation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Exchange Agent shall not be required to deliver the Surrender Documentation to any Company Stockholder that has delivered its Surrender Documentation with respect to such Company Stockholder’s Certificates to the Exchange Agent at least two Business Days prior to the Closing Date. Upon surrender of a Certificate (or affidavit of loss in lieu of the Certificate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to the Exchange Agent in accordance with the terms of the Surrender Documentation, the Exchange Agent will deliver to the holder of such Certificate in exchange therefor such holder’s portion of the Closing Consideration in accordance with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hereof, with: (A) any cash portion of the Closing Consideration being delivered via wire transfer of immediately available funds in accordance with instructions provided by such Company Stockholder in the letter of transmittal; and (B) the equity portion of the Closing Consideration being delivered via book-entry issuance (or at the written election of any Company Stockholder, in certificated form), in each case, less any required Tax withholdings as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holder of such Certificate delivers to the Exchange Agent the Surrender Documentation with respect to such Company Stockholder’s Certificates at least two Business Days prior to the Closing Date, the Exchange Agent shall deliver to the holder of such Certificate in exchange therefor such holder’s portion of the Closing Consideration covered by such Surrender Documentation in accordance with clauses (A) and (B) of this sentence on the Closing Date or as promptly as practicable thereafter. The Certificate so surrendered shall forthwith be cancelled. Until so surrendered, each Certificate shall represent after the Effective Time for all purposes only the right to receive the applicable portion of the Total Consideration attributable to such Certificate. No interest will be paid or accrued on any amount payable upon due surrender of the Certificates. In the event of a transfer of ownership of shares of Company Common Stock or Company Preferred Stock that is not registered in the transfer records of the Company, the applicable portion of the Total Consideration to be delivered upon due surrender of the Certificate may be issued to such transferee if the Certificate formerly representing such shares of Company Common Stock or Company Preferred Stock is presented to the Exchange Agent, accompanied by all documents required to evidence and effect such transfer and to evidence that any applicable stock transfer Taxes have been paid or are not applicable.</w:t>
      </w:r>
    </w:p>
    <w:p>
      <w:pPr>
        <w:spacing w:after="0" w:line="392" w:lineRule="exact"/>
        <w:rPr>
          <w:rFonts w:ascii="Arial" w:cs="Arial" w:eastAsia="Arial" w:hAnsi="Arial"/>
          <w:sz w:val="16"/>
          <w:szCs w:val="16"/>
          <w:color w:val="auto"/>
        </w:rPr>
      </w:pPr>
    </w:p>
    <w:p>
      <w:pPr>
        <w:jc w:val="both"/>
        <w:ind w:firstLine="656"/>
        <w:spacing w:after="0" w:line="301" w:lineRule="auto"/>
        <w:tabs>
          <w:tab w:leader="none" w:pos="899"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there shall be no transfers on the stock transfer books of the Company of the shares of Company Common Stock or Company Preferred Stock that were outstanding immediately prior to the Effective Time. If, after the Effective Time, any Certificate is presented to the Surviving Corporation, Parent or the Exchange Agent for transfer, it shall be cancelled and deemed exchanged for (without interest and after giving effect to any required Tax withholdings as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the portion of the Total Consideration represented by such Certificate.</w:t>
      </w:r>
    </w:p>
    <w:p>
      <w:pPr>
        <w:spacing w:after="0" w:line="157" w:lineRule="exact"/>
        <w:rPr>
          <w:rFonts w:ascii="Arial" w:cs="Arial" w:eastAsia="Arial" w:hAnsi="Arial"/>
          <w:sz w:val="16"/>
          <w:szCs w:val="16"/>
          <w:color w:val="auto"/>
        </w:rPr>
      </w:pPr>
    </w:p>
    <w:p>
      <w:pPr>
        <w:jc w:val="both"/>
        <w:ind w:firstLine="656"/>
        <w:spacing w:after="0" w:line="272" w:lineRule="auto"/>
        <w:tabs>
          <w:tab w:leader="none" w:pos="8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Any portion of the Exchange Fund (including the proceeds of any investments of the Exchange Fund) that remains unclaimed by the Company Stockholders for 180 days after the Effective Time shall be delivered to the Surviving Corporation. Any Company Stockholder who has not theretofore complied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thereafter look only to the Surviving Corporation for payment of their respective portion of the Total Consideration (after giving effect to any required Tax withholdings as provided in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upon due surrender of its Certificates (or affidavits of loss in lieu of the Certificates as provided in </w:t>
      </w:r>
      <w:r>
        <w:rPr>
          <w:rFonts w:ascii="Arial" w:cs="Arial" w:eastAsia="Arial" w:hAnsi="Arial"/>
          <w:sz w:val="17"/>
          <w:szCs w:val="17"/>
          <w:u w:val="single" w:color="auto"/>
          <w:color w:val="auto"/>
        </w:rPr>
        <w:t>Section 2.8(g)</w:t>
      </w:r>
      <w:r>
        <w:rPr>
          <w:rFonts w:ascii="Arial" w:cs="Arial" w:eastAsia="Arial" w:hAnsi="Arial"/>
          <w:sz w:val="17"/>
          <w:szCs w:val="17"/>
          <w:color w:val="auto"/>
        </w:rPr>
        <w:t>), without any interest thereon. Notwithstanding the foregoing, none of the Surviving Corporation, Parent, the Exchange Agent or any other Person shall be liable to any former Company Stockholder for any amount properly delivered to a public official pursuant to applicable abandoned property, escheat or similar Legal Requirements.</w:t>
      </w:r>
    </w:p>
    <w:p>
      <w:pPr>
        <w:spacing w:after="0" w:line="177" w:lineRule="exact"/>
        <w:rPr>
          <w:rFonts w:ascii="Arial" w:cs="Arial" w:eastAsia="Arial" w:hAnsi="Arial"/>
          <w:sz w:val="17"/>
          <w:szCs w:val="17"/>
          <w:color w:val="auto"/>
        </w:rPr>
      </w:pPr>
    </w:p>
    <w:p>
      <w:pPr>
        <w:jc w:val="both"/>
        <w:ind w:firstLine="656"/>
        <w:spacing w:after="0" w:line="257" w:lineRule="auto"/>
        <w:tabs>
          <w:tab w:leader="none" w:pos="9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 the event any Certificate shall have been lost, stolen or destroyed: (i) upon the making of an affidavit of that fact by the Person claiming such Certificate to be lost, stolen or destroyed; and (ii) if required by Parent, the posting by such Person of a bond in customary amount and upon such terms as may be required by Parent as indemnity against any claim that may be made against it or the Surviving Corporation with respect to such Certificate, the Exchange Agent will issue the portion of the Total Consideration attributable to such Certificate (after giving effect to any required Tax withholdings as provided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70"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Notwithstanding anything in this Agreement to the contrary, Parent, Merger Sub, the Company, the Surviving Corporation, the Exchange Agent and their Affiliates shall be entitled to deduct and withhold from the consideration otherwise payable pursuant to this Agreement, any amount required to be deducted and withheld with respect to the making of such payment under Applicable Legal Requirements;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Parent, Merger Sub, any of their respective Affiliates, or any party acting on their behalf determines that any payment to the Company Stockholders hereunder is subject to deduction and/or withholding, then Parent shall provide notice to the Company as soon as reasonably practicable after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parties shall use commercially reasonable efforts to minimize any such deduction and/or withholding. To the extent that amounts are so withheld and paid over to the appropriate Governmental Entity, such withheld amounts shall be treated for all purposes of this Agreement as having been paid to the Person in respect of which such deduction and withholding was made. Any amounts so withheld shall be timely remitted to the applicable Governmental Entity.</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Taking of Necessary Action; Further Action</w:t>
      </w:r>
      <w:r>
        <w:rPr>
          <w:rFonts w:ascii="Arial" w:cs="Arial" w:eastAsia="Arial" w:hAnsi="Arial"/>
          <w:sz w:val="17"/>
          <w:szCs w:val="17"/>
          <w:color w:val="auto"/>
        </w:rPr>
        <w:t>. If, at any time after the Effective Time, any further action is necessary or desirable to carry out the purposes of this Agreement and to vest the Surviving Corporation following the Merger with full right, title and possession to all assets, property, rights, privileges, powers and franchises of the Company and Merger Sub, the officers and directors or members, as applicable, (or their designees) of the Company and Merger Sub are fully authorized in the name of their respective corporations or otherwise to take, and will take, all such lawful and necessary action, so long as such action is not inconsistent with this Agreement.</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Tax Treatment of the Merger</w:t>
      </w:r>
      <w:r>
        <w:rPr>
          <w:rFonts w:ascii="Arial" w:cs="Arial" w:eastAsia="Arial" w:hAnsi="Arial"/>
          <w:sz w:val="17"/>
          <w:szCs w:val="17"/>
          <w:color w:val="auto"/>
        </w:rPr>
        <w:t>. For U.S. federal income tax purposes (and for purposes of any applicable state or local Tax that follows the U.S. federal income tax treatment), the Parties will prepare and file all Tax Returns consistent with the treatment of the Merger as a reorganization within the meaning of Section 368(a) of the Code (or comparable provision of state and local Tax Legal Requirement) and will not take any inconsistent position on any Tax Return or during the course of any audit, litigation or other proceeding with respect to Taxes, except as otherwise required by Applicable Legal Requirements (in the case of Parent, the Company or Surviving Entity, as determined by Parent in good faith).</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Effect on Company Options,Company RSUs and Company SARs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9" w:lineRule="auto"/>
        <w:tabs>
          <w:tab w:leader="none" w:pos="9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Company Option that is outstanding as of immediately prior to the Effective Time shall be assumed by Parent and converted into an option to purchase shares of Parent Class A Stock upon substantially the same terms and conditions as are in effect with respect to such Company Option immediately prior to the Effective Time, including with respect to vesting, exercisability and termination-related provisions (each, a “</w:t>
      </w:r>
      <w:r>
        <w:rPr>
          <w:rFonts w:ascii="Arial" w:cs="Arial" w:eastAsia="Arial" w:hAnsi="Arial"/>
          <w:sz w:val="17"/>
          <w:szCs w:val="17"/>
          <w:u w:val="single" w:color="auto"/>
          <w:color w:val="auto"/>
        </w:rPr>
        <w:t>Parent Option</w:t>
      </w:r>
      <w:r>
        <w:rPr>
          <w:rFonts w:ascii="Arial" w:cs="Arial" w:eastAsia="Arial" w:hAnsi="Arial"/>
          <w:sz w:val="17"/>
          <w:szCs w:val="17"/>
          <w:color w:val="auto"/>
        </w:rPr>
        <w:t xml:space="preserve">”) except that (a) such Parent Option shall provide the right to purchase that whole number of shares of Parent Class A Stock (rounded down to the nearest whole share) equal to the number of shares of Company Common Stock subject to such Company Option as of immediately prior to the Effective Time,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the Option Exchange Ratio applicable to such Company Option, and (b) the exercise price per share for each such Parent Option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equal to the exercise price per share of such Company Option in effect immediately prior to the Effective Time,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Option Exchange Ratio applicable to such Company Option (the exercise price per share, as so determined, being rounded up to the nearest full cent);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conversion of the Company Options will be made in a manner consistent with Treasury Regulation Section 1.424-1, such that such conversion will not constitute a “modification” of such Company Options for purposes of Section 409A or Section 424 of the Code.</w:t>
      </w:r>
    </w:p>
    <w:p>
      <w:pPr>
        <w:spacing w:after="0" w:line="185" w:lineRule="exact"/>
        <w:rPr>
          <w:rFonts w:ascii="Arial" w:cs="Arial" w:eastAsia="Arial" w:hAnsi="Arial"/>
          <w:sz w:val="17"/>
          <w:szCs w:val="17"/>
          <w:color w:val="auto"/>
        </w:rPr>
      </w:pPr>
    </w:p>
    <w:p>
      <w:pPr>
        <w:jc w:val="both"/>
        <w:ind w:firstLine="656"/>
        <w:spacing w:after="0" w:line="272" w:lineRule="auto"/>
        <w:tabs>
          <w:tab w:leader="none" w:pos="932"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Company RSU that is outstanding as of immediately prior to the Effective Time shall be assumed by Parent and converted into a restricted stock unit representing the opportunity to be issued shares of Parent Class A Stock upon substantially the same terms and conditions as are in effect with respect to such Company RSU immediately prior to the Effective Time, including with respect to vesting and termination-related provisions (each, a “</w:t>
      </w:r>
      <w:r>
        <w:rPr>
          <w:rFonts w:ascii="Arial" w:cs="Arial" w:eastAsia="Arial" w:hAnsi="Arial"/>
          <w:sz w:val="17"/>
          <w:szCs w:val="17"/>
          <w:u w:val="single" w:color="auto"/>
          <w:color w:val="auto"/>
        </w:rPr>
        <w:t>Parent RSU</w:t>
      </w:r>
      <w:r>
        <w:rPr>
          <w:rFonts w:ascii="Arial" w:cs="Arial" w:eastAsia="Arial" w:hAnsi="Arial"/>
          <w:sz w:val="17"/>
          <w:szCs w:val="17"/>
          <w:color w:val="auto"/>
        </w:rPr>
        <w:t xml:space="preserve">”) except that such Parent RSU shall provide opportunity to be issued that whole number of shares of Parent Class A Stock (rounded to the nearest whole share) equal to the number of Shares of Company Common Stock subject to such Company RSU as of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RSU Exchange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conversion of the Company RSUs will be made in a manner consistent with the requirements of Section 409A of the Code and the applicable regulations promulgated thereunder.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jc w:val="both"/>
        <w:ind w:firstLine="656"/>
        <w:spacing w:after="0" w:line="269" w:lineRule="auto"/>
        <w:tabs>
          <w:tab w:leader="none" w:pos="8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each Company SAR that is outstanding as of immediately prior to the Effective Time shall be assumed by Parent and converted into a stock appreciation right with respect to shares of Parent Class A Stock upon substantially the same terms and conditions as are in effect with respect to such Company SAR immediately prior to the Effective Time, including with respect to vesting, exercisability, payment terms and termination-related provisions (each, a “</w:t>
      </w:r>
      <w:r>
        <w:rPr>
          <w:rFonts w:ascii="Arial" w:cs="Arial" w:eastAsia="Arial" w:hAnsi="Arial"/>
          <w:sz w:val="17"/>
          <w:szCs w:val="17"/>
          <w:u w:val="single" w:color="auto"/>
          <w:color w:val="auto"/>
        </w:rPr>
        <w:t>Parent SAR</w:t>
      </w:r>
      <w:r>
        <w:rPr>
          <w:rFonts w:ascii="Arial" w:cs="Arial" w:eastAsia="Arial" w:hAnsi="Arial"/>
          <w:sz w:val="17"/>
          <w:szCs w:val="17"/>
          <w:color w:val="auto"/>
        </w:rPr>
        <w:t xml:space="preserve">”) except that (i) such Parent SAR shall be based on that whole number of shares of Parent Class A Stock (rounded down to the nearest whole share) equal to the number of shares of Company Common Stock subject to such Company SAR as of immediately prior to the Effective Time, multiplied by the SAR Exchange Ratio, and (ii) the base amount per share for each such Parent SAR shall be equal to the base amount per share of such Company SAR in effect immediately prior to the Effective Time, divided by the SAR Exchange Ratio (the base amount per share, as so determined, being rounded up to the nearest full cent);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conversion of the Company SARs will be made in a manner consistent with Treasury Regulation Section 1.424-1, such that such conversion will not constitute a “modification” of such Company SARs for purposes of Section 409A or Section 424 of the Code. For the avoidance of doubt, the foregoing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not apply to any Company SAR that is deemed by the Company to be exercised in connection with the Closing.</w:t>
      </w:r>
    </w:p>
    <w:p>
      <w:pPr>
        <w:spacing w:after="0" w:line="181" w:lineRule="exact"/>
        <w:rPr>
          <w:rFonts w:ascii="Arial" w:cs="Arial" w:eastAsia="Arial" w:hAnsi="Arial"/>
          <w:sz w:val="17"/>
          <w:szCs w:val="17"/>
          <w:color w:val="auto"/>
        </w:rPr>
      </w:pPr>
    </w:p>
    <w:p>
      <w:pPr>
        <w:jc w:val="both"/>
        <w:ind w:firstLine="656"/>
        <w:spacing w:after="0" w:line="286" w:lineRule="auto"/>
        <w:tabs>
          <w:tab w:leader="none" w:pos="912"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The Company shall take all necessary actions to effect the treatment of Company Options, Company RSUs and Company SARs pursuant to </w:t>
      </w:r>
      <w:r>
        <w:rPr>
          <w:rFonts w:ascii="Arial" w:cs="Arial" w:eastAsia="Arial" w:hAnsi="Arial"/>
          <w:sz w:val="16"/>
          <w:szCs w:val="16"/>
          <w:u w:val="single" w:color="auto"/>
          <w:color w:val="auto"/>
        </w:rPr>
        <w:t>Sections 2.12(a)</w:t>
      </w:r>
      <w:r>
        <w:rPr>
          <w:rFonts w:ascii="Arial" w:cs="Arial" w:eastAsia="Arial" w:hAnsi="Arial"/>
          <w:sz w:val="16"/>
          <w:szCs w:val="16"/>
          <w:color w:val="auto"/>
        </w:rPr>
        <w:t xml:space="preserve"> in accordance with the Company Incentive Plan and the applicable award agreements and to ensure that no Parent Option may be exercised prior to the effective date of an applicable Form S-8 (or other applicable form, including Form S-1 or Form S-3) of Parent. The board of directors of the Company shall amend the Company Incentive Plan and take all other necessary actions, effective as of immediately prior to the Closing, in order to</w:t>
      </w:r>
    </w:p>
    <w:p>
      <w:pPr>
        <w:spacing w:after="0" w:line="1" w:lineRule="exact"/>
        <w:rPr>
          <w:rFonts w:ascii="Arial" w:cs="Arial" w:eastAsia="Arial" w:hAnsi="Arial"/>
          <w:sz w:val="16"/>
          <w:szCs w:val="16"/>
          <w:color w:val="auto"/>
        </w:rPr>
      </w:pPr>
    </w:p>
    <w:p>
      <w:pPr>
        <w:jc w:val="both"/>
        <w:ind w:firstLine="8"/>
        <w:spacing w:after="0" w:line="252" w:lineRule="auto"/>
        <w:tabs>
          <w:tab w:leader="none" w:pos="2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provide that the unallocated share reserve remaining under the Company Incentive Plan as of the Closing Date (including any shares subsequently returned to such share reserve as a result of the termination of awards issued under the Company Stock Plan) shall be included in the share reserve under the LTIP, in accordance with the terms thereof, and (ii) provide that no new Company Options, Company RSUs or Company SARs will be granted under the Company Incentive Plan following the Closing. Prior to the Effective Time, the Company shall deliver to each holder of a Company Option, Company RSU or Company SAR a notice, in a form reasonably acceptable to Parent, setting forth the effect of the Merger on such holder’s Company Options, Company RSUs and Company SARs and describing the treatment of such Company Options, Company RSUs and Company RSUs in accordance with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656"/>
        <w:spacing w:after="0" w:line="293" w:lineRule="auto"/>
        <w:tabs>
          <w:tab w:leader="none" w:pos="911"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Parent shall take all actions that are necessary for the assumption and conversion of the Company Options, Company RSUs and Company SARs pursuant to </w:t>
      </w:r>
      <w:r>
        <w:rPr>
          <w:rFonts w:ascii="Arial" w:cs="Arial" w:eastAsia="Arial" w:hAnsi="Arial"/>
          <w:sz w:val="16"/>
          <w:szCs w:val="16"/>
          <w:u w:val="single" w:color="auto"/>
          <w:color w:val="auto"/>
        </w:rPr>
        <w:t>Section 2.12(a)</w:t>
      </w:r>
      <w:r>
        <w:rPr>
          <w:rFonts w:ascii="Arial" w:cs="Arial" w:eastAsia="Arial" w:hAnsi="Arial"/>
          <w:sz w:val="16"/>
          <w:szCs w:val="16"/>
          <w:color w:val="auto"/>
        </w:rPr>
        <w:t>. If registration of the Parent Options, Parent RSUs or Parent SARs is required under the Securities Act, Parent shall file, as promptly as practicable after the date that is sixty (60) days after the Form 8-K announcing the Closing is filed (or any such earlier date permitted by Applicable Legal Requirements), a registration statement on Form S-8 with respect to such Parent Options, Parent RSUs and Parent SARs, and shall use its commercially reasonable efforts to maintain the effectiveness of such registration statement for so long as the applicable Parent Options, Parent RSUs and Parent SARs remain outstanding and such registration of the shares of Parent Class A Common Stock issuable thereunder continues to be required.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67"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Dissenting Shares</w:t>
      </w:r>
      <w:r>
        <w:rPr>
          <w:rFonts w:ascii="Arial" w:cs="Arial" w:eastAsia="Arial" w:hAnsi="Arial"/>
          <w:sz w:val="17"/>
          <w:szCs w:val="17"/>
          <w:color w:val="auto"/>
        </w:rPr>
        <w:t>. Notwithstanding anything in this Agreement to the contrary, shares of Company Common Stock or Company Preferred Stock outstanding immediately prior to the Effective Time and held by a Company Stockholder who has not voted in favor of the Merger or consented thereto in writing or by electronic transmissions and has properly demanded appraisal for such shares in accordance with, and who complies in all respects with, Section 262 of the DGCL (such shares,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shall not be converted into the right to receive the Merger Consideration and shall instead represent the right to receive payment of the fair value of such Dissenting Shares in accordance with and to the extent provided by Section 262 of the DGCL. At the Effective Time, (i) all Dissenting Shares shall be cancelled, extinguished and cease to exist and (ii) the holders of Dissenting Shares shall be entitled to only such rights as may be granted to him, her or it under the DGCL. If any such Company Stockholder fails to perfect or otherwise waives, withdraws or loses such Company Stockholder’s right to appraisal under Section 262 of the DGCL or a court of competent jurisdiction shall determine such holder is not entitled to the relief provided by Section 262 of the DGCL, then the right of such holder to be paid the fair value of such Dissenting Shares under Section 262 of the DGCL shall cease and such Dissenting Shares shall be deemed to have been converted, as of the Effective Time, into and shall only represent the right to receive the Merger Consideration upon the surrender of such shares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The Company shall give Parent reasonably prompt notice of any demands received by the Company for appraisal of shares of Company Common Stock or Company Preferred Stock, attempted withdrawals of such demands and any other instruments served pursuant to the DGCL and received by the Company relating to rights to be paid the fair value of Dissenting Shares, and Parent shall have the right to participate in and direct all negotiations and proceedings with respect to such demands. Prior to the Effective Time, the Company shall not, except with the prior written consent of Parent (such consent not to be unreasonably withheld, conditioned or delayed), make any payment with respect to, or settle or compromise or offer to settle or compromise, any such demands or waive any failure to timely deliver a written demand for appraisal or otherwise comply with the provisions under Section 262 of the DGCL, or agree or commit to do any of the foregoing.</w:t>
      </w:r>
    </w:p>
    <w:p>
      <w:pPr>
        <w:spacing w:after="0" w:line="19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EARN OUT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Issuance of Earn-Out Shares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1" w:lineRule="auto"/>
        <w:tabs>
          <w:tab w:leader="none" w:pos="93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Following the Closing, and as additional consideration for the Merger and the other Transactions, within five Business Days after the occurrence of a Triggering Event, Parent shall issue or cause to be issued to each Company Stockholder (other than holders of Dissenting Shares) and Earn-Out Service Provider (in accordance with its respective Earn-Out Pro Rata Share and, in the case of the Earn-Out Service Providers, in accordance with the terms of the applicable Earn-Out Award Agreement) the following shares of Parent Class A Stock (which shall be equitably adjusted for stock splits, reverse stock splits, stock dividends, reorganizations, recapitalizations, reclassifications, combination, exchange of shares or other like change or transaction with respect to Parent Class A Stock occurring on or after the Closing, the “</w:t>
      </w:r>
      <w:r>
        <w:rPr>
          <w:rFonts w:ascii="Arial" w:cs="Arial" w:eastAsia="Arial" w:hAnsi="Arial"/>
          <w:sz w:val="17"/>
          <w:szCs w:val="17"/>
          <w:u w:val="single" w:color="auto"/>
          <w:color w:val="auto"/>
        </w:rPr>
        <w:t>Earn-Out Shares</w:t>
      </w:r>
      <w:r>
        <w:rPr>
          <w:rFonts w:ascii="Arial" w:cs="Arial" w:eastAsia="Arial" w:hAnsi="Arial"/>
          <w:sz w:val="17"/>
          <w:szCs w:val="17"/>
          <w:color w:val="auto"/>
        </w:rPr>
        <w:t xml:space="preserve">”), upon the terms and subject to the conditions set forth in this Agreement and the other Transaction Agreements and, in the case of the Earn-Out Service Providers, subject to the additional requirements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the applicable Earn-Out Award Agreement:</w:t>
      </w:r>
    </w:p>
    <w:p>
      <w:pPr>
        <w:spacing w:after="0" w:line="178" w:lineRule="exact"/>
        <w:rPr>
          <w:rFonts w:ascii="Arial" w:cs="Arial" w:eastAsia="Arial" w:hAnsi="Arial"/>
          <w:sz w:val="17"/>
          <w:szCs w:val="17"/>
          <w:color w:val="auto"/>
        </w:rPr>
      </w:pPr>
    </w:p>
    <w:p>
      <w:pPr>
        <w:ind w:left="660" w:firstLine="644"/>
        <w:spacing w:after="0" w:line="277" w:lineRule="auto"/>
        <w:tabs>
          <w:tab w:leader="none" w:pos="1528"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the occurrence of Triggering Event I, a one-time issuance of a number of Earn-Out Shares equal to 3.66% of the Earn-Out Total Outstanding Shares;</w:t>
      </w:r>
    </w:p>
    <w:p>
      <w:pPr>
        <w:spacing w:after="0" w:line="170" w:lineRule="exact"/>
        <w:rPr>
          <w:rFonts w:ascii="Arial" w:cs="Arial" w:eastAsia="Arial" w:hAnsi="Arial"/>
          <w:sz w:val="18"/>
          <w:szCs w:val="18"/>
          <w:color w:val="auto"/>
        </w:rPr>
      </w:pPr>
    </w:p>
    <w:p>
      <w:pPr>
        <w:ind w:left="660" w:firstLine="644"/>
        <w:spacing w:after="0" w:line="277" w:lineRule="auto"/>
        <w:tabs>
          <w:tab w:leader="none" w:pos="1573"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the occurrence of Triggering Event II, a one-time issuance of a number of Earn-Out Shares equal to 3.67% of the Earn-Out Total Outstanding Shares; and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636"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the occurrence of Triggering Event III, a one-time issuance of a number of Earn-Out Shares equal to 3.67% of the Earn-Out Total Outstanding Shares;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the last day of any calendar year in which an Earn-Out Forfeiture occurs, a one-time issuance of a number of Earn-Out Shares equal to the Forfeiture Pool as in effect as of such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56"/>
        <w:spacing w:after="0" w:line="257" w:lineRule="auto"/>
        <w:tabs>
          <w:tab w:leader="none" w:pos="9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For the avoidance of doubt, the Company Stockholders and the Earn-Out Service Providers shall be entitled to receive Earn-Out Shares upon the occurrence of each Triggering Event (and, in the case of the Earn-Out Service Providers, subject to the additional requirements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the applicable Earn-Out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Triggering Event shall only occur once, if at all, and in no event shall the Company Stockholders and the Earn-Out Service Providers, in the aggregate, be entitled to receive more than an aggregate number of Earn-Out Shares equal to 11% of the Earn-Out Total Outstanding Shares.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Acceleration Event</w:t>
      </w:r>
      <w:r>
        <w:rPr>
          <w:rFonts w:ascii="Arial" w:cs="Arial" w:eastAsia="Arial" w:hAnsi="Arial"/>
          <w:sz w:val="17"/>
          <w:szCs w:val="17"/>
          <w:color w:val="auto"/>
        </w:rPr>
        <w:t>. If, during the Earn-Out Period, there is a Change of Control that will result in the holders of Parent Class A Stock receiving a per share price equal to or in excess of the applicable Common Share Price required in connection with a given Triggering Event (an “</w:t>
      </w:r>
      <w:r>
        <w:rPr>
          <w:rFonts w:ascii="Arial" w:cs="Arial" w:eastAsia="Arial" w:hAnsi="Arial"/>
          <w:sz w:val="17"/>
          <w:szCs w:val="17"/>
          <w:u w:val="single" w:color="auto"/>
          <w:color w:val="auto"/>
        </w:rPr>
        <w:t>Acceleration Event</w:t>
      </w:r>
      <w:r>
        <w:rPr>
          <w:rFonts w:ascii="Arial" w:cs="Arial" w:eastAsia="Arial" w:hAnsi="Arial"/>
          <w:sz w:val="17"/>
          <w:szCs w:val="17"/>
          <w:color w:val="auto"/>
        </w:rPr>
        <w:t>”), then immediately prior to the consummation of such Change of Control (the “</w:t>
      </w:r>
      <w:r>
        <w:rPr>
          <w:rFonts w:ascii="Arial" w:cs="Arial" w:eastAsia="Arial" w:hAnsi="Arial"/>
          <w:sz w:val="17"/>
          <w:szCs w:val="17"/>
          <w:u w:val="single" w:color="auto"/>
          <w:color w:val="auto"/>
        </w:rPr>
        <w:t>Accelerated Vesting Date</w:t>
      </w:r>
      <w:r>
        <w:rPr>
          <w:rFonts w:ascii="Arial" w:cs="Arial" w:eastAsia="Arial" w:hAnsi="Arial"/>
          <w:sz w:val="17"/>
          <w:szCs w:val="17"/>
          <w:color w:val="auto"/>
        </w:rPr>
        <w:t>”): (a) any such Triggering Event that has not previously occurred shall be deemed to have occurred; and (b) Parent shall issue the applicable Earn-Out Shares (including any Earn-Out Shares accumulated in the Forfeiture Pool as of the Accelerated Vesting Date) to the Company Stockholders and Earn-Out Service Providers (in accordance with their respective Earn-Out Pro Rata Share and, in the case of Earn-Out Service Providers, if and to the extent required in accordance with the applicable Earn-Out Award Agreement), and the recipients of such issued Earn-Out Shares shall be eligible to participate with respect thereto in such Change of Control. If there is a Change in Control following the Earn-Out Period, then immediately prior to the consummation of such Change in Control, Parent shall issue the Earn-Out Shares then-accumulated in the Forfeiture Pool, if any, to the Company Stockholders and Earn-Out Service Providers (in accordance with their respective Earn-Out Pro Rata Share and, in the case of the Earn-Out Service Providers, if and to the extent required in accordance with the applicable Earn-Out Award Agreement), and the recipients of such issued Earn-Out Shares shall be eligible to participate with respect thereto in such Change of Control.</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Tax Treatment of Earn-Out Shares</w:t>
      </w:r>
      <w:r>
        <w:rPr>
          <w:rFonts w:ascii="Arial" w:cs="Arial" w:eastAsia="Arial" w:hAnsi="Arial"/>
          <w:sz w:val="18"/>
          <w:szCs w:val="18"/>
          <w:color w:val="auto"/>
        </w:rPr>
        <w:t xml:space="preserve">. Any issuance of Earn-Out Shares to Company Stockholders, including any issuance of Earn-Out Shares made upon the occurrence of an Acceleration Event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shall be treated as an adjustment to the Total Consideration by the Parties for Tax purposes, unless otherwise required by Tax law and is intended to comply with and shall be effected in accordance with Rev. Proc. 84-42, 1984-1 C.B. 521.</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Earn-Out Service Providers</w:t>
      </w:r>
      <w:r>
        <w:rPr>
          <w:rFonts w:ascii="Arial" w:cs="Arial" w:eastAsia="Arial" w:hAnsi="Arial"/>
          <w:sz w:val="16"/>
          <w:szCs w:val="16"/>
          <w:color w:val="auto"/>
        </w:rPr>
        <w:t>. The terms of the issuance of the Earn-Out Shares underlying an award of Earn-Out RSUs to the Earn-Out Service Providers shall be set forth in a written agreement between the Company and such Earn-Out Service Provider (each, an “</w:t>
      </w:r>
      <w:r>
        <w:rPr>
          <w:rFonts w:ascii="Arial" w:cs="Arial" w:eastAsia="Arial" w:hAnsi="Arial"/>
          <w:sz w:val="16"/>
          <w:szCs w:val="16"/>
          <w:u w:val="single" w:color="auto"/>
          <w:color w:val="auto"/>
        </w:rPr>
        <w:t>Earn Out Award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 a form reasonably acceptable to Parent, which may provide that the Earn-Out Shares that would otherwise become issuable to an Earn-Out Service Provider pursuant to Section 3.1(a) shall remain subject to certain additional vesting conditions as set forth therein, and which may provide for accelerated vesting in the event of a Change in Control. In the event that an Earn-Out Service Provider does not satisfy the vesting conditions set forth in his or her Earn-Out Award Agreement (an “</w:t>
      </w:r>
      <w:r>
        <w:rPr>
          <w:rFonts w:ascii="Arial" w:cs="Arial" w:eastAsia="Arial" w:hAnsi="Arial"/>
          <w:sz w:val="16"/>
          <w:szCs w:val="16"/>
          <w:u w:val="single" w:color="auto"/>
          <w:color w:val="auto"/>
        </w:rPr>
        <w:t>Earn-Out Forfeiture</w:t>
      </w:r>
      <w:r>
        <w:rPr>
          <w:rFonts w:ascii="Arial" w:cs="Arial" w:eastAsia="Arial" w:hAnsi="Arial"/>
          <w:sz w:val="16"/>
          <w:szCs w:val="16"/>
          <w:color w:val="auto"/>
        </w:rPr>
        <w:t>”), such Earn-Out Service Provider shall be deemed to have forfeited his or her right to receive the applicable Earn-Out Shares for no consideration. Any such Earn-Out Shares that are so forfeited shall accumulate in a “</w:t>
      </w:r>
      <w:r>
        <w:rPr>
          <w:rFonts w:ascii="Arial" w:cs="Arial" w:eastAsia="Arial" w:hAnsi="Arial"/>
          <w:sz w:val="16"/>
          <w:szCs w:val="16"/>
          <w:u w:val="single" w:color="auto"/>
          <w:color w:val="auto"/>
        </w:rPr>
        <w:t>Forfeiture Pool</w:t>
      </w:r>
      <w:r>
        <w:rPr>
          <w:rFonts w:ascii="Arial" w:cs="Arial" w:eastAsia="Arial" w:hAnsi="Arial"/>
          <w:sz w:val="16"/>
          <w:szCs w:val="16"/>
          <w:color w:val="auto"/>
        </w:rPr>
        <w:t xml:space="preserve">” and shall be issued in accordance with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w:t>
      </w:r>
      <w:r>
        <w:rPr>
          <w:rFonts w:ascii="Arial" w:cs="Arial" w:eastAsia="Arial" w:hAnsi="Arial"/>
          <w:sz w:val="16"/>
          <w:szCs w:val="16"/>
          <w:color w:val="auto"/>
        </w:rPr>
        <w:t>, as applicable. The delivery of Earn-Out Shares underlying the Earn-Out RSUs shall be subject to the payment of any applicable Tax withholdings and compliance with any applicable requirements of the securities and other laws.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REGARDING THE COMPANY</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the letter dated as of the date of this Agreement delivered by the Company to Parent and Merger Sub prior to or in connection with the execution and delivery of this Agreement (the “</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the Company hereby represents and warrants to Parent and Merger Sub as of the date hereof and as of the Closing Date as follows:</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 corporation duly incorporated, validly existing and in good standing under the Legal Requirements of the State of Delaware and has all requisite corporate power and authority to own, lease and operate its assets and properties and to carry on its business as it is now being conducted, except as would not be material to the Group Companies, taken as a whole. The Company is duly licensed or qualified to do business in each jurisdiction in which the ownership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 Complete and correct copies of the certificate of incorporation and by-laws (or other comparable governing instruments with different names) (collectively referred to herein as “</w:t>
      </w:r>
      <w:r>
        <w:rPr>
          <w:rFonts w:ascii="Arial" w:cs="Arial" w:eastAsia="Arial" w:hAnsi="Arial"/>
          <w:sz w:val="18"/>
          <w:szCs w:val="18"/>
          <w:u w:val="single" w:color="auto"/>
          <w:color w:val="auto"/>
        </w:rPr>
        <w:t>Charter Documents</w:t>
      </w:r>
      <w:r>
        <w:rPr>
          <w:rFonts w:ascii="Arial" w:cs="Arial" w:eastAsia="Arial" w:hAnsi="Arial"/>
          <w:sz w:val="18"/>
          <w:szCs w:val="18"/>
          <w:color w:val="auto"/>
        </w:rPr>
        <w:t>”) of the Company as amended and currently in effect, have been made available to Parent or its representatives.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Company Subsidiaries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2" w:lineRule="auto"/>
        <w:tabs>
          <w:tab w:leader="none" w:pos="9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Company’s direct and indirect Subsidiaries, together with their jurisdiction of incorporation or organization, as applicable, are listed on </w:t>
      </w:r>
      <w:r>
        <w:rPr>
          <w:rFonts w:ascii="Arial" w:cs="Arial" w:eastAsia="Arial" w:hAnsi="Arial"/>
          <w:sz w:val="17"/>
          <w:szCs w:val="17"/>
          <w:u w:val="single" w:color="auto"/>
          <w:color w:val="auto"/>
        </w:rPr>
        <w:t>Schedule 4.2(a)</w:t>
      </w:r>
      <w:r>
        <w:rPr>
          <w:rFonts w:ascii="Arial" w:cs="Arial" w:eastAsia="Arial" w:hAnsi="Arial"/>
          <w:sz w:val="17"/>
          <w:szCs w:val="17"/>
          <w:color w:val="auto"/>
        </w:rPr>
        <w:t xml:space="preserve"> of the Company Disclosure Letter (the “</w:t>
      </w:r>
      <w:r>
        <w:rPr>
          <w:rFonts w:ascii="Arial" w:cs="Arial" w:eastAsia="Arial" w:hAnsi="Arial"/>
          <w:sz w:val="17"/>
          <w:szCs w:val="17"/>
          <w:u w:val="single" w:color="auto"/>
          <w:color w:val="auto"/>
        </w:rPr>
        <w:t>Company Subsidiaries</w:t>
      </w:r>
      <w:r>
        <w:rPr>
          <w:rFonts w:ascii="Arial" w:cs="Arial" w:eastAsia="Arial" w:hAnsi="Arial"/>
          <w:sz w:val="17"/>
          <w:szCs w:val="17"/>
          <w:color w:val="auto"/>
        </w:rPr>
        <w:t>”). Each Company Subsidiary has been duly formed or organized and is validly existing under the Legal Requirements of its respective jurisdiction of incorporation or organization and has the requisite power and authority to own, lease and operate its assets and properties and to conduct its business as now being conducted, except where the failure to be so formed, organized or existing, or to have such power and authority, would not, individually or in the aggregate, reasonably be expected to be material to the Group Companies, taken as a whole. The Company has previously provided to Parent or its representatives true and complete copies of the Charter Documents of the Company Subsidiaries, as amended and currently in effect.</w:t>
      </w:r>
    </w:p>
    <w:p>
      <w:pPr>
        <w:spacing w:after="0" w:line="177" w:lineRule="exact"/>
        <w:rPr>
          <w:rFonts w:ascii="Arial" w:cs="Arial" w:eastAsia="Arial" w:hAnsi="Arial"/>
          <w:sz w:val="17"/>
          <w:szCs w:val="17"/>
          <w:color w:val="auto"/>
        </w:rPr>
      </w:pPr>
    </w:p>
    <w:p>
      <w:pPr>
        <w:jc w:val="both"/>
        <w:ind w:firstLine="656"/>
        <w:spacing w:after="0" w:line="275" w:lineRule="auto"/>
        <w:tabs>
          <w:tab w:leader="none" w:pos="903"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4.2(b)</w:t>
      </w:r>
      <w:r>
        <w:rPr>
          <w:rFonts w:ascii="Arial" w:cs="Arial" w:eastAsia="Arial" w:hAnsi="Arial"/>
          <w:sz w:val="17"/>
          <w:szCs w:val="17"/>
          <w:color w:val="auto"/>
        </w:rPr>
        <w:t xml:space="preserve"> of the Company Disclosure Letter, each Company Subsidiary is duly licensed or qualified to do business and, where applicable, is in good standing as a foreign corporation (or other entity, if applicable) in each jurisdiction in which it is conducting business, or the operation, ownership or leasing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6" w:lineRule="auto"/>
        <w:tabs>
          <w:tab w:leader="none" w:pos="9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(i) 2,500,000 shares of Class A Common Stock, of which one share is issued and outstanding as of the date of this Agreement; (ii) 15,000,000 shares of Class B Common Stock, of which 549,965 shares are issued and outstanding as of the date of this Agreement; (iii) 444,373 shares of Series A-1 Preferred Stock, par value $0.00001, of the Company (“</w:t>
      </w:r>
      <w:r>
        <w:rPr>
          <w:rFonts w:ascii="Arial" w:cs="Arial" w:eastAsia="Arial" w:hAnsi="Arial"/>
          <w:sz w:val="16"/>
          <w:szCs w:val="16"/>
          <w:u w:val="single" w:color="auto"/>
          <w:color w:val="auto"/>
        </w:rPr>
        <w:t>Series A-1 Preferred Stock</w:t>
      </w:r>
      <w:r>
        <w:rPr>
          <w:rFonts w:ascii="Arial" w:cs="Arial" w:eastAsia="Arial" w:hAnsi="Arial"/>
          <w:sz w:val="16"/>
          <w:szCs w:val="16"/>
          <w:color w:val="auto"/>
        </w:rPr>
        <w:t>”), of which 447,373 shares are issued and outstanding as of the date of this Agreement; (iv) 522,267 shares of Series A-2 Preferred Stock, par value $0.00001, of the Company (“</w:t>
      </w:r>
      <w:r>
        <w:rPr>
          <w:rFonts w:ascii="Arial" w:cs="Arial" w:eastAsia="Arial" w:hAnsi="Arial"/>
          <w:sz w:val="16"/>
          <w:szCs w:val="16"/>
          <w:u w:val="single" w:color="auto"/>
          <w:color w:val="auto"/>
        </w:rPr>
        <w:t>Series A-2 Preferred Stock</w:t>
      </w:r>
      <w:r>
        <w:rPr>
          <w:rFonts w:ascii="Arial" w:cs="Arial" w:eastAsia="Arial" w:hAnsi="Arial"/>
          <w:sz w:val="16"/>
          <w:szCs w:val="16"/>
          <w:color w:val="auto"/>
        </w:rPr>
        <w:t>”), of which 401,347 shares are issued and outstanding as of the date of this Agreement; (v) 338,663 shares of Series B Preferred Stock, par value $0.00001, of the Company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of which 338,663 shares are issued and outstanding as of the date of this Agreement; and (vi) 197,824 shares of Series C Preferred Stock, par value $0.00001, of the Company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and, together with the Series A-1 Preferred Stock, Series A-2 Preferred Stock and Series B Preferred Stock,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xml:space="preserve">”), of which 197,821 shares are issued and outstanding as of the date of this Agreement. All of the issued and outstanding shares of Company Common Stock and Company Preferred Stock have been duly authorized and validly issued and are fully paid and nonassessable and have not been issued in violation of any preemptive or similar rights. Each share of Company Common Stock and Company Preferred Stock has been issued in compliance in all material respects with: (A) Applicable Legal Requirements; and (B) the Company’s Charter Documents. </w:t>
      </w:r>
      <w:r>
        <w:rPr>
          <w:rFonts w:ascii="Arial" w:cs="Arial" w:eastAsia="Arial" w:hAnsi="Arial"/>
          <w:sz w:val="16"/>
          <w:szCs w:val="16"/>
          <w:u w:val="single" w:color="auto"/>
          <w:color w:val="auto"/>
        </w:rPr>
        <w:t>Schedule 4.3(a)</w:t>
      </w:r>
      <w:r>
        <w:rPr>
          <w:rFonts w:ascii="Arial" w:cs="Arial" w:eastAsia="Arial" w:hAnsi="Arial"/>
          <w:sz w:val="16"/>
          <w:szCs w:val="16"/>
          <w:color w:val="auto"/>
        </w:rPr>
        <w:t xml:space="preserve"> of the Company Disclosure Letter contains a true and correct list of all Company Common Stock and Company Preferred Stock owned by each Company Stockholder, and the respective class(es) thereof.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56"/>
        <w:spacing w:after="0" w:line="269" w:lineRule="auto"/>
        <w:tabs>
          <w:tab w:leader="none" w:pos="90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has previously provided to Parent a list, dated as of February 6, 2021, that is true and correct as of such date, setting forth the name of each holder of any Company Option granted under the Company Incentive Plan, the number of Company Options held by each holder, the class of shares underlying such Company Options and the applicable exercise price. Other than the Company Incentive Plan there are no stock appreciation, phantom stock, stock-based performance unit, profit participation, restricted stock, restricted stock unit or other equity-based compensation award or similar rights with respect to the Company. The Company has not granted any outstanding options, warrants, rights or other securities convertible into or exchangeable or exercisable for shares of the Company Common Stock or Company Preferred Stock, or any other commitments or agreements providing for the issuance of additional shares, the sale of treasury shares, or for the repurchase or redemption of shares of Company Common Stock or Company Preferred Stock, and there are no agreements of any kind which may obligate the Company to issue, purchase, register for sale, redeem or otherwise acquire any of its capital stock. Except for this Agreement, there are no registration rights, and there is no voting trust, proxy, rights plan, anti-takeover plan or other agreements or understandings with respect to the shares of Company Common Stock or Company Preferred Stock. No Company RSUs are outstanding as of the date of this Agreement.</w:t>
      </w:r>
    </w:p>
    <w:p>
      <w:pPr>
        <w:spacing w:after="0" w:line="181" w:lineRule="exact"/>
        <w:rPr>
          <w:rFonts w:ascii="Arial" w:cs="Arial" w:eastAsia="Arial" w:hAnsi="Arial"/>
          <w:sz w:val="17"/>
          <w:szCs w:val="17"/>
          <w:color w:val="auto"/>
        </w:rPr>
      </w:pPr>
    </w:p>
    <w:p>
      <w:pPr>
        <w:jc w:val="both"/>
        <w:ind w:firstLine="656"/>
        <w:spacing w:after="0" w:line="286" w:lineRule="auto"/>
        <w:tabs>
          <w:tab w:leader="none" w:pos="89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outstanding shares of capital stock (or other equity interests) of each of the Company Subsidiaries have been duly authorized and validly issued and (if applicable) are fully paid and nonassessable (where such concepts are applicable) and have not been issued in violation of any preemptive or similar rights. The Company or one or more of its wholly owned Subsidiaries own of record and beneficially all the issued and outstanding shares of capital stock (or other equity interests) of such Company Subsidiaries free and clear of any Liens other than (i) as may be set forth on </w:t>
      </w:r>
      <w:r>
        <w:rPr>
          <w:rFonts w:ascii="Arial" w:cs="Arial" w:eastAsia="Arial" w:hAnsi="Arial"/>
          <w:sz w:val="16"/>
          <w:szCs w:val="16"/>
          <w:u w:val="single" w:color="auto"/>
          <w:color w:val="auto"/>
        </w:rPr>
        <w:t>Schedule 4.3(c)</w:t>
      </w:r>
      <w:r>
        <w:rPr>
          <w:rFonts w:ascii="Arial" w:cs="Arial" w:eastAsia="Arial" w:hAnsi="Arial"/>
          <w:sz w:val="16"/>
          <w:szCs w:val="16"/>
          <w:color w:val="auto"/>
        </w:rPr>
        <w:t xml:space="preserve">; (ii) for any restrictions on sales of securities under applicable securities laws; and (iii) Permitted Liens. There are no outstanding options, warrants, rights or other securities convertible into or exercisable or exchangeable for any shares of capital stock (or other equity interests) of such Company Subsidiaries, any other commitments or agreements providing for the issuance of additional shares (or other equity interests), the sale of treasury shares, or for the repurchase or redemption of such Company Subsidiaries’ shares of capital stock (or other equity interests), or any agreements of any kind which may obligate any Company Subsidiary to issue, purchase, register for sale, redeem or otherwise acquire any of its shares of capital stock (or other equity interests). Except for the equity interests of the Company Subsidiaries set forth on </w:t>
      </w:r>
      <w:r>
        <w:rPr>
          <w:rFonts w:ascii="Arial" w:cs="Arial" w:eastAsia="Arial" w:hAnsi="Arial"/>
          <w:sz w:val="16"/>
          <w:szCs w:val="16"/>
          <w:u w:val="single" w:color="auto"/>
          <w:color w:val="auto"/>
        </w:rPr>
        <w:t>Schedule 4.2(a)</w:t>
      </w:r>
      <w:r>
        <w:rPr>
          <w:rFonts w:ascii="Arial" w:cs="Arial" w:eastAsia="Arial" w:hAnsi="Arial"/>
          <w:sz w:val="16"/>
          <w:szCs w:val="16"/>
          <w:color w:val="auto"/>
        </w:rPr>
        <w:t xml:space="preserve"> of the Company Disclosure Letter and as otherwise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4.3(c)</w:t>
      </w:r>
      <w:r>
        <w:rPr>
          <w:rFonts w:ascii="Arial" w:cs="Arial" w:eastAsia="Arial" w:hAnsi="Arial"/>
          <w:sz w:val="16"/>
          <w:szCs w:val="16"/>
          <w:color w:val="auto"/>
        </w:rPr>
        <w:t xml:space="preserve"> of the Company Disclosure Letter, neither the Company nor any of the Company Subsidiaries owns, directly or indirectly, any ownership, equity, profits or voting interest in any Person or have any agreement or commitment to 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170" w:lineRule="exact"/>
        <w:rPr>
          <w:rFonts w:ascii="Arial" w:cs="Arial" w:eastAsia="Arial" w:hAnsi="Arial"/>
          <w:sz w:val="16"/>
          <w:szCs w:val="16"/>
          <w:color w:val="auto"/>
        </w:rPr>
      </w:pPr>
    </w:p>
    <w:p>
      <w:pPr>
        <w:jc w:val="both"/>
        <w:ind w:firstLine="656"/>
        <w:spacing w:after="0" w:line="263" w:lineRule="auto"/>
        <w:tabs>
          <w:tab w:leader="none" w:pos="9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provided for in this Agreement, as a result of the consummation of the Transactions, no shares of capital stock, warrants, options or other securities of the Company are issuable and no rights in connection with any shares, warrants, options or other securities of the Company accelerate or otherwise become triggered (whether as to vesting, exercisability, convertibility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87"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Due Authorization</w:t>
      </w:r>
      <w:r>
        <w:rPr>
          <w:rFonts w:ascii="Arial" w:cs="Arial" w:eastAsia="Arial" w:hAnsi="Arial"/>
          <w:sz w:val="16"/>
          <w:szCs w:val="16"/>
          <w:color w:val="auto"/>
        </w:rPr>
        <w:t xml:space="preserve">. The Company has all requisite corporate power and authority to: (a) execute, deliver and perform this Agreement and the other Transaction Agreements to which it is a party; and (b) carry out the Company’s obligations hereunder and thereunder and to consummate the Transactions (including the Merger), in each case, subject to the consents, approvals, authorizations and other requirements described in </w:t>
      </w:r>
      <w:r>
        <w:rPr>
          <w:rFonts w:ascii="Arial" w:cs="Arial" w:eastAsia="Arial" w:hAnsi="Arial"/>
          <w:sz w:val="16"/>
          <w:szCs w:val="16"/>
          <w:u w:val="single" w:color="auto"/>
          <w:color w:val="auto"/>
        </w:rPr>
        <w:t>Section 4.5</w:t>
      </w:r>
      <w:r>
        <w:rPr>
          <w:rFonts w:ascii="Arial" w:cs="Arial" w:eastAsia="Arial" w:hAnsi="Arial"/>
          <w:sz w:val="16"/>
          <w:szCs w:val="16"/>
          <w:color w:val="auto"/>
        </w:rPr>
        <w:t>. The execution and delivery by the Company of this Agreement and the other Transaction Agreements to which it is a party and the consummation by the Company of the Transactions (including the Merger) have been, or in the case of any Transaction Agreements to be executed at or in connection with the Closing, will be duly and validly authorized by all requisite action, including approval by the board of directors of the Company and, following receipt of the Company Stockholder Approval, the Company Stockholders as required by the DGCL, and no other corporate proceeding on the part of the Company is necessary to authorize this Agreement. This Agreement and the other Transaction Agreements to which it is a party have been duly and validly executed and delivered by the Company and (assuming this Agreement constitutes a legal, valid and binding obligation of each of Parent and Merger Sub) constitute or will constitute the legal, valid and binding obligation of the Company, enforceable against the Company in accordance with their terms, subject to applicable bankruptcy, insolvency, fraudulent conveyance, reorganization, moratorium and similar laws affecting creditors’ rights generally and subject, as to enforceability, to general principles of equity (collectively, the “</w:t>
      </w:r>
      <w:r>
        <w:rPr>
          <w:rFonts w:ascii="Arial" w:cs="Arial" w:eastAsia="Arial" w:hAnsi="Arial"/>
          <w:sz w:val="16"/>
          <w:szCs w:val="16"/>
          <w:u w:val="single" w:color="auto"/>
          <w:color w:val="auto"/>
        </w:rPr>
        <w:t>Remedies Exception</w:t>
      </w:r>
      <w:r>
        <w:rPr>
          <w:rFonts w:ascii="Arial" w:cs="Arial" w:eastAsia="Arial" w:hAnsi="Arial"/>
          <w:sz w:val="16"/>
          <w:szCs w:val="16"/>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Conflict; Governmental Consents and Filings</w:t>
      </w:r>
      <w:r>
        <w:rPr>
          <w:rFonts w:ascii="Arial" w:cs="Arial" w:eastAsia="Arial" w:hAnsi="Arial"/>
          <w:sz w:val="18"/>
          <w:szCs w:val="18"/>
          <w:color w:val="auto"/>
        </w:rPr>
        <w:t xml:space="preserve"> .</w:t>
      </w:r>
    </w:p>
    <w:p>
      <w:pPr>
        <w:spacing w:after="0" w:line="225" w:lineRule="exact"/>
        <w:rPr>
          <w:sz w:val="20"/>
          <w:szCs w:val="20"/>
          <w:color w:val="auto"/>
        </w:rPr>
      </w:pPr>
    </w:p>
    <w:p>
      <w:pPr>
        <w:jc w:val="both"/>
        <w:ind w:firstLine="656"/>
        <w:spacing w:after="0" w:line="287" w:lineRule="auto"/>
        <w:tabs>
          <w:tab w:leader="none" w:pos="902"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4.5(a)</w:t>
      </w:r>
      <w:r>
        <w:rPr>
          <w:rFonts w:ascii="Arial" w:cs="Arial" w:eastAsia="Arial" w:hAnsi="Arial"/>
          <w:sz w:val="16"/>
          <w:szCs w:val="16"/>
          <w:color w:val="auto"/>
        </w:rPr>
        <w:t xml:space="preserve"> of the Company Disclosure Letter, subject to the receipt of the consents, approvals, authorizations and other requirements set forth in </w:t>
      </w:r>
      <w:r>
        <w:rPr>
          <w:rFonts w:ascii="Arial" w:cs="Arial" w:eastAsia="Arial" w:hAnsi="Arial"/>
          <w:sz w:val="16"/>
          <w:szCs w:val="16"/>
          <w:u w:val="single" w:color="auto"/>
          <w:color w:val="auto"/>
        </w:rPr>
        <w:t>Section 4.5(b)</w:t>
      </w:r>
      <w:r>
        <w:rPr>
          <w:rFonts w:ascii="Arial" w:cs="Arial" w:eastAsia="Arial" w:hAnsi="Arial"/>
          <w:sz w:val="16"/>
          <w:szCs w:val="16"/>
          <w:color w:val="auto"/>
        </w:rPr>
        <w:t>, the execution, delivery and performance of this Agreement (including the consummation by the Company of the Transactions) and the other Transaction Agreements to which the Company is a party by the Company do not and will not: (i) violate any provision of, or result in the breach of, any Applicable Legal Requirement to which any of the Group Companies is subject or by which any property or asset of any of the Group Companies is bound; (ii) conflict with or violate the Charter Documents of any of the Group Companies; (iii) violate any provision of or result in a breach, default or acceleration of, require a consent under, or create any right to payment under any Company Material Contract or Material Current Government Contract, or terminate or result in the termination of any Company Material Contract or Material Current Government Contract, or result in the creation of any Lien under any Company Material Contract or Material Current Government Contract upon any of the properties or assets of any of the Group Companies, or constitute an event which, after notice or lapse of time or both, would result in any such violation, breach, default, acceleration, termination or creation of a Lien; or (iv) result in a violation or revocation of any required Approvals, except to the extent that the occurrence of any of the foregoing items set forth in clauses (iii) or (iv) would not, individually or in the aggregate, reasonably be expected to prevent, materially delay or materially impair the ability of the Company to consummate the Transactions or have a Company Material Adverse Effect.</w:t>
      </w:r>
    </w:p>
    <w:p>
      <w:pPr>
        <w:spacing w:after="0" w:line="167" w:lineRule="exact"/>
        <w:rPr>
          <w:rFonts w:ascii="Arial" w:cs="Arial" w:eastAsia="Arial" w:hAnsi="Arial"/>
          <w:sz w:val="16"/>
          <w:szCs w:val="16"/>
          <w:color w:val="auto"/>
        </w:rPr>
      </w:pPr>
    </w:p>
    <w:p>
      <w:pPr>
        <w:jc w:val="both"/>
        <w:ind w:firstLine="656"/>
        <w:spacing w:after="0" w:line="291" w:lineRule="auto"/>
        <w:tabs>
          <w:tab w:leader="none" w:pos="8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Assuming the truth and completeness of the representations and warranties of Parent contained in this Agreement, no consent, notice, approval or authorization of, or designation, declaration or filing with, any Governmental Entity is required on the part of the Company with respect to the Company’s execution, delivery or performance of this Agreement, any of the other Transaction Agreements to which it is a party or the consummation by the Company of the Transactions (including the Merger), except for: (i) applicable requirements of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xml:space="preserve">”) or any similar foreign law; (ii) any consents, notices, approvals, authorizations, designations, declarations or filings, the absence of which would not reasonably be expected to have a Company Material Adverse Effect; (iii) compliance with any applicable requirements of the securities laws; (iv) as otherwise disclosed on </w:t>
      </w:r>
      <w:r>
        <w:rPr>
          <w:rFonts w:ascii="Arial" w:cs="Arial" w:eastAsia="Arial" w:hAnsi="Arial"/>
          <w:sz w:val="16"/>
          <w:szCs w:val="16"/>
          <w:u w:val="single" w:color="auto"/>
          <w:color w:val="auto"/>
        </w:rPr>
        <w:t>Schedule 4.5(b)</w:t>
      </w:r>
      <w:r>
        <w:rPr>
          <w:rFonts w:ascii="Arial" w:cs="Arial" w:eastAsia="Arial" w:hAnsi="Arial"/>
          <w:sz w:val="16"/>
          <w:szCs w:val="16"/>
          <w:color w:val="auto"/>
        </w:rPr>
        <w:t>; and (v) the filing of the Certificate of Merger in accordance with the DGCL.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Legal Compliance; Approvals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9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the Group Companies has during the past three years complied with, and is not currently in violation of, any Applicable Legal Requirements with respect to the conduct of its business, or the ownership or operation of its business, except for failures to comply or violations which, individually or in the aggregate, have not been and are not reasonably likely to be material to the Group Companies, taken as a whole. No written, or to the Knowledge of the Company, oral notice of non-compliance with any Applicable Legal Requirements has been received during the past three years by any of the Group Companies.</w:t>
      </w:r>
    </w:p>
    <w:p>
      <w:pPr>
        <w:spacing w:after="0" w:line="187"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Group Company is in possession of all franchises, grants, authorizations, licenses, permits, consents, certificates, approvals and orders from Governmental Entities (“</w:t>
      </w:r>
      <w:r>
        <w:rPr>
          <w:rFonts w:ascii="Arial" w:cs="Arial" w:eastAsia="Arial" w:hAnsi="Arial"/>
          <w:sz w:val="18"/>
          <w:szCs w:val="18"/>
          <w:u w:val="single" w:color="auto"/>
          <w:color w:val="auto"/>
        </w:rPr>
        <w:t>Approvals</w:t>
      </w:r>
      <w:r>
        <w:rPr>
          <w:rFonts w:ascii="Arial" w:cs="Arial" w:eastAsia="Arial" w:hAnsi="Arial"/>
          <w:sz w:val="18"/>
          <w:szCs w:val="18"/>
          <w:color w:val="auto"/>
        </w:rPr>
        <w:t>”) necessary to own, lease and operate the properties it purports to own, operate or lease and to carry on its business as it is now being conducted, except where the failure to have such Approvals would not, individually or in the aggregate, reasonably be expected to be material to the Group Companies, taken as a whole.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of the Company Disclosure Letter sets forth a list of each Current Government Contract in existence as of the date hereof that involves aggregate payments to the Company or any of the Company Subsidiaries that are reasonably expected to be in excess of $250,000 (each, a “</w:t>
      </w:r>
      <w:r>
        <w:rPr>
          <w:rFonts w:ascii="Arial" w:cs="Arial" w:eastAsia="Arial" w:hAnsi="Arial"/>
          <w:sz w:val="18"/>
          <w:szCs w:val="18"/>
          <w:u w:val="single" w:color="auto"/>
          <w:color w:val="auto"/>
        </w:rPr>
        <w:t>Material Current Government Contract</w:t>
      </w:r>
      <w:r>
        <w:rPr>
          <w:rFonts w:ascii="Arial" w:cs="Arial" w:eastAsia="Arial" w:hAnsi="Arial"/>
          <w:sz w:val="18"/>
          <w:szCs w:val="18"/>
          <w:color w:val="auto"/>
        </w:rPr>
        <w:t>”). Each Current Government Contract was legally awarded to the Company or a Company Subsidiary, as applicable. Each Current Government Contract: (i) is a legal, valid binding obligation of the Company or such Company Subsidiary, as applicable; and (ii) is in full force and effect and enforceable against the Company or such Company Subsidiary, as applicable, in accordance with its terms.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2" w:lineRule="auto"/>
        <w:tabs>
          <w:tab w:leader="none" w:pos="8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has previously provided to Parent: (i) the audited balance sheets and statements of operations and comprehensive loss, changes in equity and cash flows of the Company for the twelve- month periods ended December 31, 2019 and 2018 together with the auditor’s reports thereon (the “</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and (ii) an unaudited balance sheet and statements of operations and comprehensive loss and cash flows of the Company as of and for the 11-month period ended November 30, 2021 (the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and, together with the Audited Financial Statements,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present fairly, in all material respects, the financial position and results of operations of the Company as of the dates and for the periods indicated in such Financial Statements in conformity with GAAP (except in the case of the Interim Financial Statements for the absence of footnotes and other presentation items and for normal year-end adjustments).</w:t>
      </w:r>
    </w:p>
    <w:p>
      <w:pPr>
        <w:spacing w:after="0" w:line="177" w:lineRule="exact"/>
        <w:rPr>
          <w:rFonts w:ascii="Arial" w:cs="Arial" w:eastAsia="Arial" w:hAnsi="Arial"/>
          <w:sz w:val="17"/>
          <w:szCs w:val="17"/>
          <w:color w:val="auto"/>
        </w:rPr>
      </w:pPr>
    </w:p>
    <w:p>
      <w:pPr>
        <w:jc w:val="both"/>
        <w:ind w:firstLine="656"/>
        <w:spacing w:after="0" w:line="263"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established and maintained a system of internal controls. To the Knowledge of the Company, such internal controls are sufficient to provide reasonable assurance regarding the reliability of the Company’s financial reporting and the preparation of the Company’s financial statements for external purposes in accordance with GAAP.</w:t>
      </w:r>
    </w:p>
    <w:p>
      <w:pPr>
        <w:spacing w:after="0" w:line="183" w:lineRule="exact"/>
        <w:rPr>
          <w:rFonts w:ascii="Arial" w:cs="Arial" w:eastAsia="Arial" w:hAnsi="Arial"/>
          <w:sz w:val="18"/>
          <w:szCs w:val="18"/>
          <w:color w:val="auto"/>
        </w:rPr>
      </w:pPr>
    </w:p>
    <w:p>
      <w:pPr>
        <w:ind w:firstLine="656"/>
        <w:spacing w:after="0" w:line="277"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no outstanding loans or other extensions of credit made by the Company to any executive officer (as defined in Rule 3b-7 under the Exchange Act) or director of the Company.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is no liability, debt or obligation (absolute, accrued, contingent or otherwise) of any of the Group Companies of a type required to be reflected or reserved for on a balance sheet prepared in accordance with GAAP, except for liabilities, debts and obligations: (a) provided for in, or otherwise reflected or reserved for on the Financial Statements or disclosed in the notes thereto; (b) that have arisen since the date of the most recent balance sheet included in the Financial Statements in the ordinary course of the operation of business of the Group Companies; (c) incurred in connection with the transactions contemplated by this Agreement; or (d) which would not, individually or in the aggregate, reasonably be expected to have a Company Material Adverse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6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xml:space="preserve">. Except as contemplated by this Agreement, since August 27, 2020 through the date of this Agreement, except as required to respond to Pandemic Measures, each of the Group Companies has conducted its business in the ordinary course consistent with past practice and there has not been: (a) any Company Material Adverse Effect; (b) any purchase, redemption or other acquisition by the Company of any of the shares of Company Common Stock, Company Preferred Stock or any other securities of the Company or any options, warrants, calls or rights to acquire any such Company Common Stock, Company Preferred Stock or other securities, other than pursuant to the terms of a Company Option; (c) any split, combination or reclassification of any of the shares of Company Common Stock or Company Preferred Stock; (d) any material change by the Company in its accounting methods, principles or practices, except as required by concurrent changes in GAAP or Applicable Legal Requirements; (e) any change in the auditors of the Company; (f) any issuance of shares of Company Common Stock or Company Preferred Stock, other than in connection with the exercise of a Company Option or Company SAR; (g) any revaluation by the Company of any of its assets, including any sale of assets of the Company other than with respect to sales in the ordinary course of business; or (h) any action taken or agreed upon by any of the Group Companies that would be prohibited by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(other than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to the extent related to the foregoing clauses, </w:t>
      </w:r>
      <w:r>
        <w:rPr>
          <w:rFonts w:ascii="Arial" w:cs="Arial" w:eastAsia="Arial" w:hAnsi="Arial"/>
          <w:sz w:val="17"/>
          <w:szCs w:val="17"/>
          <w:u w:val="single" w:color="auto"/>
          <w:color w:val="auto"/>
        </w:rPr>
        <w:t>(p)</w:t>
      </w:r>
      <w:r>
        <w:rPr>
          <w:rFonts w:ascii="Arial" w:cs="Arial" w:eastAsia="Arial" w:hAnsi="Arial"/>
          <w:sz w:val="17"/>
          <w:szCs w:val="17"/>
          <w:color w:val="auto"/>
        </w:rPr>
        <w:t xml:space="preserve"> thereof) if such action were taken on or after the date hereof without the consent of Parent.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4.11</w:t>
      </w:r>
      <w:r>
        <w:rPr>
          <w:rFonts w:ascii="Arial" w:cs="Arial" w:eastAsia="Arial" w:hAnsi="Arial"/>
          <w:sz w:val="17"/>
          <w:szCs w:val="17"/>
          <w:color w:val="auto"/>
        </w:rPr>
        <w:t xml:space="preserve"> of the Company Disclosure Letter or as would not be material to the Group Companies, taken as a whole, as of the date hereof, there are: (a) no pending or, to the Knowledge of the Company, threatened in writing, Legal Proceedings against any of the Group Companies or any of its properties or assets, or any of the directors or officers of any of the Group Companies with regard to their actions as such; (b) to the Knowledge of the Company, other than with respect to audits, examinations or investigations in the ordinary course of business conducted by a Governmental Entity pursuant to a Current Government Contract, no pending or threatened in writing, audits, examinations or investigations by any Governmental Entity against any of the Group Companies with regard to their actions as such; (c) no pending or threatened in writing Legal Proceedings by any of the Group Companies against any third party; (d) no settlements or similar agreements that imposes any material ongoing obligations or restrictions on any of the Group Companies; and (e) no Orders imposed or, to the Knowledge of the Company, threatened to be imposed upon any of the Group Companies or any of their respective properties or assets, or any of the directors or officers of any of the Group Companies with regard to their actions as such.</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7" w:lineRule="auto"/>
        <w:tabs>
          <w:tab w:leader="none" w:pos="93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sets forth a complete list of each material Company Benefit Plan, including all employment contracts or offer letters unless any such arrangement is in a form substantially similar to a form of employment contract or offer letter identified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(which schedule includes a general description of groups of employees that has entered into agreements on such forms). “</w:t>
      </w:r>
      <w:r>
        <w:rPr>
          <w:rFonts w:ascii="Arial" w:cs="Arial" w:eastAsia="Arial" w:hAnsi="Arial"/>
          <w:sz w:val="16"/>
          <w:szCs w:val="16"/>
          <w:u w:val="single" w:color="auto"/>
          <w:color w:val="auto"/>
        </w:rPr>
        <w:t>Company Benefit Plan</w:t>
      </w:r>
      <w:r>
        <w:rPr>
          <w:rFonts w:ascii="Arial" w:cs="Arial" w:eastAsia="Arial" w:hAnsi="Arial"/>
          <w:sz w:val="16"/>
          <w:szCs w:val="16"/>
          <w:color w:val="auto"/>
        </w:rPr>
        <w:t xml:space="preserve">” means each “employee benefit plan” (within the meaning of Section 3(3) of ERISA), and each other retirement, supplemental retirement, deferred compensation, employment, bonus, incentive compensation, stock purchase, employee stock ownership, equity-based, phantom-equity, profit-sharing, severance, termination protection, change in control, retention, employee loan, retiree medical or life insurance, educational, employee assistance, fringe benefit and all other employee benefit plan, policy, agreement, program or arrangement, whether or not subject to ERISA, whether formal or informal, oral or written, which any Group Company sponsors or maintains for the benefit of its current or former employees, individuals who provide services and are compensated as individual independent contractors or directors, or with respect to which any Group Company has any direct or indirect present or future liability (including on account of its affiliation with an ERISA Affiliate). Notwithstanding anything to the contrary herein, in the case of any representation or warranty contained in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concerning an employee benefit plan that is a Company Benefit Plan on account of the Company’s affiliation with an ERISA Affiliate, such representation and warranty is made to the Knowledge of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56"/>
        <w:spacing w:after="0" w:line="291" w:lineRule="auto"/>
        <w:tabs>
          <w:tab w:leader="none" w:pos="9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With respect to each Company Benefit Plan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the Company has made available to Parent or its representatives copies of, as applicable: (i) such Company Benefit Plan, or the applicable form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and any trust agreement relating to such plan; (ii) the most recent summary plan description for such Company Benefit Plan for which such summary plan description is required; (iii) the most recent annual report on Form 5500 and all attachments thereto filed with the Internal Revenue Service with respect to such Company Benefit Plan (if applicable); (iv) the most audited financial statements, and actuarial or other valuation reports; (v) the most recent determination or opinion letter, if any, issued by the Internal Revenue Service with respect to such Company Benefit Plan; and (vi) any material non-routine correspondence with any Governmental Entity regarding any Company Benefit Plan during the past three years.</w:t>
      </w:r>
    </w:p>
    <w:p>
      <w:pPr>
        <w:spacing w:after="0" w:line="166" w:lineRule="exact"/>
        <w:rPr>
          <w:rFonts w:ascii="Arial" w:cs="Arial" w:eastAsia="Arial" w:hAnsi="Arial"/>
          <w:sz w:val="16"/>
          <w:szCs w:val="16"/>
          <w:color w:val="auto"/>
        </w:rPr>
      </w:pPr>
    </w:p>
    <w:p>
      <w:pPr>
        <w:ind w:left="900" w:hanging="244"/>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be material to the Group Companies, taken as a whole:</w:t>
      </w:r>
    </w:p>
    <w:p>
      <w:pPr>
        <w:spacing w:after="0" w:line="236" w:lineRule="exact"/>
        <w:rPr>
          <w:rFonts w:ascii="Arial" w:cs="Arial" w:eastAsia="Arial" w:hAnsi="Arial"/>
          <w:sz w:val="17"/>
          <w:szCs w:val="17"/>
          <w:color w:val="auto"/>
        </w:rPr>
      </w:pPr>
    </w:p>
    <w:p>
      <w:pPr>
        <w:ind w:left="660" w:firstLine="644"/>
        <w:spacing w:after="0" w:line="277" w:lineRule="auto"/>
        <w:tabs>
          <w:tab w:leader="none" w:pos="15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Company Benefit Plan has been administered in accordance with its terms and all Applicable Legal Requirements, including ERISA and the Code;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contributions required to be made with respect to any Company Benefit Plan on or before the date hereof have been made;</w:t>
      </w:r>
    </w:p>
    <w:p>
      <w:pPr>
        <w:spacing w:after="0" w:line="236" w:lineRule="exact"/>
        <w:rPr>
          <w:rFonts w:ascii="Arial" w:cs="Arial" w:eastAsia="Arial" w:hAnsi="Arial"/>
          <w:sz w:val="17"/>
          <w:szCs w:val="17"/>
          <w:color w:val="auto"/>
        </w:rPr>
      </w:pPr>
    </w:p>
    <w:p>
      <w:pPr>
        <w:ind w:left="660" w:firstLine="644"/>
        <w:spacing w:after="0" w:line="277" w:lineRule="auto"/>
        <w:tabs>
          <w:tab w:leader="none" w:pos="1623"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non-exempt “prohibited transaction” (within the meaning of Section 406 of ERISA and Section 4975 of the Code) has occurred or is reasonably expected to occur with respect to any Company Benefit Plan;</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6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with respect to any Company Benefit Plan no actions, suits, claims (other than routine claims for benefits in the ordinary course), audits, inquiries, proceedings or lawsuits are pending, or, to the Knowledge of the Company, threatened against any Company Benefit Plan, the assets of any of the trusts under such plans or the plan sponsor or administrator, or against any fiduciary of any Employee Benefit Plan with respect to the operation thereof; and</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56"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event has occurred, and to the Knowledge of the Company, no condition exists that would, by reason of the Company’s affiliation with any of its ERISA Affiliates, subject any Group Company to any material tax, fine, lien, penalty or other liability imposed by ERISA, the Code or other Legal Requirements</w:t>
      </w:r>
    </w:p>
    <w:p>
      <w:pPr>
        <w:spacing w:after="0" w:line="183" w:lineRule="exact"/>
        <w:rPr>
          <w:rFonts w:ascii="Arial" w:cs="Arial" w:eastAsia="Arial" w:hAnsi="Arial"/>
          <w:sz w:val="18"/>
          <w:szCs w:val="18"/>
          <w:color w:val="auto"/>
        </w:rPr>
      </w:pPr>
    </w:p>
    <w:p>
      <w:pPr>
        <w:jc w:val="both"/>
        <w:ind w:firstLine="656"/>
        <w:spacing w:after="0" w:line="257" w:lineRule="auto"/>
        <w:tabs>
          <w:tab w:leader="none" w:pos="9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Company Benefit Plan which is intended to be qualified within the meaning of Section 401(a) of the Code: (A) has received a favorable determination or opinion letter as to its qualification; or (B) has been established under a standardized master and prototype or volume submitter plan for which a current favorable Internal Revenue Service advisory letter or opinion letter has been obtained by the plan sponsor and is valid as to the adopting employer, and nothing has occurred and no circumstances exist that would reasonably be expected to result in the loss of the qualification of such plan under Section 401(a) of the Code.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656"/>
        <w:spacing w:after="0" w:line="284" w:lineRule="auto"/>
        <w:tabs>
          <w:tab w:leader="none" w:pos="898"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Group Companies, taken as a whole, (i) no Company Benefit Plan covered by Title IV of ERISA, Section 412 of the Code or Section 302 of ERISA (a “</w:t>
      </w:r>
      <w:r>
        <w:rPr>
          <w:rFonts w:ascii="Arial" w:cs="Arial" w:eastAsia="Arial" w:hAnsi="Arial"/>
          <w:sz w:val="16"/>
          <w:szCs w:val="16"/>
          <w:u w:val="single" w:color="auto"/>
          <w:color w:val="auto"/>
        </w:rPr>
        <w:t>Pension Plan</w:t>
      </w:r>
      <w:r>
        <w:rPr>
          <w:rFonts w:ascii="Arial" w:cs="Arial" w:eastAsia="Arial" w:hAnsi="Arial"/>
          <w:sz w:val="16"/>
          <w:szCs w:val="16"/>
          <w:color w:val="auto"/>
        </w:rPr>
        <w:t>”) has been terminated and no proceedings have been instituted to terminate or appoint a trustee to administer any such plan; (ii) no Pension Plan has failed to satisfy the minimum funding standard within the meaning of Section 412 of the Code or Section 302 of ERISA, or obtained a waiver of any minimum funding standard or an extension of any amortization period under Section 412 of the Code or Section 302 or 304 of ERISA; (iii) no Pension Plan is, or is expected to be, considered an at-risk plan within the meaning of Section 430 of the Code or Section 303 of ERISA; (iv) neither the Company, any of its Subsidiaries, or any of their respective ERISA Affiliates has incurred any unsatisfied withdrawal liability to any “multiemployer plan” within the meaning of Section (3)</w:t>
      </w:r>
    </w:p>
    <w:p>
      <w:pPr>
        <w:spacing w:after="0" w:line="2" w:lineRule="exact"/>
        <w:rPr>
          <w:rFonts w:ascii="Arial" w:cs="Arial" w:eastAsia="Arial" w:hAnsi="Arial"/>
          <w:sz w:val="16"/>
          <w:szCs w:val="16"/>
          <w:color w:val="auto"/>
        </w:rPr>
      </w:pPr>
    </w:p>
    <w:p>
      <w:pPr>
        <w:jc w:val="both"/>
        <w:ind w:firstLine="8"/>
        <w:spacing w:after="0" w:line="270" w:lineRule="auto"/>
        <w:tabs>
          <w:tab w:leader="none" w:pos="367" w:val="left"/>
        </w:tabs>
        <w:numPr>
          <w:ilvl w:val="0"/>
          <w:numId w:val="28"/>
        </w:numPr>
        <w:rPr>
          <w:rFonts w:ascii="Arial" w:cs="Arial" w:eastAsia="Arial" w:hAnsi="Arial"/>
          <w:sz w:val="17"/>
          <w:szCs w:val="17"/>
          <w:color w:val="auto"/>
        </w:rPr>
      </w:pPr>
      <w:r>
        <w:rPr>
          <w:rFonts w:ascii="Arial" w:cs="Arial" w:eastAsia="Arial" w:hAnsi="Arial"/>
          <w:sz w:val="17"/>
          <w:szCs w:val="17"/>
          <w:color w:val="auto"/>
        </w:rPr>
        <w:t>of ERISA (“</w:t>
      </w:r>
      <w:r>
        <w:rPr>
          <w:rFonts w:ascii="Arial" w:cs="Arial" w:eastAsia="Arial" w:hAnsi="Arial"/>
          <w:sz w:val="17"/>
          <w:szCs w:val="17"/>
          <w:u w:val="single" w:color="auto"/>
          <w:color w:val="auto"/>
        </w:rPr>
        <w:t>Multiemployer Plan</w:t>
      </w:r>
      <w:r>
        <w:rPr>
          <w:rFonts w:ascii="Arial" w:cs="Arial" w:eastAsia="Arial" w:hAnsi="Arial"/>
          <w:sz w:val="17"/>
          <w:szCs w:val="17"/>
          <w:color w:val="auto"/>
        </w:rPr>
        <w:t>”) and the aggregate liabilities of the Company and its Subsidiaries to all Multiemployer Plans in the event of a complete withdrawal therefrom, as of the close of the most recent fiscal year of each Multiemployer Plan ended prior to the date hereof, would not, individually or in the aggregate, reasonably be expected to be material to the Group Companies, taken as a whole and (v) to the Knowledge of the Company, no Multiemployer Plan is in endangered or critical status under Section 432 of the Code or Section 305 of ERISA. No Group Company nor any of their respective ERISA Affiliates has, within the past six years, sponsored, contributed to, been obligated to contribute to, or has any current or contingent liability in respect of a “multiple employer welfare arrangement” within the meaning of Section 3(40) of ERISA.</w:t>
      </w:r>
    </w:p>
    <w:p>
      <w:pPr>
        <w:spacing w:after="0" w:line="178" w:lineRule="exact"/>
        <w:rPr>
          <w:rFonts w:ascii="Arial" w:cs="Arial" w:eastAsia="Arial" w:hAnsi="Arial"/>
          <w:sz w:val="17"/>
          <w:szCs w:val="17"/>
          <w:color w:val="auto"/>
        </w:rPr>
      </w:pPr>
    </w:p>
    <w:p>
      <w:pPr>
        <w:jc w:val="both"/>
        <w:ind w:firstLine="656"/>
        <w:spacing w:after="0" w:line="259" w:lineRule="auto"/>
        <w:tabs>
          <w:tab w:leader="none" w:pos="8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Group Companies, taken as a whole, with respect to the Company Benefit Plans or their administrators or fiduciaries: (i) no actions, suits or claims (other than routine claims for benefits in the ordinary course) are pending or, to the Knowledge of the Company, threatened; and (ii) no facts or circumstances exist that would reasonably be expected to give rise to any such actions, suits or claims.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16"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None of the Company Benefit Plans provides for, and the Group Companies have no liability in respect of, post-retiree or post-employment health, welfare or life insurance benefits or coverage for any participant or any beneficiary of a participant, except as may be required under the Consolidated Omnibus Budget Reconciliation Act of 1985, as amended, or similar state or other Legal Requirements and at the sole expense of such participant or the participant’s beneficiary.</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(i) 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192" w:lineRule="exact"/>
        <w:rPr>
          <w:rFonts w:ascii="Arial" w:cs="Arial" w:eastAsia="Arial" w:hAnsi="Arial"/>
          <w:sz w:val="16"/>
          <w:szCs w:val="16"/>
          <w:color w:val="auto"/>
        </w:rPr>
      </w:pPr>
    </w:p>
    <w:p>
      <w:pPr>
        <w:jc w:val="both"/>
        <w:ind w:firstLine="656"/>
        <w:spacing w:after="0" w:line="255" w:lineRule="auto"/>
        <w:tabs>
          <w:tab w:leader="none" w:pos="877"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will, either alone or in connection with any other event(s): (i) result in any payment or benefit becoming due to any current or former employee, contractor or director of the Group Companies or under any Company Benefit Plan; (ii) increase any amount of compensation or benefits otherwise payable to any current or former employee, contractor or director of the Group Companies or under any Company Benefit Plan; (iii) result in the acceleration of the time of payment, funding or vesting of any benefits to any current or former employee, contractor or director of the Group Companies or under any Company Benefit Plan; or (iv) result in any limit on the right to merge, amend or terminate any Company Benefit Plan.</w:t>
      </w:r>
    </w:p>
    <w:p>
      <w:pPr>
        <w:spacing w:after="0" w:line="192" w:lineRule="exact"/>
        <w:rPr>
          <w:rFonts w:ascii="Arial" w:cs="Arial" w:eastAsia="Arial" w:hAnsi="Arial"/>
          <w:sz w:val="18"/>
          <w:szCs w:val="18"/>
          <w:color w:val="auto"/>
        </w:rPr>
      </w:pPr>
    </w:p>
    <w:p>
      <w:pPr>
        <w:jc w:val="both"/>
        <w:ind w:firstLine="656"/>
        <w:spacing w:after="0" w:line="263" w:lineRule="auto"/>
        <w:tabs>
          <w:tab w:leader="none" w:pos="8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shall, either alone or in connection with any other event(s), give rise to any “excess parachute payment” as defined in Section 280G(b)(1) of the Code or any excise tax owing under Section 4999 of the Code.</w:t>
      </w:r>
    </w:p>
    <w:p>
      <w:pPr>
        <w:spacing w:after="0" w:line="183" w:lineRule="exact"/>
        <w:rPr>
          <w:rFonts w:ascii="Arial" w:cs="Arial" w:eastAsia="Arial" w:hAnsi="Arial"/>
          <w:sz w:val="18"/>
          <w:szCs w:val="18"/>
          <w:color w:val="auto"/>
        </w:rPr>
      </w:pPr>
    </w:p>
    <w:p>
      <w:pPr>
        <w:ind w:firstLine="656"/>
        <w:spacing w:after="0" w:line="277" w:lineRule="auto"/>
        <w:tabs>
          <w:tab w:leader="none" w:pos="9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maintains no obligations to gross-up or reimburse any individual for any tax or related interest or penalties incurred by such individual, including under Sections 409A or 4999 of the Code or otherwise.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firstLine="656"/>
        <w:spacing w:after="0" w:line="277" w:lineRule="auto"/>
        <w:tabs>
          <w:tab w:leader="none" w:pos="8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Company Benefit Plan which is a “nonqualified deferred compensation plan” subject to Section 409A of the Code has been established, operated and maintained in compliance with Section 409A of the Code in all material respects.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Labor Relations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8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has made available to the Parent a complete list of all employees of the Group Companies as of the date of this Agreement and, as applicable, their classification as exempt or non-exempt under the Fair Labor Standards Act, employer, title and/or job description, job location (city and state) and base compensation and any bonuses paid with respect to the 2020 fiscal year. As of the date of this Agreement, all employees of the Group Companies are legally permitted to be employed by the Group Companies in the jurisdiction in which such employees are employed in their current job capacities.</w:t>
      </w:r>
    </w:p>
    <w:p>
      <w:pPr>
        <w:spacing w:after="0" w:line="187" w:lineRule="exact"/>
        <w:rPr>
          <w:rFonts w:ascii="Arial" w:cs="Arial" w:eastAsia="Arial" w:hAnsi="Arial"/>
          <w:sz w:val="18"/>
          <w:szCs w:val="18"/>
          <w:color w:val="auto"/>
        </w:rPr>
      </w:pPr>
    </w:p>
    <w:p>
      <w:pPr>
        <w:ind w:left="920" w:hanging="264"/>
        <w:spacing w:after="0"/>
        <w:tabs>
          <w:tab w:leader="none" w:pos="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No Group Company is a party to or negotiating any collective bargaining agreement with respect to employees of any Group Company.</w:t>
      </w:r>
    </w:p>
    <w:p>
      <w:pPr>
        <w:spacing w:after="0" w:line="236" w:lineRule="exact"/>
        <w:rPr>
          <w:rFonts w:ascii="Arial" w:cs="Arial" w:eastAsia="Arial" w:hAnsi="Arial"/>
          <w:sz w:val="17"/>
          <w:szCs w:val="17"/>
          <w:color w:val="auto"/>
        </w:rPr>
      </w:pPr>
    </w:p>
    <w:p>
      <w:pPr>
        <w:jc w:val="both"/>
        <w:ind w:firstLine="656"/>
        <w:spacing w:after="0" w:line="284" w:lineRule="auto"/>
        <w:tabs>
          <w:tab w:leader="none" w:pos="89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 there have been no strikes, work stoppages, slowdowns, lockouts, arbitrations, or material grievances or other labor disputes (including unfair labor practice charges, grievances, or complaints) pending, or, to the Knowledge of the Company, threatened against or involving any Group Company. Since the January 1, 2018, (i) no labor union or other labor organization, or group of employees of any Group Company, has made a written demand for recognition or certification with respect to any employees of any Group Company, and there are no representation or certification proceedings presently pending or, to the Knowledge of the Company, threatened to be brought or filed with the National Labor Relations Board or any similar labor relations tribunal or authority,</w:t>
      </w:r>
    </w:p>
    <w:p>
      <w:pPr>
        <w:spacing w:after="0" w:line="4" w:lineRule="exact"/>
        <w:rPr>
          <w:rFonts w:ascii="Arial" w:cs="Arial" w:eastAsia="Arial" w:hAnsi="Arial"/>
          <w:sz w:val="16"/>
          <w:szCs w:val="16"/>
          <w:color w:val="auto"/>
        </w:rPr>
      </w:pPr>
    </w:p>
    <w:p>
      <w:pPr>
        <w:jc w:val="both"/>
        <w:ind w:firstLine="8"/>
        <w:spacing w:after="0" w:line="255" w:lineRule="auto"/>
        <w:tabs>
          <w:tab w:leader="none" w:pos="2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Knowledge of the Company, there have been no pending or threatened union organizing activities with respect to employees of any Group Company, and (iii) there has been no actual or, to the Knowledge of the Company, threatened, material unfair labor practice charges against any Group Company.</w:t>
      </w:r>
    </w:p>
    <w:p>
      <w:pPr>
        <w:spacing w:after="0" w:line="189" w:lineRule="exact"/>
        <w:rPr>
          <w:rFonts w:ascii="Arial" w:cs="Arial" w:eastAsia="Arial" w:hAnsi="Arial"/>
          <w:sz w:val="18"/>
          <w:szCs w:val="18"/>
          <w:color w:val="auto"/>
        </w:rPr>
      </w:pPr>
    </w:p>
    <w:p>
      <w:pPr>
        <w:jc w:val="both"/>
        <w:ind w:firstLine="656"/>
        <w:spacing w:after="0" w:line="257" w:lineRule="auto"/>
        <w:tabs>
          <w:tab w:leader="none" w:pos="896"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of the date hereof, there are no, and since January 1, 2018 through the date hereof, there has been no, complaints, charges or claims against the Company pending or, to Knowledge of the Company, threatened before any Governmental Entity based on, arising out of, in connection with or otherwise relating to the employment, termination of employment or failure to employ by any Group Company, of any individual, except for those complaints, charges or claims which would not, individually or in the aggregate, reasonably be expected to be material to the Group Companies, taken as a whole.</w:t>
      </w:r>
    </w:p>
    <w:p>
      <w:pPr>
        <w:spacing w:after="0" w:line="187" w:lineRule="exact"/>
        <w:rPr>
          <w:rFonts w:ascii="Arial" w:cs="Arial" w:eastAsia="Arial" w:hAnsi="Arial"/>
          <w:sz w:val="18"/>
          <w:szCs w:val="18"/>
          <w:color w:val="auto"/>
        </w:rPr>
      </w:pPr>
    </w:p>
    <w:p>
      <w:pPr>
        <w:jc w:val="both"/>
        <w:ind w:firstLine="656"/>
        <w:spacing w:after="0" w:line="271" w:lineRule="auto"/>
        <w:tabs>
          <w:tab w:leader="none" w:pos="895"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Group Companies are, and since January 1, 2018 through the date hereof, have been, in compliance in all material respects with all Legal Requirements relating to the employment of labor, including all such Legal Requirements relating to wages (including minimum wage and overtime), hours or work, child labor, discrimination, civil rights, withholdings and deductions, classification and payment of employees, independent contractors, and consultants, employment equity, the federal Worker Adjustment and Retraining Notification Act (“</w:t>
      </w:r>
      <w:r>
        <w:rPr>
          <w:rFonts w:ascii="Arial" w:cs="Arial" w:eastAsia="Arial" w:hAnsi="Arial"/>
          <w:sz w:val="17"/>
          <w:szCs w:val="17"/>
          <w:u w:val="single" w:color="auto"/>
          <w:color w:val="auto"/>
        </w:rPr>
        <w:t>WARN</w:t>
      </w:r>
      <w:r>
        <w:rPr>
          <w:rFonts w:ascii="Arial" w:cs="Arial" w:eastAsia="Arial" w:hAnsi="Arial"/>
          <w:sz w:val="17"/>
          <w:szCs w:val="17"/>
          <w:color w:val="auto"/>
        </w:rPr>
        <w:t>”) and any similar state or local “mass layoff” or “plant closing” Legal Requirement, collective bargaining, occupational health and safety, workers’ compensation, and immigration, except for instances of noncompliance which would not, individually or in the aggregate, reasonably be expected to be material to the Group Companies, taken as a whole. There has been no “mass layoff” or “plant closing” (as defined by WARN) with respect to the Group Companies within the six months prior to the date of this Agreement and no such events are reasonably expected to occur prior to Closing.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880" w:hanging="224"/>
        <w:spacing w:after="0"/>
        <w:tabs>
          <w:tab w:leader="none" w:pos="8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ind w:firstLine="8"/>
        <w:spacing w:after="0" w:line="288" w:lineRule="auto"/>
        <w:tabs>
          <w:tab w:leader="none" w:pos="225"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of the Group Companies has withheld all amounts required by Law or by agreement to be withheld from the wages, salaries and other payments that have become due and payable to employees; (ii) no Group Company has been liable for any arrears of wages, compensation or related Taxes, penalties, or other sums with respect to its employees; (iii) each of the Group Companies has paid in full to all employees and individual independent contractors all wages, salaries, commissions, bonuses and other compensation due and payable to or on behalf of such employees and such individual independent contractors; and (iv) to the Knowledge of the Company, each individual who since January 1, 2018 has provided or is providing services to any Group Company, and has been classified as (y) an independent contractor, consultant, leased employee, or other non-employee service provider, or (z) an exempt employee, has been properly classified as such under all Applicable Legal Requirements relating to wage and hour and Tax.</w:t>
      </w:r>
    </w:p>
    <w:p>
      <w:pPr>
        <w:spacing w:after="0" w:line="168" w:lineRule="exact"/>
        <w:rPr>
          <w:rFonts w:ascii="Arial" w:cs="Arial" w:eastAsia="Arial" w:hAnsi="Arial"/>
          <w:sz w:val="16"/>
          <w:szCs w:val="16"/>
          <w:color w:val="auto"/>
        </w:rPr>
      </w:pPr>
    </w:p>
    <w:p>
      <w:pPr>
        <w:jc w:val="both"/>
        <w:ind w:firstLine="656"/>
        <w:spacing w:after="0" w:line="257" w:lineRule="auto"/>
        <w:tabs>
          <w:tab w:leader="none" w:pos="942" w:val="left"/>
        </w:tabs>
        <w:numPr>
          <w:ilvl w:val="1"/>
          <w:numId w:val="33"/>
        </w:numPr>
        <w:rPr>
          <w:rFonts w:ascii="Arial" w:cs="Arial" w:eastAsia="Arial" w:hAnsi="Arial"/>
          <w:sz w:val="18"/>
          <w:szCs w:val="18"/>
          <w:color w:val="auto"/>
        </w:rPr>
      </w:pPr>
      <w:r>
        <w:rPr>
          <w:rFonts w:ascii="Arial" w:cs="Arial" w:eastAsia="Arial" w:hAnsi="Arial"/>
          <w:sz w:val="18"/>
          <w:szCs w:val="18"/>
          <w:color w:val="auto"/>
        </w:rPr>
        <w:t>During the three years ending on the date hereof, there have been no material employment discrimination or employment harassment allegations raised, brought, threatened, or settled relating to any appointed officer or director of any Group Company involving or relating to his or her services provided to the Group Companies. The policies and practices of the Group Companies comply in all material respects with all federal, state, and local Laws concerning employment discrimination and employment harassment, except as would not, individually or in the aggregate, reasonably be expected to be material to the Group Companies, taken as a whole.</w:t>
      </w:r>
    </w:p>
    <w:p>
      <w:pPr>
        <w:spacing w:after="0" w:line="187" w:lineRule="exact"/>
        <w:rPr>
          <w:rFonts w:ascii="Arial" w:cs="Arial" w:eastAsia="Arial" w:hAnsi="Arial"/>
          <w:sz w:val="18"/>
          <w:szCs w:val="18"/>
          <w:color w:val="auto"/>
        </w:rPr>
      </w:pPr>
    </w:p>
    <w:p>
      <w:pPr>
        <w:ind w:left="920" w:hanging="264"/>
        <w:spacing w:after="0"/>
        <w:tabs>
          <w:tab w:leader="none" w:pos="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ind w:firstLine="8"/>
        <w:spacing w:after="0" w:line="253" w:lineRule="auto"/>
        <w:tabs>
          <w:tab w:leader="none" w:pos="2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192" w:lineRule="exact"/>
        <w:rPr>
          <w:rFonts w:ascii="Arial" w:cs="Arial" w:eastAsia="Arial" w:hAnsi="Arial"/>
          <w:sz w:val="18"/>
          <w:szCs w:val="18"/>
          <w:color w:val="auto"/>
        </w:rPr>
      </w:pPr>
    </w:p>
    <w:p>
      <w:pPr>
        <w:jc w:val="both"/>
        <w:ind w:firstLine="656"/>
        <w:spacing w:after="0" w:line="263" w:lineRule="auto"/>
        <w:tabs>
          <w:tab w:leader="none" w:pos="901"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other Transaction Agreements and the performance of this Agreement and the Transactions do not require the Company to seek or obtain any consent, engage in consultation with, or issue any notice to any unions or labor organizations.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Real Property; Tangible Property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89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Schedule 4.14(a)</w:t>
      </w:r>
      <w:r>
        <w:rPr>
          <w:rFonts w:ascii="Arial" w:cs="Arial" w:eastAsia="Arial" w:hAnsi="Arial"/>
          <w:sz w:val="18"/>
          <w:szCs w:val="18"/>
          <w:color w:val="auto"/>
        </w:rPr>
        <w:t xml:space="preserve"> of the Company Disclosure Letter lists, as of the date of this Agreement, all real property owned by the Group Companies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The Company or one of the Company Subsidiaries has good and marketable fee simple title to all Owned Real Property, subject only to any Permitted Liens.</w:t>
      </w:r>
    </w:p>
    <w:p>
      <w:pPr>
        <w:spacing w:after="0" w:line="183" w:lineRule="exact"/>
        <w:rPr>
          <w:rFonts w:ascii="Arial" w:cs="Arial" w:eastAsia="Arial" w:hAnsi="Arial"/>
          <w:sz w:val="18"/>
          <w:szCs w:val="18"/>
          <w:color w:val="auto"/>
        </w:rPr>
      </w:pPr>
    </w:p>
    <w:p>
      <w:pPr>
        <w:jc w:val="both"/>
        <w:ind w:firstLine="656"/>
        <w:spacing w:after="0" w:line="287" w:lineRule="auto"/>
        <w:tabs>
          <w:tab w:leader="none" w:pos="91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Schedule 4.14(b)</w:t>
      </w:r>
      <w:r>
        <w:rPr>
          <w:rFonts w:ascii="Arial" w:cs="Arial" w:eastAsia="Arial" w:hAnsi="Arial"/>
          <w:sz w:val="16"/>
          <w:szCs w:val="16"/>
          <w:color w:val="auto"/>
        </w:rPr>
        <w:t xml:space="preserve"> of the Company Disclosure Letter lists, as of the date of this Agreement, all material real property leased by the Group Companies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The Company or one of the Company Subsidiaries has a valid, binding and enforceable leasehold estate in, and enjoys peaceful and undisturbed possession of, all Leased Real Property and each of the leases, lease guarantees, agreements and documents related to any Leased Real Property, including all amendments, terminations and modifications thereof (collectively, the “</w:t>
      </w:r>
      <w:r>
        <w:rPr>
          <w:rFonts w:ascii="Arial" w:cs="Arial" w:eastAsia="Arial" w:hAnsi="Arial"/>
          <w:sz w:val="16"/>
          <w:szCs w:val="16"/>
          <w:u w:val="single" w:color="auto"/>
          <w:color w:val="auto"/>
        </w:rPr>
        <w:t>Company Real Property Leases</w:t>
      </w:r>
      <w:r>
        <w:rPr>
          <w:rFonts w:ascii="Arial" w:cs="Arial" w:eastAsia="Arial" w:hAnsi="Arial"/>
          <w:sz w:val="16"/>
          <w:szCs w:val="16"/>
          <w:color w:val="auto"/>
        </w:rPr>
        <w:t>”), is in full force and effect. The Company has made available to Parent true, correct and complete copies of all material Company Real Property Leases. None of the Group Companies is in breach of or default under any Company Real Property Lease, and, to the Knowledge of the Company, no event has occurred and no circumstance exists which, if not remedied, and whether with or without notice or the passage of time or both, would result in such a breach or default, except for such breaches or defaults as would not individually or in the aggregate, reasonably be expected to be material to the Group Companies, taken as a whole. None of the Group Companies has received written notice from, or given any written notice to, any lessor of such Leased Real Property of, nor is there any default, event or circumstance that, with notice or lapse of time, or both, would constitute a default by the party that is the lessee or lessor of such Leased Real Property. No party to any Company Real Property Lease has exercised any termination rights with respect thereto.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56"/>
        <w:spacing w:after="0" w:line="271" w:lineRule="auto"/>
        <w:tabs>
          <w:tab w:leader="none" w:pos="89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and has good and marketable title to, or a valid leasehold interest in or right to use, all of its material tangible assets or personal property, free and clear of all Liens other than: (i) Permitted Liens; and (ii) the rights of lessors under any leases. The material tangible assets or personal property (together with the Intellectual Property rights and contractual rights) of the Group Companies, or to which is has access pursuant to a formal written arrangement with ISMMS: (A) constitute all of the assets, rights and properties that are necessary for the operation of the businesses of the Group Companies as they are now conducted, and taken together, are adequate and sufficient for the operation of the businesses of the Group Companies as currently conducted; and (B) have been maintained in all material respects in accordance with generally applicable accepted industry practice, are in good working order and condition, except for ordinary wear and tear and as would not, individually or in the aggregate, reasonably be expected to be material to the business of the Group Companies, taken as a whole.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8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material Tax Returns required to be filed by (or with respect to) the Group Companies have been timely filed (after giving effect to any valid extensions), and all such Tax Returns are true, correct and complete in all material respects.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Group Companies have paid all material amounts of their Taxes which are due and payable. All material Taxes incurred but not yet due and payable (i) for periods covered by the Financial Statements have been accrued and adequately disclosed on the Financial Statements of the Group Companies in accordance with GAAP, and (ii) for periods not covered by the Financial Statements have been accrued on the books and records of the Group Companies.</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Group Companies have complied in all material respects with all Applicable Legal Requirements relating to the withholding and remittance of all material amounts of Taxes and all material amounts of Taxes required by Applicable Legal Requirements to be withheld by the Group Companies have been withheld and paid over to the appropriate Governmental Entity.</w:t>
      </w:r>
    </w:p>
    <w:p>
      <w:pPr>
        <w:spacing w:after="0" w:line="183" w:lineRule="exact"/>
        <w:rPr>
          <w:rFonts w:ascii="Arial" w:cs="Arial" w:eastAsia="Arial" w:hAnsi="Arial"/>
          <w:sz w:val="18"/>
          <w:szCs w:val="18"/>
          <w:color w:val="auto"/>
        </w:rPr>
      </w:pPr>
    </w:p>
    <w:p>
      <w:pPr>
        <w:jc w:val="both"/>
        <w:ind w:firstLine="656"/>
        <w:spacing w:after="0" w:line="275" w:lineRule="auto"/>
        <w:tabs>
          <w:tab w:leader="none" w:pos="927"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 deficiency for any material amount of Taxes has been asserted or assessed by any Governmental Entity in writing against any Group Company (nor to the Knowledge of the Company is there any), which deficiency has not been paid, resolved, or being contested in good faith in appropriate Legal Proceedings and for which sufficient reserves have been established on the Financial Statements in accordance with GAAP. No material audit or other proceeding by any Governmental Entity is currently pending or threatened in writing against any Group Company with respect to any Taxes due from such entities (and, to the Knowledge of the Company, no such audit is pending or contemplated).</w:t>
      </w:r>
    </w:p>
    <w:p>
      <w:pPr>
        <w:spacing w:after="0" w:line="176" w:lineRule="exact"/>
        <w:rPr>
          <w:rFonts w:ascii="Arial" w:cs="Arial" w:eastAsia="Arial" w:hAnsi="Arial"/>
          <w:sz w:val="17"/>
          <w:szCs w:val="17"/>
          <w:color w:val="auto"/>
        </w:rPr>
      </w:pPr>
    </w:p>
    <w:p>
      <w:pPr>
        <w:ind w:left="900" w:hanging="244"/>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are no liens for material amounts of Taxes (other than Permitted Liens) upon any of the assets of the Group Companies.</w:t>
      </w:r>
    </w:p>
    <w:p>
      <w:pPr>
        <w:spacing w:after="0" w:line="225" w:lineRule="exact"/>
        <w:rPr>
          <w:rFonts w:ascii="Arial" w:cs="Arial" w:eastAsia="Arial" w:hAnsi="Arial"/>
          <w:sz w:val="18"/>
          <w:szCs w:val="18"/>
          <w:color w:val="auto"/>
        </w:rPr>
      </w:pPr>
    </w:p>
    <w:p>
      <w:pPr>
        <w:jc w:val="both"/>
        <w:ind w:firstLine="656"/>
        <w:spacing w:after="0" w:line="286" w:lineRule="auto"/>
        <w:tabs>
          <w:tab w:leader="none" w:pos="88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are no Tax indemnification agreements or Tax sharing agreements under which any Group Company could be liable after the Closing Date for the Tax liability of any Person other than one or more of the Group Companies, except for customary agreements or arrangements with customers, vendors, lessors, lenders and the like or other similar agreements, in each case, that do not relate primarily to Taxes.</w:t>
      </w:r>
    </w:p>
    <w:p>
      <w:pPr>
        <w:spacing w:after="0" w:line="165" w:lineRule="exact"/>
        <w:rPr>
          <w:rFonts w:ascii="Arial" w:cs="Arial" w:eastAsia="Arial" w:hAnsi="Arial"/>
          <w:sz w:val="17"/>
          <w:szCs w:val="17"/>
          <w:color w:val="auto"/>
        </w:rPr>
      </w:pPr>
    </w:p>
    <w:p>
      <w:pPr>
        <w:ind w:firstLine="656"/>
        <w:spacing w:after="0" w:line="277" w:lineRule="auto"/>
        <w:tabs>
          <w:tab w:leader="none" w:pos="9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 of the Group Companies has constituted either a “distributing corporation” or a “controlled corporation” in a distribution of stock intended to qualify for tax-free treatment under Section 355 of the Code in the past two years.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None of the Group Companies has entered into a “listed transaction” within the meaning of Treasury Regulation Section 1.6011-4(b).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56"/>
        <w:spacing w:after="0" w:line="259" w:lineRule="auto"/>
        <w:tabs>
          <w:tab w:leader="none" w:pos="8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Group Company: (i) has any liability for the Taxes of another Person (other than another Group Company) pursuant to Treasury Regulation Section 1.1502-6 (or any similar provision of state, local or foreign Tax Legal Requirement) or as a transferee or a successor; or (ii) has ever been a member of an affiliated, consolidated, combined or unitary group filing for U.S. federal, state or local income Tax purposes, other than a group the common parent of which was and is the Company (or another Group Company).</w:t>
      </w:r>
    </w:p>
    <w:p>
      <w:pPr>
        <w:spacing w:after="0" w:line="186" w:lineRule="exact"/>
        <w:rPr>
          <w:rFonts w:ascii="Arial" w:cs="Arial" w:eastAsia="Arial" w:hAnsi="Arial"/>
          <w:sz w:val="18"/>
          <w:szCs w:val="18"/>
          <w:color w:val="auto"/>
        </w:rPr>
      </w:pPr>
    </w:p>
    <w:p>
      <w:pPr>
        <w:jc w:val="both"/>
        <w:ind w:firstLine="656"/>
        <w:spacing w:after="0" w:line="263" w:lineRule="auto"/>
        <w:tabs>
          <w:tab w:leader="none" w:pos="8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Group Company has consented to waive or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Group Company has a permanent establishment in any country other than the country of its organization or has been subject to income Tax in a jurisdiction outside the country of its organization, in each case, where it is required to file a material income Tax Return and does not file such Tax Return.</w:t>
      </w:r>
    </w:p>
    <w:p>
      <w:pPr>
        <w:spacing w:after="0" w:line="183" w:lineRule="exact"/>
        <w:rPr>
          <w:rFonts w:ascii="Arial" w:cs="Arial" w:eastAsia="Arial" w:hAnsi="Arial"/>
          <w:sz w:val="18"/>
          <w:szCs w:val="18"/>
          <w:color w:val="auto"/>
        </w:rPr>
      </w:pPr>
    </w:p>
    <w:p>
      <w:pPr>
        <w:jc w:val="both"/>
        <w:ind w:firstLine="656"/>
        <w:spacing w:after="0" w:line="270" w:lineRule="auto"/>
        <w:tabs>
          <w:tab w:leader="none" w:pos="863"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(ii) any change in method of accounting on or prior to the Closing, including by reason of the application of Section 481 of the Code (or any analogous provision of state, local or foreign Tax Legal Requirements); (iii) other than in the ordinary course of business a prepaid amount received or deferred revenue recognized on or prior to the Closing; (iv) any intercompany transaction or excess loss account described in the Treasury Regulations under Section 1502 (or any corresponding or similar provision of state or local Tax Legal Requirements) that occurred or existed prior to the Closing; (v) any closing agreement pursuant to Section 7121 of the Code or any similar provision of state, local or foreign Tax Legal Requirements entered into prior to the Closing; or (vi) an inclusion under Section 965 of the Code.</w:t>
      </w:r>
    </w:p>
    <w:p>
      <w:pPr>
        <w:spacing w:after="0" w:line="180" w:lineRule="exact"/>
        <w:rPr>
          <w:rFonts w:ascii="Arial" w:cs="Arial" w:eastAsia="Arial" w:hAnsi="Arial"/>
          <w:sz w:val="17"/>
          <w:szCs w:val="17"/>
          <w:color w:val="auto"/>
        </w:rPr>
      </w:pPr>
    </w:p>
    <w:p>
      <w:pPr>
        <w:ind w:firstLine="656"/>
        <w:spacing w:after="0" w:line="277" w:lineRule="auto"/>
        <w:tabs>
          <w:tab w:leader="none" w:pos="9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is not, and has not been at any time during the five (5) year period ending on the Closing Date, a “United States real property holding corporation” within the meaning of Section 897(c)(2) of the Code.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claim has been made in writing (nor to the Knowledge of the Company is any such claim pending or contemplated) by any Governmental Entity in a jurisdiction in which any Group Company does not file Tax Returns that is or may be subject to taxation by, or required to file Tax Returns in, that jurisdiction.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86"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Each of the Group Companies is, and for the past three years, in compliance with all Environmental Laws, except for any such instance of non-compliance that would not reasonably be expected to be material to the Group Companies taken as a whole. The Group Companies have obtained, hold, are, and for the past three years have been, in material compliance with all permits required under applicable Environmental Laws to permit the Group Companies to operate their assets in a manner in which they are now operated and maintained and to conduct the business of the Group Companies as currently conducted, except where the absence of, or failure to be in material compliance with, any such permit would not reasonably be expected to be material to the Group Companies, taken as a whole. Except as set forth on </w:t>
      </w:r>
      <w:r>
        <w:rPr>
          <w:rFonts w:ascii="Arial" w:cs="Arial" w:eastAsia="Arial" w:hAnsi="Arial"/>
          <w:sz w:val="16"/>
          <w:szCs w:val="16"/>
          <w:u w:val="single" w:color="auto"/>
          <w:color w:val="auto"/>
        </w:rPr>
        <w:t>Schedule 4.16</w:t>
      </w:r>
      <w:r>
        <w:rPr>
          <w:rFonts w:ascii="Arial" w:cs="Arial" w:eastAsia="Arial" w:hAnsi="Arial"/>
          <w:sz w:val="16"/>
          <w:szCs w:val="16"/>
          <w:color w:val="auto"/>
        </w:rPr>
        <w:t xml:space="preserve"> of the Company Disclosure Letter, there are no written claims or notices of violation pending or, to the Knowledge of the Company, threatened in writing against any of the Group Companies alleging violations of or liability under any Environmental Law, except for any such claim or notice that would not reasonably be expected to be material to the Group Companies. Neither the Group Companies nor, to the Knowledge of the Company, any other Person has disposed of or released any Hazardous Material at, on or under the any facility currently or formerly owned or operated by any of the Group Companies or any third- party site, in each case in a manner that would be reasonably likely to give rise to a material liability of the Group Companies for investigation costs, cleanup costs, response costs, corrective action costs, personal injury, property damage, natural resources damages or attorney fees under any Environmental Laws. None of the Group Companies has agreed to indemnify any Person or assumed by Contract the liability of any third party arising under Environmental Law. The Group Companies have made available to Parent copies of all material written environmental reports, audits, assessments, liability analyses, memoranda and studies in the possession of, or conducted by, the Group Companies with respect to compliance or liabilities under Environmental Law.</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Brokers; Third Party Expenses</w:t>
      </w:r>
      <w:r>
        <w:rPr>
          <w:rFonts w:ascii="Arial" w:cs="Arial" w:eastAsia="Arial" w:hAnsi="Arial"/>
          <w:sz w:val="18"/>
          <w:szCs w:val="18"/>
          <w:color w:val="auto"/>
        </w:rPr>
        <w:t>. No broker, finder, investment banker or other Person is entitled to, nor will be entitled to, either directly or indirectly, any brokerage fee, finders’ fee or other similar commission, for which Parent or any of the Group Companies would be liable in connection with the transactions contemplated by this Agreement or the Transactions based upon arrangements made by any of the Group Companies or any of their Affiliates.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90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Schedule 4.18(a)</w:t>
      </w:r>
      <w:r>
        <w:rPr>
          <w:rFonts w:ascii="Arial" w:cs="Arial" w:eastAsia="Arial" w:hAnsi="Arial"/>
          <w:sz w:val="18"/>
          <w:szCs w:val="18"/>
          <w:color w:val="auto"/>
        </w:rPr>
        <w:t xml:space="preserve"> of the Company Disclosure Letter sets forth a true, correct and complete list, as of the date of this Agreement of each registered Patent and Patent application, registered Trademark and application for Trademark registration, registered Copyright, internet domain name, and material unregistered Trademark which any of the Group Companies has (or purports to have) an ownership interest or an exclusive license or similar exclusive right in any field or territory, whether in the United States or internationally (in each case setting forth the applicable jurisdiction, title, application and registration or serial number and date, and record owner).</w:t>
      </w:r>
    </w:p>
    <w:p>
      <w:pPr>
        <w:spacing w:after="0" w:line="187" w:lineRule="exact"/>
        <w:rPr>
          <w:rFonts w:ascii="Arial" w:cs="Arial" w:eastAsia="Arial" w:hAnsi="Arial"/>
          <w:sz w:val="18"/>
          <w:szCs w:val="18"/>
          <w:color w:val="auto"/>
        </w:rPr>
      </w:pPr>
    </w:p>
    <w:p>
      <w:pPr>
        <w:jc w:val="both"/>
        <w:ind w:firstLine="656"/>
        <w:spacing w:after="0" w:line="259" w:lineRule="auto"/>
        <w:tabs>
          <w:tab w:leader="none" w:pos="9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or one of the Company Subsidiaries owns, or has the right to use pursuant to a valid license, sublicense, or other written agreement all material Intellectual Property used in or necessary for the conduct and operation of the business of the Group Companies, as presently conducted. The Company or one of its Subsidiaries is the sole and exclusive owner of all right, title and interest in and to all Owned Intellectual Property free and clear of all Liens (other than Permitted Liens).</w:t>
      </w:r>
    </w:p>
    <w:p>
      <w:pPr>
        <w:spacing w:after="0" w:line="186" w:lineRule="exact"/>
        <w:rPr>
          <w:rFonts w:ascii="Arial" w:cs="Arial" w:eastAsia="Arial" w:hAnsi="Arial"/>
          <w:sz w:val="18"/>
          <w:szCs w:val="18"/>
          <w:color w:val="auto"/>
        </w:rPr>
      </w:pPr>
    </w:p>
    <w:p>
      <w:pPr>
        <w:jc w:val="both"/>
        <w:ind w:firstLine="656"/>
        <w:spacing w:after="0" w:line="269" w:lineRule="auto"/>
        <w:tabs>
          <w:tab w:leader="none" w:pos="897"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Group Companies and the conduct and operation of the business of the Group Companies as presently conducted (including the creation, licensing, marketing, importation, offering for sale, sale, or use of the products and services of the business of the Group Companies) have not infringed, misappropriated or otherwise violated, and are not infringing, misappropriating or otherwise violating any Intellectual Property of any Person. None of the Group Companies has received from any Person in the past three years ending on the date hereof any written notice, charge, complaint, claim or other assertion (i) of any infringement, misappropriation or other violation of any Intellectual Property of any Person or (ii) contesting the use, ownership, validity or enforceability of any of the Owned Intellectual Property. To the Knowledge of the Company, no other Person has infringed, misappropriated or violated, or is infringing, misappropriating or violating, any Intellectual Property of any of the Group Companies, and no such claims have been made in writing against any Person by any of the Group Companies in the past three years. None of the material Owned Intellectual Property is subject to any pending or outstanding Order, settlement, consent order or other disposition of dispute that adversely restricts the use, transfer or registration of, or adversely affects the validity or enforceability of, any material Owned Intellectual Property.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56"/>
        <w:spacing w:after="0" w:line="271" w:lineRule="auto"/>
        <w:tabs>
          <w:tab w:leader="none" w:pos="931" w:val="left"/>
        </w:tabs>
        <w:numPr>
          <w:ilvl w:val="1"/>
          <w:numId w:val="40"/>
        </w:numPr>
        <w:rPr>
          <w:rFonts w:ascii="Arial" w:cs="Arial" w:eastAsia="Arial" w:hAnsi="Arial"/>
          <w:sz w:val="17"/>
          <w:szCs w:val="17"/>
          <w:color w:val="auto"/>
        </w:rPr>
      </w:pPr>
      <w:r>
        <w:rPr>
          <w:rFonts w:ascii="Arial" w:cs="Arial" w:eastAsia="Arial" w:hAnsi="Arial"/>
          <w:sz w:val="17"/>
          <w:szCs w:val="17"/>
          <w:color w:val="auto"/>
        </w:rPr>
        <w:t>To the Knowledge of the Company, no past or present director, officer or employee of any of the Group Companies owns (or has any ownership interest, in or to) any material Owned Intellectual Property. Each of the present employees, consultants and independent contractors of the Group Companies who are engaged in creating or developing for or on behalf of such Group Company any material Owned Intellectual Property in the course of such Person’s employment or engagement has executed and delivered a written agreement, pursuant to which such Person has: (i) agreed to hold all confidential information of such Group Company in confidence both during and after such Person’s employment or retention, as applicable; and (ii) presently assigned to such Group Company all of such Person’s rights, title and interest in and to all Owned Intellectual Property created or developed for such Group Company in the course of such Person’s employment or retention thereby. To the Knowledge of the Company, there is no material uncured breach by any such Person with respect to material Owned Intellectual Property under any such agreement.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898" w:val="left"/>
        </w:tabs>
        <w:numPr>
          <w:ilvl w:val="1"/>
          <w:numId w:val="40"/>
        </w:numPr>
        <w:rPr>
          <w:rFonts w:ascii="Arial" w:cs="Arial" w:eastAsia="Arial" w:hAnsi="Arial"/>
          <w:sz w:val="17"/>
          <w:szCs w:val="17"/>
          <w:color w:val="auto"/>
        </w:rPr>
      </w:pPr>
      <w:r>
        <w:rPr>
          <w:rFonts w:ascii="Arial" w:cs="Arial" w:eastAsia="Arial" w:hAnsi="Arial"/>
          <w:sz w:val="17"/>
          <w:szCs w:val="17"/>
          <w:color w:val="auto"/>
        </w:rPr>
        <w:t>Each of the Group Companies, as applicable, has taken commercially reasonable steps to maintain the secrecy, confidentiality and value of all material Trade Secrets constituting Owned Intellectual Property and all material Trade Secrets of any Person to whom any Group Company has a contractual confidentiality obligation with respect to such Trade Secrets. No Trade Secret that is material to the business of the Group Companies has been authorized to be disclosed, or, to the Knowledge of the Company, has been disclosed to any other Person, other than (i) as subject to a written agreement restricting the disclosure and use of such Trade Secret or (ii) as requested by a Governmental Entity in connection with an audit conducted by a Governmental Entity in the ordinary course of business. No source code constituting material Owned Intellectual Property has been delivered, licensed or made available by any Group Company to, or accessed by, any escrow agent or other Person, other than employees or contractors of such Group Company subject to written agreements restricting the disclosure and use of such source code.</w:t>
      </w:r>
    </w:p>
    <w:p>
      <w:pPr>
        <w:spacing w:after="0" w:line="178" w:lineRule="exact"/>
        <w:rPr>
          <w:rFonts w:ascii="Arial" w:cs="Arial" w:eastAsia="Arial" w:hAnsi="Arial"/>
          <w:sz w:val="17"/>
          <w:szCs w:val="17"/>
          <w:color w:val="auto"/>
        </w:rPr>
      </w:pPr>
    </w:p>
    <w:p>
      <w:pPr>
        <w:jc w:val="both"/>
        <w:ind w:firstLine="656"/>
        <w:spacing w:after="0" w:line="284" w:lineRule="auto"/>
        <w:tabs>
          <w:tab w:leader="none" w:pos="873" w:val="left"/>
        </w:tabs>
        <w:numPr>
          <w:ilvl w:val="1"/>
          <w:numId w:val="40"/>
        </w:numPr>
        <w:rPr>
          <w:rFonts w:ascii="Arial" w:cs="Arial" w:eastAsia="Arial" w:hAnsi="Arial"/>
          <w:sz w:val="16"/>
          <w:szCs w:val="16"/>
          <w:color w:val="auto"/>
        </w:rPr>
      </w:pPr>
      <w:r>
        <w:rPr>
          <w:rFonts w:ascii="Arial" w:cs="Arial" w:eastAsia="Arial" w:hAnsi="Arial"/>
          <w:sz w:val="16"/>
          <w:szCs w:val="16"/>
          <w:color w:val="auto"/>
        </w:rPr>
        <w:t>No open source software is or has been included, incorporated or embedded in, linked to, combined, made available or distributed with, or used in the development, maintenance, operation, delivery or provision of any computer software constituting services or products currently offered by the Group Companies, in each case, in a manner that requires or obligates any Group Company to: (i) disclose, contribute, distribute, license or otherwise make available to any Person (including the open source community) any source code constituting material Owned Intellectual Property; (ii) license any computer software constituting material Owned Intellectual Property for making modifications or derivative works; (iii) disclose, contribute, distribute, license or otherwise make available to any Person any computer software constituting material Owned Intellectual Property for no or nominal charge; or</w:t>
      </w:r>
    </w:p>
    <w:p>
      <w:pPr>
        <w:spacing w:after="0" w:line="4" w:lineRule="exact"/>
        <w:rPr>
          <w:rFonts w:ascii="Arial" w:cs="Arial" w:eastAsia="Arial" w:hAnsi="Arial"/>
          <w:sz w:val="16"/>
          <w:szCs w:val="16"/>
          <w:color w:val="auto"/>
        </w:rPr>
      </w:pPr>
    </w:p>
    <w:p>
      <w:pPr>
        <w:ind w:firstLine="8"/>
        <w:spacing w:after="0" w:line="290" w:lineRule="auto"/>
        <w:tabs>
          <w:tab w:leader="none" w:pos="331" w:val="left"/>
        </w:tabs>
        <w:numPr>
          <w:ilvl w:val="0"/>
          <w:numId w:val="41"/>
        </w:numPr>
        <w:rPr>
          <w:rFonts w:ascii="Arial" w:cs="Arial" w:eastAsia="Arial" w:hAnsi="Arial"/>
          <w:sz w:val="17"/>
          <w:szCs w:val="17"/>
          <w:color w:val="auto"/>
        </w:rPr>
      </w:pPr>
      <w:r>
        <w:rPr>
          <w:rFonts w:ascii="Arial" w:cs="Arial" w:eastAsia="Arial" w:hAnsi="Arial"/>
          <w:sz w:val="17"/>
          <w:szCs w:val="17"/>
          <w:color w:val="auto"/>
        </w:rPr>
        <w:t>grant a license to, or refrain from asserting or enforcing any of, its Patents. Each Group Company is in material compliance with the terms and conditions of all relevant licenses for material open source software used in the services and products currently offered by the Group Companies.</w:t>
      </w:r>
    </w:p>
    <w:p>
      <w:pPr>
        <w:spacing w:after="0" w:line="161" w:lineRule="exact"/>
        <w:rPr>
          <w:rFonts w:ascii="Arial" w:cs="Arial" w:eastAsia="Arial" w:hAnsi="Arial"/>
          <w:sz w:val="17"/>
          <w:szCs w:val="17"/>
          <w:color w:val="auto"/>
        </w:rPr>
      </w:pPr>
    </w:p>
    <w:p>
      <w:pPr>
        <w:jc w:val="both"/>
        <w:ind w:firstLine="656"/>
        <w:spacing w:after="0" w:line="257" w:lineRule="auto"/>
        <w:tabs>
          <w:tab w:leader="none" w:pos="909"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 Governmental Entity has any: (i) ownership interest or exclusive license in or to any material Owned Intellectual Property; (ii) “unlimited rights” (as defined in 48 C.F.R. § 52.227-14 and in 48 C.F.R. § 252.227-7013(a)) in or to any of the software constituting material Owned Intellectual Property; or (iii) “march in rights” (pursuant to 35 U.S.C. § 203) in or to any Patents constituting material Owned Intellectual Property. To the Knowledge of the Company, no funding, facilities or personnel of any Governmental Entity were used, directly or indirectly, to develop or create, in whole or in part, any material Owned Intellectual Property.</w:t>
      </w:r>
    </w:p>
    <w:p>
      <w:pPr>
        <w:spacing w:after="0" w:line="187" w:lineRule="exact"/>
        <w:rPr>
          <w:rFonts w:ascii="Arial" w:cs="Arial" w:eastAsia="Arial" w:hAnsi="Arial"/>
          <w:sz w:val="18"/>
          <w:szCs w:val="18"/>
          <w:color w:val="auto"/>
        </w:rPr>
      </w:pPr>
    </w:p>
    <w:p>
      <w:pPr>
        <w:jc w:val="both"/>
        <w:ind w:firstLine="656"/>
        <w:spacing w:after="0" w:line="269" w:lineRule="auto"/>
        <w:tabs>
          <w:tab w:leader="none" w:pos="902"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or has a valid right to access and use pursuant to a written agreement all Company IT Systems. The Company IT Systems: (i) are adequate in all material respects for the operation and conduct of the business of the Group Companies as currently conducted; and (ii) to the Knowledge of the Company, do not contain any viruses, worms, Trojan horses, bugs, faults or other devices, errors, contaminants or effects that (A) materially disrupt or adversely affect the functionality of the Company IT Systems, except as disclosed in their documentation or (B) enable or assist any Person to access without authorization any Company IT Systems. During the past three years, there has been no unauthorized access to or breach or violation of any Company IT Systems, except for any of the foregoing that were resolved without material cost or liability or the duty to notify any Person as required under Privacy Laws. In the last two years, there have been no material failures, material breakdowns, material data loss, material outages, material unscheduled downtime or other material adverse events affecting any such Company IT Systems that have caused or could reasonably be expected to result in the material disruption of or material interruption in or to the use of such Company IT Systems or the conduct and operation of the business of the Group Companies.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56"/>
        <w:spacing w:after="0" w:line="255" w:lineRule="auto"/>
        <w:tabs>
          <w:tab w:leader="none" w:pos="8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(either alone or in combination with any other event) will result in the: (i) loss or impairment of, or any Lien (other than a Permitted Lien) on, any material Owned Intellectual Property or material Licensed Intellectual Property; (ii) release, disclosure or delivery of any source code constituting material Owned Intellectual Property to any Person; (iii) grant, assignment or transfer to any other Person of any license or other right or interest under, to or in any material Owned Intellectual Property; or (iv) payment of any additional consideration to, or the reduction of any payments from, any Person with respect to any material Owned Intellectual Property or material Licensed Intellectual Property.</w:t>
      </w:r>
    </w:p>
    <w:p>
      <w:pPr>
        <w:spacing w:after="0" w:line="188" w:lineRule="exact"/>
        <w:rPr>
          <w:rFonts w:ascii="Arial" w:cs="Arial" w:eastAsia="Arial" w:hAnsi="Arial"/>
          <w:sz w:val="18"/>
          <w:szCs w:val="18"/>
          <w:color w:val="auto"/>
        </w:rPr>
      </w:pPr>
    </w:p>
    <w:p>
      <w:pPr>
        <w:ind w:firstLine="656"/>
        <w:spacing w:after="0" w:line="282" w:lineRule="auto"/>
        <w:tabs>
          <w:tab w:leader="none" w:pos="899"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Section 4.19(c)</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Error! Reference source not found.</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contains the sole and exclusive representations and warranties of the Group Companies with respect to Intellectual Property and other proprietary rights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Privacy &amp; Cybersecurity; HIPAA Compliance</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3" w:lineRule="auto"/>
        <w:tabs>
          <w:tab w:leader="none" w:pos="9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Group Companies have at all times during the past three years materially complied with: (i) all applicable Privacy Laws; (ii) all of the Group Companies’ written policies and notices regarding Personal Information (“</w:t>
      </w:r>
      <w:r>
        <w:rPr>
          <w:rFonts w:ascii="Arial" w:cs="Arial" w:eastAsia="Arial" w:hAnsi="Arial"/>
          <w:sz w:val="18"/>
          <w:szCs w:val="18"/>
          <w:u w:val="single" w:color="auto"/>
          <w:color w:val="auto"/>
        </w:rPr>
        <w:t>Group Companies’ Privacy Notices</w:t>
      </w:r>
      <w:r>
        <w:rPr>
          <w:rFonts w:ascii="Arial" w:cs="Arial" w:eastAsia="Arial" w:hAnsi="Arial"/>
          <w:sz w:val="18"/>
          <w:szCs w:val="18"/>
          <w:color w:val="auto"/>
        </w:rPr>
        <w:t>”); (iii) all of the Group Companies’ material contractual obligations regarding the storing, processing or handling of Personal Information; and (iv) all self-regulatory guidelines (including of any applicable foreign jurisdiction) that the Company has accepted in writing relating to data privacy, data protection and data security, including with respect to the collection, processing, receipt, security, storage, transmission, transfer (including cross-border transfers), disclosure, destruction and use of Personal Information. None of the Group Companies has received in the five years prior to the date of this Agreement any written notice of any material claims (including written notice from third parties acting on its or their behalf), investigations, inquiries, actions or been charged with, the material violation of, any Privacy Laws. To the Knowledge of the Company, none of the Group Companies’ Privacy Notices have contained any material omissions or been misleading or deceptive.</w:t>
      </w:r>
    </w:p>
    <w:p>
      <w:pPr>
        <w:spacing w:after="0" w:line="196"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the Group Companies during the past three years has implemented and maintained in all material respects commercially reasonable security regarding the confidentiality, integrity and availability of Company IT Systems and the data thereon, including measures to protect Personal Information and other confidential, proprietary business data in its possession or under its control against loss, theft, misuse or unauthorized access, use, modification or disclosure.</w:t>
      </w:r>
    </w:p>
    <w:p>
      <w:pPr>
        <w:spacing w:after="0" w:line="186" w:lineRule="exact"/>
        <w:rPr>
          <w:rFonts w:ascii="Arial" w:cs="Arial" w:eastAsia="Arial" w:hAnsi="Arial"/>
          <w:sz w:val="18"/>
          <w:szCs w:val="18"/>
          <w:color w:val="auto"/>
        </w:rPr>
      </w:pPr>
    </w:p>
    <w:p>
      <w:pPr>
        <w:jc w:val="both"/>
        <w:ind w:firstLine="656"/>
        <w:spacing w:after="0" w:line="269"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During the past three years, there have been no material breaches, security incidents, misuse of or unauthorized access to or disclosure of any Personal Information and other confidential proprietary business data in the possession or control of any of the Group Companies or collected, used or processed by or on behalf of the Group Companies. None of the Group Companies have provided or been legally or contractually required to provide any notices to any Person in connection with an unauthorized disclosure of Personal Information in the last three years. During the past three years, the Group Companies have implemented reasonable disaster recovery and business continuity plans, and taken actions materially consistent with such plans, to the extent required, to safeguard the data and Personal Information in its possession or control. The Company has conducted commercially reasonable data security testing or audits at reasonable and appropriate intervals and has resolved or remediated any material data security issues or vulnerabilities identified. Neither the Group Companies nor any third party acting at the direction or authorization of such Group Companies has paid: (i) any perpetrator of any data breach incident or cyber-attack; or (ii) any third party with actual or alleged information about a data breach incident or cyber-attack, pursuant to a request for payment from or on behalf of such perpetrator or other third party.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right="20" w:firstLine="656"/>
        <w:spacing w:after="0" w:line="308" w:lineRule="auto"/>
        <w:tabs>
          <w:tab w:leader="none" w:pos="9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Group Companies have developed and have implemented policies and procedures, systems, and training programs, as appropriate, designed to ensure material compliance with HIPAA’s privacy, security, breach notification, and standard transactions regulations.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89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Schedule 4.19(c)</w:t>
      </w:r>
      <w:r>
        <w:rPr>
          <w:rFonts w:ascii="Arial" w:cs="Arial" w:eastAsia="Arial" w:hAnsi="Arial"/>
          <w:sz w:val="18"/>
          <w:szCs w:val="18"/>
          <w:color w:val="auto"/>
        </w:rPr>
        <w:t xml:space="preserve"> of the Company Disclosure Letter sets forth a true, correct and complete list of each Company Material Contract (as defined below) that is in effect as of the date of this Agreement. For purposes of this Agreement, “</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of the Group Companies shall mean (x) each Company IP Contract, (y) each Company Real Property Lease and (z) each of the following Contracts to which any of the Group Companies is a party:</w:t>
      </w:r>
    </w:p>
    <w:p>
      <w:pPr>
        <w:spacing w:after="0" w:line="186" w:lineRule="exact"/>
        <w:rPr>
          <w:rFonts w:ascii="Arial" w:cs="Arial" w:eastAsia="Arial" w:hAnsi="Arial"/>
          <w:sz w:val="18"/>
          <w:szCs w:val="18"/>
          <w:color w:val="auto"/>
        </w:rPr>
      </w:pPr>
    </w:p>
    <w:p>
      <w:pPr>
        <w:jc w:val="both"/>
        <w:ind w:left="660" w:right="20" w:firstLine="644"/>
        <w:spacing w:after="0" w:line="279" w:lineRule="auto"/>
        <w:tabs>
          <w:tab w:leader="none" w:pos="1528" w:val="left"/>
        </w:tabs>
        <w:numPr>
          <w:ilvl w:val="1"/>
          <w:numId w:val="45"/>
        </w:numPr>
        <w:rPr>
          <w:rFonts w:ascii="Arial" w:cs="Arial" w:eastAsia="Arial" w:hAnsi="Arial"/>
          <w:sz w:val="17"/>
          <w:szCs w:val="17"/>
          <w:color w:val="auto"/>
        </w:rPr>
      </w:pPr>
      <w:r>
        <w:rPr>
          <w:rFonts w:ascii="Arial" w:cs="Arial" w:eastAsia="Arial" w:hAnsi="Arial"/>
          <w:sz w:val="17"/>
          <w:szCs w:val="17"/>
          <w:color w:val="auto"/>
        </w:rPr>
        <w:t>Each Contract continuing over a period of more than 12 months from the date thereof, not terminable by the Company upon 60 days’ or less notice without liability or penalty (other than (A) agreements for the provision of Company’s products or services and (B) purchase orders with suppliers or customers, in each case (A) and (B), entered into in the ordinary course of business) that the Company reasonably anticipates will involve annual payments or consideration furnished by or to any of the Group Companies of more than $250,000;</w:t>
      </w:r>
    </w:p>
    <w:p>
      <w:pPr>
        <w:spacing w:after="0" w:line="171" w:lineRule="exact"/>
        <w:rPr>
          <w:rFonts w:ascii="Arial" w:cs="Arial" w:eastAsia="Arial" w:hAnsi="Arial"/>
          <w:sz w:val="17"/>
          <w:szCs w:val="17"/>
          <w:color w:val="auto"/>
        </w:rPr>
      </w:pPr>
    </w:p>
    <w:p>
      <w:pPr>
        <w:jc w:val="both"/>
        <w:ind w:left="660" w:firstLine="644"/>
        <w:spacing w:after="0" w:line="286" w:lineRule="auto"/>
        <w:tabs>
          <w:tab w:leader="none" w:pos="1583" w:val="left"/>
        </w:tabs>
        <w:numPr>
          <w:ilvl w:val="1"/>
          <w:numId w:val="45"/>
        </w:numPr>
        <w:rPr>
          <w:rFonts w:ascii="Arial" w:cs="Arial" w:eastAsia="Arial" w:hAnsi="Arial"/>
          <w:sz w:val="17"/>
          <w:szCs w:val="17"/>
          <w:color w:val="auto"/>
        </w:rPr>
      </w:pPr>
      <w:r>
        <w:rPr>
          <w:rFonts w:ascii="Arial" w:cs="Arial" w:eastAsia="Arial" w:hAnsi="Arial"/>
          <w:sz w:val="17"/>
          <w:szCs w:val="17"/>
          <w:color w:val="auto"/>
        </w:rPr>
        <w:t>Each note, debenture, other evidence of indebtedness, guarantee, loan, credit or financing agreement or instrument or other contract for money borrowed by any of the Group Companies from a third party, in each case, having an outstanding principal amount in excess of $250,000, but excluding guarantees of performance under Government Contracts entered into in the ordinary course of business;</w:t>
      </w:r>
    </w:p>
    <w:p>
      <w:pPr>
        <w:spacing w:after="0" w:line="165" w:lineRule="exact"/>
        <w:rPr>
          <w:rFonts w:ascii="Arial" w:cs="Arial" w:eastAsia="Arial" w:hAnsi="Arial"/>
          <w:sz w:val="17"/>
          <w:szCs w:val="17"/>
          <w:color w:val="auto"/>
        </w:rPr>
      </w:pPr>
    </w:p>
    <w:p>
      <w:pPr>
        <w:jc w:val="both"/>
        <w:ind w:left="660" w:firstLine="644"/>
        <w:spacing w:after="0" w:line="259" w:lineRule="auto"/>
        <w:tabs>
          <w:tab w:leader="none" w:pos="1623"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Contract for the acquisition of any Person or any business division thereof or the disposition of any material assets of any of the Group Companies (other than in the ordinary course of business), in each case, whether by merger, purchase or sale of stock or assets or otherwise (other than Contracts for the purchase or sale of inventory or supplies entered into in the ordinary course of business) occurring in the last five years;</w:t>
      </w:r>
    </w:p>
    <w:p>
      <w:pPr>
        <w:spacing w:after="0" w:line="186" w:lineRule="exact"/>
        <w:rPr>
          <w:rFonts w:ascii="Arial" w:cs="Arial" w:eastAsia="Arial" w:hAnsi="Arial"/>
          <w:sz w:val="18"/>
          <w:szCs w:val="18"/>
          <w:color w:val="auto"/>
        </w:rPr>
      </w:pPr>
    </w:p>
    <w:p>
      <w:pPr>
        <w:ind w:left="660" w:firstLine="644"/>
        <w:spacing w:after="0" w:line="277" w:lineRule="auto"/>
        <w:tabs>
          <w:tab w:leader="none" w:pos="16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obligation to make payments, contingent or otherwise, arising out of the prior acquisition of the business, assets or stock of other Persons;</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collective bargaining agreement with any labor union;</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621"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employment or consulting (with respect to an individual, independent contractor) Contract providing for annual base salary or consulting fee payments in excess of $200,000, excluding any such employment, consulting, or management Contract that either: (A) is terminable by the Company or the applicable Company Subsidiary at will; or (B) provides for severance, notice and/or garden leave obligations of 90 days or less or such longer period as is required by Applicable Legal Requirements;</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6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lease, rental agreement, installment and conditional sale agreement, or other Contract that, in each case, (A) provides for the ownership of, leasing of, title to, use of, or any leasehold or other interest in any personal property; and (B) involves annual payments in excess of $250,000;</w:t>
      </w:r>
    </w:p>
    <w:p>
      <w:pPr>
        <w:spacing w:after="0" w:line="183" w:lineRule="exact"/>
        <w:rPr>
          <w:rFonts w:ascii="Arial" w:cs="Arial" w:eastAsia="Arial" w:hAnsi="Arial"/>
          <w:sz w:val="18"/>
          <w:szCs w:val="18"/>
          <w:color w:val="auto"/>
        </w:rPr>
      </w:pPr>
    </w:p>
    <w:p>
      <w:pPr>
        <w:ind w:left="660" w:firstLine="644"/>
        <w:spacing w:after="0" w:line="277" w:lineRule="auto"/>
        <w:tabs>
          <w:tab w:leader="none" w:pos="17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joint venture Contract, partnership agreement or limited liability company agreement with a third party (in each case, other than with respect to wholly owned Company Subsidiaries);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left="660" w:firstLine="644"/>
        <w:spacing w:after="0" w:line="279" w:lineRule="auto"/>
        <w:tabs>
          <w:tab w:leader="none" w:pos="16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Each Contract other than teaming agreements entered into in connection with the pursuit of a specific Government Contract or subcontract thereto or customary non-disclosure agreements that purports to limit or contains covenants expressly limiting in any material respect the freedom of any of the Group Companies to: (A) compete with any Person in a product line or line of business, (B) otherwise develop, market, sell, distribute or otherwise exploit any service or products; or (C) operate in any geographic area;</w:t>
      </w:r>
    </w:p>
    <w:p>
      <w:pPr>
        <w:spacing w:after="0" w:line="171" w:lineRule="exact"/>
        <w:rPr>
          <w:rFonts w:ascii="Arial" w:cs="Arial" w:eastAsia="Arial" w:hAnsi="Arial"/>
          <w:sz w:val="17"/>
          <w:szCs w:val="17"/>
          <w:color w:val="auto"/>
        </w:rPr>
      </w:pPr>
    </w:p>
    <w:p>
      <w:pPr>
        <w:jc w:val="both"/>
        <w:ind w:left="660" w:firstLine="644"/>
        <w:spacing w:after="0" w:line="263" w:lineRule="auto"/>
        <w:tabs>
          <w:tab w:leader="none" w:pos="1581"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Contract (other than those made in the ordinary course of business): (A) providing for the grant of any preferential rights to purchase or lease any material asset (other than any services or products) of the Group Companies; or (B) providing for any right (exclusive or non-exclusive) to sell or distribute any material product or service of any of the Group Companies;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626"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Contract pursuant to which any of the Group Companies licenses material Intellectual Property from a third party, other than click-wrap, shrink-wrap and off-the-shelf software licenses, and any other software licenses that are available on standard terms to the public generally with license, maintenance, support and other fees less than $50,000 per year;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67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obligation to register any Company Common Stock, Company Preferred Stock or other securities of the Company with any Governmental Entity.</w:t>
      </w:r>
    </w:p>
    <w:p>
      <w:pPr>
        <w:spacing w:after="0" w:line="170" w:lineRule="exact"/>
        <w:rPr>
          <w:rFonts w:ascii="Arial" w:cs="Arial" w:eastAsia="Arial" w:hAnsi="Arial"/>
          <w:sz w:val="18"/>
          <w:szCs w:val="18"/>
          <w:color w:val="auto"/>
        </w:rPr>
      </w:pPr>
    </w:p>
    <w:p>
      <w:pPr>
        <w:jc w:val="both"/>
        <w:ind w:firstLine="656"/>
        <w:spacing w:after="0" w:line="272" w:lineRule="auto"/>
        <w:tabs>
          <w:tab w:leader="none" w:pos="907"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Company Material Contracts are: (i) in full force and effect, subject to the Remedies Exception; and (ii) represent the valid and binding obligations of the Company or one of the Company Subsidiaries party thereto and, to the Knowledge of the Company, represent the valid and binding obligations of the other parties thereto. True, correct and complete copies of all Company Material Contracts have been made available to Parent. None of the Group Companies nor, to the Knowledge of the Company, any other party thereto, is in breach of or default under, and no event has occurred which with notice or lapse of time or both would become a breach of or default under, any of the Company Material Contracts, and no party to any Company Material Contract has given any written or, to the Knowledge of the Company, oral, claim or notice of any such breach, default or event, which individually or in the aggregate, would be reasonably likely to have a Company Material Adverse Effect.</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4.21</w:t>
      </w:r>
      <w:r>
        <w:rPr>
          <w:rFonts w:ascii="Arial" w:cs="Arial" w:eastAsia="Arial" w:hAnsi="Arial"/>
          <w:sz w:val="18"/>
          <w:szCs w:val="18"/>
          <w:color w:val="auto"/>
        </w:rPr>
        <w:t xml:space="preserve"> of the Company Disclosure Letter contains a list of all material policies of property, fire and casualty, product liability, workers’ compensation, and other forms of insurance held by, or for the benefit of, the Group Companies as of the date of this Agreement (collectively, the “</w:t>
      </w:r>
      <w:r>
        <w:rPr>
          <w:rFonts w:ascii="Arial" w:cs="Arial" w:eastAsia="Arial" w:hAnsi="Arial"/>
          <w:sz w:val="18"/>
          <w:szCs w:val="18"/>
          <w:u w:val="single" w:color="auto"/>
          <w:color w:val="auto"/>
        </w:rPr>
        <w:t>Insurance Policies</w:t>
      </w:r>
      <w:r>
        <w:rPr>
          <w:rFonts w:ascii="Arial" w:cs="Arial" w:eastAsia="Arial" w:hAnsi="Arial"/>
          <w:sz w:val="18"/>
          <w:szCs w:val="18"/>
          <w:color w:val="auto"/>
        </w:rPr>
        <w:t>”), which policies are in full force and effect as of the date of this Agreement. True and complete copies of the Insurance Policies (or, to the extent such policies are not available, policy binders) have been made available to Parent or its representatives. As of the date of this Agreement, none of the Group Companies has received any written notice from any insurer under any of the Insurance Policies, canceling, terminating or materially adversely amending any such policy or denying renewal of coverage thereunder and all premiums on such insurance policies due and payable as of the date of this Agreement have been paid. As of the date of this Agreement, there is no pending material claim by any Group Company against any insurance carrier for which coverage has been denied or disputed by the applicable insurance carrier (other than a customary reservation of rights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648"/>
        <w:spacing w:after="0" w:line="271" w:lineRule="auto"/>
        <w:rPr>
          <w:sz w:val="20"/>
          <w:szCs w:val="20"/>
          <w:color w:val="auto"/>
        </w:rPr>
      </w:pPr>
      <w:r>
        <w:rPr>
          <w:rFonts w:ascii="Arial" w:cs="Arial" w:eastAsia="Arial" w:hAnsi="Arial"/>
          <w:sz w:val="17"/>
          <w:szCs w:val="17"/>
          <w:color w:val="auto"/>
        </w:rPr>
        <w:t xml:space="preserve">Section 4.22 </w:t>
      </w:r>
      <w:r>
        <w:rPr>
          <w:rFonts w:ascii="Arial" w:cs="Arial" w:eastAsia="Arial" w:hAnsi="Arial"/>
          <w:sz w:val="17"/>
          <w:szCs w:val="17"/>
          <w:u w:val="single" w:color="auto"/>
          <w:color w:val="auto"/>
        </w:rPr>
        <w:t>Affiliate Matters</w:t>
      </w:r>
      <w:r>
        <w:rPr>
          <w:rFonts w:ascii="Arial" w:cs="Arial" w:eastAsia="Arial" w:hAnsi="Arial"/>
          <w:sz w:val="17"/>
          <w:szCs w:val="17"/>
          <w:color w:val="auto"/>
        </w:rPr>
        <w:t xml:space="preserve">. Except: (a) the Company Benefit Plans; (b) Contracts relating to labor and employment matters set forth on </w:t>
      </w:r>
      <w:r>
        <w:rPr>
          <w:rFonts w:ascii="Arial" w:cs="Arial" w:eastAsia="Arial" w:hAnsi="Arial"/>
          <w:sz w:val="17"/>
          <w:szCs w:val="17"/>
          <w:u w:val="single" w:color="auto"/>
          <w:color w:val="auto"/>
        </w:rPr>
        <w:t>Schedule 4.13</w:t>
      </w:r>
      <w:r>
        <w:rPr>
          <w:rFonts w:ascii="Arial" w:cs="Arial" w:eastAsia="Arial" w:hAnsi="Arial"/>
          <w:sz w:val="17"/>
          <w:szCs w:val="17"/>
          <w:color w:val="auto"/>
        </w:rPr>
        <w:t xml:space="preserve"> of the Company Disclosure Letter; and (c) Contracts between or among the Group Companies, none of the Group Companies is party to any Contract with any: (i) present or former officer, director, employee or Company Stockholder or a member of his or her immediate family of any of the Group Companies; or (ii) Affiliate of the Company (other than commercial contracts on arms-length terms). To the Knowledge of the Company, no present or former officer, director, employee, Company Stockholder or holder of derivative securities of the Company (each, an “</w:t>
      </w:r>
      <w:r>
        <w:rPr>
          <w:rFonts w:ascii="Arial" w:cs="Arial" w:eastAsia="Arial" w:hAnsi="Arial"/>
          <w:sz w:val="17"/>
          <w:szCs w:val="17"/>
          <w:u w:val="single" w:color="auto"/>
          <w:color w:val="auto"/>
        </w:rPr>
        <w:t>Insider</w:t>
      </w:r>
      <w:r>
        <w:rPr>
          <w:rFonts w:ascii="Arial" w:cs="Arial" w:eastAsia="Arial" w:hAnsi="Arial"/>
          <w:sz w:val="17"/>
          <w:szCs w:val="17"/>
          <w:color w:val="auto"/>
        </w:rPr>
        <w:t>”) or any member of an Insider’s immediate family is, directly or indirectly, interested in any Contract with any of the Group Companies (other than such Contracts as relate to any such Person’s ownership of Company Common Stock, Company Preferred Stock or other securities of the Company or such Person’s employment or consulting arrangements with the Group Companies or commercial contracts on arms-length terms).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u w:val="single" w:color="auto"/>
          <w:color w:val="auto"/>
        </w:rPr>
        <w:t>Certain Provided Information</w:t>
      </w:r>
      <w:r>
        <w:rPr>
          <w:rFonts w:ascii="Arial" w:cs="Arial" w:eastAsia="Arial" w:hAnsi="Arial"/>
          <w:sz w:val="18"/>
          <w:szCs w:val="18"/>
          <w:color w:val="auto"/>
        </w:rPr>
        <w:t>. The information relating to the Group Companies supplied by the Company for inclusion in the Proxy Statement will not, as of the date on which the Proxy Statement (or any amendment or supplement thereto) is first distributed to holders of Parent Class A Stock or at the time of the Special Meeting, contain any untrue statement of a material fact or omit to state a material fact required to be stated therein or necessary to make the statements contained therein, in light of the circumstances under which they were made, not misleading. Notwithstanding the foregoing, the Company makes no representation, warranty or covenant with respect to statements made or incorporated by reference therein based on information supplied by Parent or Merger Sub for inclusion or incorporation by reference in the Proxy Statement or any Parent SEC Reports or Additional Parent SEC Reports.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u w:val="single" w:color="auto"/>
          <w:color w:val="auto"/>
        </w:rPr>
        <w:t>Absence of Certain Business Practices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93" w:lineRule="auto"/>
        <w:tabs>
          <w:tab w:leader="none" w:pos="8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the past three years: (i) the Group Companies and their respective directors and officers (in their capacities as such) and, to the Knowledge of the Company, their respective employees or agents (in their capacities as such) have been in material compliance with all applicable Specified Business Conduct Laws; and (ii) none of the Group Companies has: (A) received written notice, inquiry or internal or external allegation of or made a voluntary, mandatory or directed disclosure to any Governmental Entity relating to any actual or potential violation of any Specified Business Conduct Law; or (B) been a party to or the subject of any pending or, to the Knowledge of the Company, threatened in writing Legal Proceeding or, to the Knowledge of the Company, investigation by or before any Governmental Entity related to any actual or potential violation of any Specified Business Conduct Law.</w:t>
      </w:r>
    </w:p>
    <w:p>
      <w:pPr>
        <w:spacing w:after="0" w:line="164" w:lineRule="exact"/>
        <w:rPr>
          <w:rFonts w:ascii="Arial" w:cs="Arial" w:eastAsia="Arial" w:hAnsi="Arial"/>
          <w:sz w:val="16"/>
          <w:szCs w:val="16"/>
          <w:color w:val="auto"/>
        </w:rPr>
      </w:pPr>
    </w:p>
    <w:p>
      <w:pPr>
        <w:jc w:val="both"/>
        <w:ind w:firstLine="656"/>
        <w:spacing w:after="0" w:line="263" w:lineRule="auto"/>
        <w:tabs>
          <w:tab w:leader="none" w:pos="9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 of the Group Companies, nor any of their respective directors or officers, nor to the Knowledge of the Company, any of their respective employees or agents is the subject or target of any sanctions or the target of restrictive export controls administered by the U.S. government, the United Nations Security Council, Her Majesty’s Treasury of the United Kingdom, or the European Union.</w:t>
      </w:r>
    </w:p>
    <w:p>
      <w:pPr>
        <w:spacing w:after="0" w:line="183" w:lineRule="exact"/>
        <w:rPr>
          <w:rFonts w:ascii="Arial" w:cs="Arial" w:eastAsia="Arial" w:hAnsi="Arial"/>
          <w:sz w:val="18"/>
          <w:szCs w:val="18"/>
          <w:color w:val="auto"/>
        </w:rPr>
      </w:pPr>
    </w:p>
    <w:p>
      <w:pPr>
        <w:jc w:val="both"/>
        <w:ind w:firstLine="656"/>
        <w:spacing w:after="0" w:line="255" w:lineRule="auto"/>
        <w:tabs>
          <w:tab w:leader="none" w:pos="9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 of the Group Companies, their respective directors or officers, or, to the Knowledge of the Company, their respective employees or agents is a person who is, or is owned or controlled by a person who is, the subject or target of any economic or financial sanctions or is located, organized or resident in a country or territory that is the subject of sanctions administered or enforced by OFAC, the U.S. Department of State, the United Nations Security Council, the European Union, Her Majesty’s Treasury, or other relevant sanctions authority, including currently, Crimea, Cuba, Iran, North Korea, and Syria). None of the Group Companies’ products are identified or described on the Commerce Control List of the EAR or otherwise controlled for export.</w:t>
      </w:r>
    </w:p>
    <w:p>
      <w:pPr>
        <w:spacing w:after="0" w:line="192" w:lineRule="exact"/>
        <w:rPr>
          <w:rFonts w:ascii="Arial" w:cs="Arial" w:eastAsia="Arial" w:hAnsi="Arial"/>
          <w:sz w:val="18"/>
          <w:szCs w:val="18"/>
          <w:color w:val="auto"/>
        </w:rPr>
      </w:pPr>
    </w:p>
    <w:p>
      <w:pPr>
        <w:jc w:val="both"/>
        <w:ind w:firstLine="656"/>
        <w:spacing w:after="0" w:line="296" w:lineRule="auto"/>
        <w:tabs>
          <w:tab w:leader="none" w:pos="913"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None of the Group Companies, their respective directors or officers (in their capacities as such), or, to the Knowledge of the Company, their respective employees or agents (in their capacities as such) is subject to any pending Legal Proceeding by any Governmental Entity, and, to the Knowledge of the Company, no such Legal Proceeding is threatened in writing, alleging that any of the Group Companies or such Person has offered, made or received on behalf of any of the Group Companies any illegal payment of any kind, directly or indirectly, including payments, gifts or gratuities, to any Person, including any United States federal, state, local or foreign government officeholder, official, employee or agent or any candidate therefor.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648"/>
        <w:spacing w:after="0" w:line="290"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Government Grants and Incentives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of the Company Disclosure Letter provides a complete list of all pending and outstanding grants, incentives, benefits, qualifications and subsidies from any Governmental Entity granted to the Company or any of its Subsidiaries (collectively, “</w:t>
      </w:r>
      <w:r>
        <w:rPr>
          <w:rFonts w:ascii="Arial" w:cs="Arial" w:eastAsia="Arial" w:hAnsi="Arial"/>
          <w:sz w:val="16"/>
          <w:szCs w:val="16"/>
          <w:u w:val="single" w:color="auto"/>
          <w:color w:val="auto"/>
        </w:rPr>
        <w:t>Government Grants</w:t>
      </w:r>
      <w:r>
        <w:rPr>
          <w:rFonts w:ascii="Arial" w:cs="Arial" w:eastAsia="Arial" w:hAnsi="Arial"/>
          <w:sz w:val="16"/>
          <w:szCs w:val="16"/>
          <w:color w:val="auto"/>
        </w:rPr>
        <w:t xml:space="preserve">”). The Group Companies do not have any obligation whatsoever with respect to royalties or other payments relating to, arising out of or in connection with the Government Grants identified or required to be identified in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of the Company Disclosure Letter. The Group Companies are in material compliance with all of the terms, conditions and requirements of their respective Government Grants and have duly fulfilled all the undertakings relating thereto. None of the Group Companies or their agents, contractors, vendors, or licensors has developed any material Owned Intellectual Property through the application of any financing made available by any Government Grants, and no material Owned Intellectual Property is subject to any assignment, grant-back, license or other right of any Governmental Entity as a result of any Government Grants.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4.26 </w:t>
      </w:r>
      <w:r>
        <w:rPr>
          <w:rFonts w:ascii="Arial" w:cs="Arial" w:eastAsia="Arial" w:hAnsi="Arial"/>
          <w:sz w:val="18"/>
          <w:szCs w:val="18"/>
          <w:u w:val="single" w:color="auto"/>
          <w:color w:val="auto"/>
        </w:rPr>
        <w:t>OIG</w:t>
      </w:r>
      <w:r>
        <w:rPr>
          <w:rFonts w:ascii="Arial" w:cs="Arial" w:eastAsia="Arial" w:hAnsi="Arial"/>
          <w:sz w:val="18"/>
          <w:szCs w:val="18"/>
          <w:color w:val="auto"/>
        </w:rPr>
        <w:t>. None of the employees of the Group Companies are included on the List of Excluded Individuals/Entities maintained by the Office of Inspector General of the United States Department of Health and Human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u w:val="single" w:color="auto"/>
          <w:color w:val="auto"/>
        </w:rPr>
        <w:t>Suppliers and Customers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90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Schedule 4.27(a)</w:t>
      </w:r>
      <w:r>
        <w:rPr>
          <w:rFonts w:ascii="Arial" w:cs="Arial" w:eastAsia="Arial" w:hAnsi="Arial"/>
          <w:sz w:val="18"/>
          <w:szCs w:val="18"/>
          <w:color w:val="auto"/>
        </w:rPr>
        <w:t xml:space="preserve"> lists the 20 largest customers (by revenue) of the Group Companies, during the 12-month period ending on December 31, 2020 (each, a “</w:t>
      </w:r>
      <w:r>
        <w:rPr>
          <w:rFonts w:ascii="Arial" w:cs="Arial" w:eastAsia="Arial" w:hAnsi="Arial"/>
          <w:sz w:val="18"/>
          <w:szCs w:val="18"/>
          <w:u w:val="single" w:color="auto"/>
          <w:color w:val="auto"/>
        </w:rPr>
        <w:t>Top Customer</w:t>
      </w:r>
      <w:r>
        <w:rPr>
          <w:rFonts w:ascii="Arial" w:cs="Arial" w:eastAsia="Arial" w:hAnsi="Arial"/>
          <w:sz w:val="18"/>
          <w:szCs w:val="18"/>
          <w:color w:val="auto"/>
        </w:rPr>
        <w:t>”). Since the commencement of such 12-month period until the date of this Agreement, (i) no Top Customer has terminated, or otherwise materially and adversely modified, its relationship with the Group Companies, and (ii) none of the Group Companies has received written notice from any Top Customer notifying any of the Group Companies that such Top Customer intends to terminate, or otherwise materially and adversely modify its relationship with the Group Companies.</w:t>
      </w:r>
    </w:p>
    <w:p>
      <w:pPr>
        <w:spacing w:after="0" w:line="187"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Schedule 4.27(b)</w:t>
      </w:r>
      <w:r>
        <w:rPr>
          <w:rFonts w:ascii="Arial" w:cs="Arial" w:eastAsia="Arial" w:hAnsi="Arial"/>
          <w:sz w:val="17"/>
          <w:szCs w:val="17"/>
          <w:color w:val="auto"/>
        </w:rPr>
        <w:t xml:space="preserve"> lists the 20 largest suppliers (by amounts paid/payable to such suppliers) of the Group Companies, during the 12-month period ending on December 31, 2020 (each, a “</w:t>
      </w:r>
      <w:r>
        <w:rPr>
          <w:rFonts w:ascii="Arial" w:cs="Arial" w:eastAsia="Arial" w:hAnsi="Arial"/>
          <w:sz w:val="17"/>
          <w:szCs w:val="17"/>
          <w:u w:val="single" w:color="auto"/>
          <w:color w:val="auto"/>
        </w:rPr>
        <w:t>Top Supplier</w:t>
      </w:r>
      <w:r>
        <w:rPr>
          <w:rFonts w:ascii="Arial" w:cs="Arial" w:eastAsia="Arial" w:hAnsi="Arial"/>
          <w:sz w:val="17"/>
          <w:szCs w:val="17"/>
          <w:color w:val="auto"/>
        </w:rPr>
        <w:t>”). Since the commencement of such 12-month period until the date of this Agreement, (i) no such Top Supplier has terminated, or otherwise materially and adversely modified, its relationship with the Group Companies and (ii) none of the Group Companies has received written notice from any such Top Supplier notifying any of the Group Companies that such Top Supplier intends to terminate, or otherwise materially and adversely modify, its relationship with the Group Companies.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66" w:lineRule="auto"/>
        <w:rPr>
          <w:sz w:val="20"/>
          <w:szCs w:val="20"/>
          <w:color w:val="auto"/>
        </w:rPr>
      </w:pPr>
      <w:r>
        <w:rPr>
          <w:rFonts w:ascii="Arial" w:cs="Arial" w:eastAsia="Arial" w:hAnsi="Arial"/>
          <w:sz w:val="17"/>
          <w:szCs w:val="17"/>
          <w:color w:val="auto"/>
        </w:rPr>
        <w:t xml:space="preserve">Section 4.28 </w:t>
      </w:r>
      <w:r>
        <w:rPr>
          <w:rFonts w:ascii="Arial" w:cs="Arial" w:eastAsia="Arial" w:hAnsi="Arial"/>
          <w:sz w:val="17"/>
          <w:szCs w:val="17"/>
          <w:u w:val="single" w:color="auto"/>
          <w:color w:val="auto"/>
        </w:rPr>
        <w:t>Disclaimer of Other Warranties</w:t>
      </w:r>
      <w:r>
        <w:rPr>
          <w:rFonts w:ascii="Arial" w:cs="Arial" w:eastAsia="Arial" w:hAnsi="Arial"/>
          <w:sz w:val="17"/>
          <w:szCs w:val="17"/>
          <w:color w:val="auto"/>
        </w:rPr>
        <w:t xml:space="preserve">. THE COMPANY HEREBY ACKNOWLEDGES THAT, EXCEPT AS EXPRESSLY PROVIDED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NONE OF PARENT, MERGER SUB, OR ANY OF THEIR RESPECTIVE AFFILIATES OR REPRESENTATIVES HAS MADE, IS MAKING, OR SHALL BE DEEMED TO MAKE ANY REPRESENTATION OR WARRANTY WHATSOEVER, EXPRESS OR IMPLIED, AT LAW OR IN EQUITY, TO THE COMPANY, ANY OF ITS AFFILIATES OR REPRESENTATIVES OR ANY OTHER PERSON, WITH RESPECT TO PARENT, MERGER SUB, OR ANY OF THEIR RESPECTIVE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PARENT, MERGER SUB, OR ANY OF THEIR RESPECTIVE AFFILIATES OR REPRESENTATIVES SHALL BE DEEMED TO MAKE TO THE COMPANY, COMPANY STOCKHOLDERS, OR THEIR RESPECTIVE AFFILIATES OR REPRESENTATIVES ANY REPRESENTATION OR WARRANTY OTHER THAN AS EXPRESSLY MADE BY PARENT AND MERGER SUB TO THE COMPANY IN </w:t>
      </w:r>
      <w:r>
        <w:rPr>
          <w:rFonts w:ascii="Arial" w:cs="Arial" w:eastAsia="Arial" w:hAnsi="Arial"/>
          <w:sz w:val="17"/>
          <w:szCs w:val="17"/>
          <w:u w:val="single" w:color="auto"/>
          <w:color w:val="auto"/>
        </w:rPr>
        <w:t>Article V</w:t>
      </w:r>
      <w:r>
        <w:rPr>
          <w:rFonts w:ascii="Arial" w:cs="Arial" w:eastAsia="Arial" w:hAnsi="Arial"/>
          <w:sz w:val="17"/>
          <w:szCs w:val="17"/>
          <w:color w:val="auto"/>
        </w:rPr>
        <w:t>; AND (b) NONE OF PARENT, MERGER SUB, OR ANY OF THEIR RESPECTIVE AFFILIATES OR REPRESENTATIVES, HAS MADE, IS MAKING, OR SHALL BE DEEMED TO MAKE TO THE COMPANY, COMPANY STOCKHOLDERS, OR THEIR RESPECTIVE AFFILIATES OR REPRESENTATIVES OR ANY OTHER PERSON ANY REPRESENTATION OR WARRANTY, EXPRESS OR IMPLIED, WITH RESPECT TO: (i)</w:t>
      </w:r>
    </w:p>
    <w:p>
      <w:pPr>
        <w:spacing w:after="0" w:line="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INFORMATION DISTRIBUTED OR MADE AVAILABLE TO THEM BY OR ON BEHALF OF PARENT OR MERGER SUB IN CONNECTION WITH THIS AGREEMENT AND THE TRANSACTIONS; (ii) ANY MANAGEMENT PRESENTATION, CONFIDENTIAL INFORMATION MEMORANDUM OR SIMILAR DOCUMENT; OR (iii) ANY FINANCIAL PROJECTION, FORECAST, ESTIMATE, BUDGET OR SIMILAR ITEM RELATING TO PARENT, MERGER SUB, OR ANY OF THEIR BUSINESS, ASSETS, LIABILITIES, PROPERTIES, FINANCIAL CONDITION, RESULTS OF OPERATIONS AND PROJECTED OPERATIONS OF THE FOREGOING. THE COMPANY HEREBY ACKNOWLEDGES THAT IT HAS NOT RELIED ON ANY PROMISE, REPRESENTATION OR WARRANTY THAT IS NOT EXPRESSLY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THE COMPANY ACKNOWLEDGES THAT IT HAS CONDUCTED, TO ITS SATISFACTION, AN INDEPENDENT INVESTIGATION AND VERIFICATION OF PARENT, MERGER SUB, AND THE BUSINESS, ASSETS, LIABILITIES, PROPERTIES, FINANCIAL CONDITION, RESULTS OF OPERATIONS AND PROJECTED OPERATIONS OF THE FOREGOING AND, IN MAKING ITS DETERMINATION THE COMPANY HAS RELIED ON THE RESULTS OF ITS OWN INDEPENDENT INVESTIGATION AND VERIFICATION, IN ADDITION TO THE REPRESENTATIONS AND WARRANTIES OF THE COMPANY EXPRESSLY AND SPECIFICALLY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NOTWITHSTANDING ANYTHING TO THE CONTRARY IN THIS </w:t>
      </w:r>
      <w:r>
        <w:rPr>
          <w:rFonts w:ascii="Arial" w:cs="Arial" w:eastAsia="Arial" w:hAnsi="Arial"/>
          <w:sz w:val="17"/>
          <w:szCs w:val="17"/>
          <w:u w:val="single" w:color="auto"/>
          <w:color w:val="auto"/>
        </w:rPr>
        <w:t>Section 4.28</w:t>
      </w:r>
      <w:r>
        <w:rPr>
          <w:rFonts w:ascii="Arial" w:cs="Arial" w:eastAsia="Arial" w:hAnsi="Arial"/>
          <w:sz w:val="17"/>
          <w:szCs w:val="17"/>
          <w:color w:val="auto"/>
        </w:rPr>
        <w:t xml:space="preserve">, CLAIMS AGAINST PARENT, MERGER SUB, OR ANY OTHER PERSON SHALL NOT BE LIMITED IN ANY RESPECT IN THE EVENT OF INTENTIONAL FRAUD IN THE MAKING OF THE REPRESENTATIONS AND WARRANTIES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BY SUCH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 as set forth in the letter dated as of the date of this Agreement and delivered by Parent and Merger Sub to the Company on or prior to the date of this Agreement (the “</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and (b) as disclosed in the Parent SEC Reports filed with the SEC prior to the date of this Agreement (to the extent the qualifying nature of such disclosure is readily apparent from the content of such Parent SEC Reports) excluding disclosures referred to in “Forward-Looking Statements”, “Risk Factors” and any other disclosures therein to the extent they are of a predictive or cautionary nature or related to forward-looking statements, Parent and Merger Sub represent and warrant to the Company as of the date hereof and as of the Closing Date as follows: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34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of Parent and Merger Sub is duly incorporated, validly existing and in good standing under the laws of the State of Delaware, and as of immediately prior to the Closing, will be a company duly organized, validly existing and in good standing under the laws of the State of Delaware.</w:t>
      </w:r>
    </w:p>
    <w:p>
      <w:pPr>
        <w:spacing w:after="0" w:line="123" w:lineRule="exact"/>
        <w:rPr>
          <w:rFonts w:ascii="Arial" w:cs="Arial" w:eastAsia="Arial" w:hAnsi="Arial"/>
          <w:sz w:val="16"/>
          <w:szCs w:val="16"/>
          <w:color w:val="auto"/>
        </w:rPr>
      </w:pPr>
    </w:p>
    <w:p>
      <w:pPr>
        <w:ind w:right="20" w:firstLine="656"/>
        <w:spacing w:after="0" w:line="342" w:lineRule="auto"/>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of Parent and Merger Sub has the requisite corporate or limited liability power and authority to own, lease and operate its assets and properties and to carry on its business as it is now being conducted, except as would not be material to Parent and Merger Sub, taken as a whole.</w:t>
      </w:r>
    </w:p>
    <w:p>
      <w:pPr>
        <w:spacing w:after="0" w:line="123" w:lineRule="exact"/>
        <w:rPr>
          <w:rFonts w:ascii="Arial" w:cs="Arial" w:eastAsia="Arial" w:hAnsi="Arial"/>
          <w:sz w:val="16"/>
          <w:szCs w:val="16"/>
          <w:color w:val="auto"/>
        </w:rPr>
      </w:pPr>
    </w:p>
    <w:p>
      <w:pPr>
        <w:ind w:left="900" w:hanging="244"/>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None of Parent or Merger Sub are in violation of any of the provisions of their respective Charter Documents.</w:t>
      </w:r>
    </w:p>
    <w:p>
      <w:pPr>
        <w:spacing w:after="0" w:line="225"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Each of Parent and Merger Sub is duly qualified or licensed to do business as a foreign corporation and is in good standing, in each jurisdiction where the character of the properties owned, leased or operated by it or the nature of its activities makes such qualification or licensing necessary. Each jurisdiction in which Parent and Merger Sub are so qualified or licensed is listed on </w:t>
      </w:r>
      <w:r>
        <w:rPr>
          <w:rFonts w:ascii="Arial" w:cs="Arial" w:eastAsia="Arial" w:hAnsi="Arial"/>
          <w:sz w:val="17"/>
          <w:szCs w:val="17"/>
          <w:u w:val="single" w:color="auto"/>
          <w:color w:val="auto"/>
        </w:rPr>
        <w:t>Schedule 5.1(d)</w:t>
      </w:r>
      <w:r>
        <w:rPr>
          <w:rFonts w:ascii="Arial" w:cs="Arial" w:eastAsia="Arial" w:hAnsi="Arial"/>
          <w:sz w:val="17"/>
          <w:szCs w:val="17"/>
          <w:color w:val="auto"/>
        </w:rPr>
        <w:t xml:space="preserve"> of the Parent Disclosure Letter.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48"/>
        <w:spacing w:after="0" w:line="27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Parent Subsidiaries</w:t>
      </w:r>
      <w:r>
        <w:rPr>
          <w:rFonts w:ascii="Arial" w:cs="Arial" w:eastAsia="Arial" w:hAnsi="Arial"/>
          <w:sz w:val="17"/>
          <w:szCs w:val="17"/>
          <w:color w:val="auto"/>
        </w:rPr>
        <w:t>. Parent has no direct or indirect Subsidiaries or participations in joint ventures or other entities, and does not own, directly or indirectly, any equity interests or other interests or investments (whether equity or debt) in any Person, whether incorporated or unincorporated, other than Merger Sub. Merger Sub has no assets or properties of any kind, does not now conduct and has never conducted any business, and has and will have at the Closing no obligations or liabilities of any nature whatsoever, except for such obligations as are imposed under this Agreement. Merger Sub is an entity that has been formed solely for the purpose of engaging in the Transactions.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0" w:lineRule="auto"/>
        <w:tabs>
          <w:tab w:leader="none" w:pos="885" w:val="left"/>
        </w:tabs>
        <w:numPr>
          <w:ilvl w:val="1"/>
          <w:numId w:val="51"/>
        </w:numPr>
        <w:rPr>
          <w:rFonts w:ascii="Arial" w:cs="Arial" w:eastAsia="Arial" w:hAnsi="Arial"/>
          <w:sz w:val="17"/>
          <w:szCs w:val="17"/>
          <w:color w:val="auto"/>
        </w:rPr>
      </w:pPr>
      <w:r>
        <w:rPr>
          <w:rFonts w:ascii="Arial" w:cs="Arial" w:eastAsia="Arial" w:hAnsi="Arial"/>
          <w:sz w:val="17"/>
          <w:szCs w:val="17"/>
          <w:color w:val="auto"/>
        </w:rPr>
        <w:t>As of the date of this Agreement: (i) 380,000,000 Class A common shares of Parent, par value $0.0001 per share (“</w:t>
      </w:r>
      <w:r>
        <w:rPr>
          <w:rFonts w:ascii="Arial" w:cs="Arial" w:eastAsia="Arial" w:hAnsi="Arial"/>
          <w:sz w:val="17"/>
          <w:szCs w:val="17"/>
          <w:u w:val="single" w:color="auto"/>
          <w:color w:val="auto"/>
        </w:rPr>
        <w:t>Parent Class A Stock</w:t>
      </w:r>
      <w:r>
        <w:rPr>
          <w:rFonts w:ascii="Arial" w:cs="Arial" w:eastAsia="Arial" w:hAnsi="Arial"/>
          <w:sz w:val="17"/>
          <w:szCs w:val="17"/>
          <w:color w:val="auto"/>
        </w:rPr>
        <w:t>”), are authorized and 44,275,000 shares of Parent Class A Stock are issued and outstanding; (ii) 20,000,000 Class B common shares of Parent, par value $0.0001 per share (“</w:t>
      </w:r>
      <w:r>
        <w:rPr>
          <w:rFonts w:ascii="Arial" w:cs="Arial" w:eastAsia="Arial" w:hAnsi="Arial"/>
          <w:sz w:val="17"/>
          <w:szCs w:val="17"/>
          <w:u w:val="single" w:color="auto"/>
          <w:color w:val="auto"/>
        </w:rPr>
        <w:t>Parent Class B Stock</w:t>
      </w:r>
      <w:r>
        <w:rPr>
          <w:rFonts w:ascii="Arial" w:cs="Arial" w:eastAsia="Arial" w:hAnsi="Arial"/>
          <w:sz w:val="17"/>
          <w:szCs w:val="17"/>
          <w:color w:val="auto"/>
        </w:rPr>
        <w:t>” and, together with the Parent Class A Stock, the “</w:t>
      </w:r>
      <w:r>
        <w:rPr>
          <w:rFonts w:ascii="Arial" w:cs="Arial" w:eastAsia="Arial" w:hAnsi="Arial"/>
          <w:sz w:val="17"/>
          <w:szCs w:val="17"/>
          <w:u w:val="single" w:color="auto"/>
          <w:color w:val="auto"/>
        </w:rPr>
        <w:t>Parent Shares</w:t>
      </w:r>
      <w:r>
        <w:rPr>
          <w:rFonts w:ascii="Arial" w:cs="Arial" w:eastAsia="Arial" w:hAnsi="Arial"/>
          <w:sz w:val="17"/>
          <w:szCs w:val="17"/>
          <w:color w:val="auto"/>
        </w:rPr>
        <w:t>”), are authorized and 11,068,750 shares of Parent Class B Stock are issued and outstanding; (iii) upon the closing of the transactions contemplated by the Equity Financing Agreements, Parent has committed to issue 35,000,000 shares of Parent Class A Stock to the Equity Financing Investors; (iv) 7,236,667 warrants to purchase one share of Parent Class A Stock (the “</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are outstanding; and (v) 14,758,333 warrants to purchase one share of Parent Class A Stock (the “</w:t>
      </w:r>
      <w:r>
        <w:rPr>
          <w:rFonts w:ascii="Arial" w:cs="Arial" w:eastAsia="Arial" w:hAnsi="Arial"/>
          <w:sz w:val="17"/>
          <w:szCs w:val="17"/>
          <w:u w:val="single" w:color="auto"/>
          <w:color w:val="auto"/>
        </w:rPr>
        <w:t>Public Warrants</w:t>
      </w:r>
      <w:r>
        <w:rPr>
          <w:rFonts w:ascii="Arial" w:cs="Arial" w:eastAsia="Arial" w:hAnsi="Arial"/>
          <w:sz w:val="17"/>
          <w:szCs w:val="17"/>
          <w:color w:val="auto"/>
        </w:rPr>
        <w:t>”, collectively with the Private Placement Warrants, the “</w:t>
      </w:r>
      <w:r>
        <w:rPr>
          <w:rFonts w:ascii="Arial" w:cs="Arial" w:eastAsia="Arial" w:hAnsi="Arial"/>
          <w:sz w:val="17"/>
          <w:szCs w:val="17"/>
          <w:u w:val="single" w:color="auto"/>
          <w:color w:val="auto"/>
        </w:rPr>
        <w:t>Parent Warrants</w:t>
      </w:r>
      <w:r>
        <w:rPr>
          <w:rFonts w:ascii="Arial" w:cs="Arial" w:eastAsia="Arial" w:hAnsi="Arial"/>
          <w:sz w:val="17"/>
          <w:szCs w:val="17"/>
          <w:color w:val="auto"/>
        </w:rPr>
        <w:t>”) are outstanding. All outstanding Parent Class A Stock, Parent Class B Stock, Private Placement Warrants and Public Warrants have been duly authorized, validly issued, fully paid and are non-assessable and are not subject to preemptive rights.</w:t>
      </w:r>
    </w:p>
    <w:p>
      <w:pPr>
        <w:spacing w:after="0" w:line="180" w:lineRule="exact"/>
        <w:rPr>
          <w:rFonts w:ascii="Arial" w:cs="Arial" w:eastAsia="Arial" w:hAnsi="Arial"/>
          <w:sz w:val="17"/>
          <w:szCs w:val="17"/>
          <w:color w:val="auto"/>
        </w:rPr>
      </w:pPr>
    </w:p>
    <w:p>
      <w:pPr>
        <w:jc w:val="both"/>
        <w:ind w:firstLine="656"/>
        <w:spacing w:after="0" w:line="311" w:lineRule="auto"/>
        <w:tabs>
          <w:tab w:leader="none" w:pos="908"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authorized capital stock of Merger Sub consists of 100 shares of common stock, par value $0.0001 per share (the “</w:t>
      </w:r>
      <w:r>
        <w:rPr>
          <w:rFonts w:ascii="Arial" w:cs="Arial" w:eastAsia="Arial" w:hAnsi="Arial"/>
          <w:sz w:val="16"/>
          <w:szCs w:val="16"/>
          <w:u w:val="single" w:color="auto"/>
          <w:color w:val="auto"/>
        </w:rPr>
        <w:t>Merger Sub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As of the date hereof, 100 shares of Merger Sub Common Stock are issued and outstanding. All outstanding shares of Merger Sub Common Stock have been duly authorized, validly issued, fully paid and are non-assessable and are not subject to preemptive rights, and are held by Parent.</w:t>
      </w:r>
    </w:p>
    <w:p>
      <w:pPr>
        <w:spacing w:after="0" w:line="148" w:lineRule="exact"/>
        <w:rPr>
          <w:rFonts w:ascii="Arial" w:cs="Arial" w:eastAsia="Arial" w:hAnsi="Arial"/>
          <w:sz w:val="16"/>
          <w:szCs w:val="16"/>
          <w:color w:val="auto"/>
        </w:rPr>
      </w:pPr>
    </w:p>
    <w:p>
      <w:pPr>
        <w:jc w:val="both"/>
        <w:ind w:firstLine="656"/>
        <w:spacing w:after="0" w:line="273" w:lineRule="auto"/>
        <w:tabs>
          <w:tab w:leader="none" w:pos="927" w:val="left"/>
        </w:tabs>
        <w:numPr>
          <w:ilvl w:val="1"/>
          <w:numId w:val="51"/>
        </w:numPr>
        <w:rPr>
          <w:rFonts w:ascii="Arial" w:cs="Arial" w:eastAsia="Arial" w:hAnsi="Arial"/>
          <w:sz w:val="17"/>
          <w:szCs w:val="17"/>
          <w:color w:val="auto"/>
        </w:rPr>
      </w:pPr>
      <w:r>
        <w:rPr>
          <w:rFonts w:ascii="Arial" w:cs="Arial" w:eastAsia="Arial" w:hAnsi="Arial"/>
          <w:sz w:val="17"/>
          <w:szCs w:val="17"/>
          <w:color w:val="auto"/>
        </w:rPr>
        <w:t>Except for the Parent Warrants and the Equity Financing Agreements, there are no outstanding options, warrants, rights, convertible or exchangeable securities, “phantom” stock rights, stock appreciation rights, stock-based performance units, commitments or Contracts of any kind to which Parent or Merger Sub is a party or by which any of them is bound obligating Parent or Merger Sub to issue, deliver or sell, or cause to be issued, delivered or sold, additional Parent Shares, Merger Sub Common Stock or any other shares of capital stock or membership interests other interest or participation in, or any security convertible or exercisable for or exchangeable into Parent Shares, Merger Sub Common Stock or any other shares of capital stock or membership interests or other interest or participation in Parent or Merger Sub.</w:t>
      </w:r>
    </w:p>
    <w:p>
      <w:pPr>
        <w:spacing w:after="0" w:line="177" w:lineRule="exact"/>
        <w:rPr>
          <w:rFonts w:ascii="Arial" w:cs="Arial" w:eastAsia="Arial" w:hAnsi="Arial"/>
          <w:sz w:val="17"/>
          <w:szCs w:val="17"/>
          <w:color w:val="auto"/>
        </w:rPr>
      </w:pPr>
    </w:p>
    <w:p>
      <w:pPr>
        <w:ind w:left="920" w:hanging="264"/>
        <w:spacing w:after="0"/>
        <w:tabs>
          <w:tab w:leader="none" w:pos="9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Parent Share, share of Merger Sub Common Stock and Parent Warrant: (i) has been issued in compliance in all material respects with:</w:t>
      </w:r>
    </w:p>
    <w:p>
      <w:pPr>
        <w:spacing w:after="0" w:line="46" w:lineRule="exact"/>
        <w:rPr>
          <w:rFonts w:ascii="Arial" w:cs="Arial" w:eastAsia="Arial" w:hAnsi="Arial"/>
          <w:sz w:val="16"/>
          <w:szCs w:val="16"/>
          <w:color w:val="auto"/>
        </w:rPr>
      </w:pPr>
    </w:p>
    <w:p>
      <w:pPr>
        <w:jc w:val="both"/>
        <w:ind w:firstLine="8"/>
        <w:spacing w:after="0" w:line="277" w:lineRule="auto"/>
        <w:tabs>
          <w:tab w:leader="none" w:pos="311"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Applicable Legal Requirements; and (B) the Charter Documents of Parent or Merger Sub, as applicable; and (ii) was not issued in violation of any purchase option, call option, right of first refusal, preemptive right, subscription right or any similar right under any Applicable Legal Requirements, the Charter Documents of Parent or Merger Sub, as applicable or any Contract to which any of Parent or Merger Sub is a party or otherwise bound by.</w:t>
      </w:r>
    </w:p>
    <w:p>
      <w:pPr>
        <w:spacing w:after="0" w:line="172" w:lineRule="exact"/>
        <w:rPr>
          <w:rFonts w:ascii="Arial" w:cs="Arial" w:eastAsia="Arial" w:hAnsi="Arial"/>
          <w:sz w:val="17"/>
          <w:szCs w:val="17"/>
          <w:color w:val="auto"/>
        </w:rPr>
      </w:pPr>
    </w:p>
    <w:p>
      <w:pPr>
        <w:ind w:firstLine="656"/>
        <w:spacing w:after="0" w:line="277" w:lineRule="auto"/>
        <w:tabs>
          <w:tab w:leader="none" w:pos="8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outstanding shares of capital stock of the Subsidiaries of Parent are owned by Parent, or a direct or indirect wholly-owned Subsidiary of Parent, free and clear of all Liens (other than Permitted Liens).</w:t>
      </w:r>
    </w:p>
    <w:p>
      <w:pPr>
        <w:spacing w:after="0" w:line="170" w:lineRule="exact"/>
        <w:rPr>
          <w:rFonts w:ascii="Arial" w:cs="Arial" w:eastAsia="Arial" w:hAnsi="Arial"/>
          <w:sz w:val="18"/>
          <w:szCs w:val="18"/>
          <w:color w:val="auto"/>
        </w:rPr>
      </w:pPr>
    </w:p>
    <w:p>
      <w:pPr>
        <w:jc w:val="both"/>
        <w:ind w:right="20" w:firstLine="656"/>
        <w:spacing w:after="0" w:line="279" w:lineRule="auto"/>
        <w:tabs>
          <w:tab w:leader="none" w:pos="899" w:val="left"/>
        </w:tabs>
        <w:numPr>
          <w:ilvl w:val="1"/>
          <w:numId w:val="52"/>
        </w:numPr>
        <w:rPr>
          <w:rFonts w:ascii="Arial" w:cs="Arial" w:eastAsia="Arial" w:hAnsi="Arial"/>
          <w:sz w:val="17"/>
          <w:szCs w:val="17"/>
          <w:color w:val="auto"/>
        </w:rPr>
      </w:pPr>
      <w:r>
        <w:rPr>
          <w:rFonts w:ascii="Arial" w:cs="Arial" w:eastAsia="Arial" w:hAnsi="Arial"/>
          <w:sz w:val="17"/>
          <w:szCs w:val="17"/>
          <w:color w:val="auto"/>
        </w:rPr>
        <w:t>Subject to approval of the Parent Stockholder Matters, the shares of Parent Class A Stock to be issued by Parent in connection with the Transactions, upon issuance in accordance with the terms of this Agreement will be duly authorized, validly issued, fully paid and nonassessable, and will not be subject to any preemptive rights of any other stockholder of Parent and will be capable of effectively vesting in the Company Stockholders title to all such securities, free and clear of all Liens (other than Liens arising pursuant to applicable securities Legal Requirements).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56"/>
        <w:spacing w:after="0" w:line="263" w:lineRule="auto"/>
        <w:tabs>
          <w:tab w:leader="none" w:pos="9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holder of any of Parent Shares initially issued to the Sponsor in connection with Parent’s initial public offering: (i) is obligated to vote all of such Parent Shares in favor of approving the Transactions; and (ii) is not entitled to elect to redeem any of such Parent pursuant to the Parent Organizational Documents.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9"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set forth in the Parent Organizational Documents and in connection with the Transactions, there are no registration rights, and there is no voting trust, proxy, rights plan, anti-takeover plan or other agreements or understandings to which Parent is a party or by which Parent is bound with respect to any ownership interests of Parent.</w:t>
      </w:r>
    </w:p>
    <w:p>
      <w:pPr>
        <w:spacing w:after="0" w:line="183" w:lineRule="exact"/>
        <w:rPr>
          <w:rFonts w:ascii="Arial" w:cs="Arial" w:eastAsia="Arial" w:hAnsi="Arial"/>
          <w:sz w:val="18"/>
          <w:szCs w:val="18"/>
          <w:color w:val="auto"/>
        </w:rPr>
      </w:pPr>
    </w:p>
    <w:p>
      <w:pPr>
        <w:ind w:left="860" w:hanging="204"/>
        <w:spacing w:after="0"/>
        <w:tabs>
          <w:tab w:leader="none" w:pos="8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holders of the Parent Class B Stock have waived any adjustment to the Initial Conversion Ratio (as defined in the Parent Charter).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9"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Each of Parent and Merger Sub has the requisite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Transactions (including the Merger). The execution and delivery by Parent and Merger Sub of this Agreement and the other Transaction Agreements to which each of them is a party, and the consummation by Parent and Merger Sub of the Transactions (including the Merger) have been duly and validly authorized by all necessary corporate or limited liability company action on the part of each of Parent and Merger Sub, and no other proceedings on the part of Parent or Merger Sub are necessary to authorize this Agreement or the other Transaction Agreements to which each of them is a party or to consummate the transactions contemplated thereby, other than approval of the Parent Stockholder Matters. This Agreement and the other Transaction Agreements to which each of them is a party have been, or in the case of any Transaction Agreements to be executed at or in connection with the Closing, will be duly and validly executed and delivered by Parent and Merger Sub and, assuming the due authorization, execution and delivery thereof by the other Parties, constitute or will constitute the legal and binding obligations of Parent and Merger Sub (as applicable), enforceable against Parent and Merger Sub (as applicable) in accordance with their terms, subject to the Remedies Exception.</w:t>
      </w:r>
    </w:p>
    <w:p>
      <w:pPr>
        <w:spacing w:after="0" w:line="178" w:lineRule="exact"/>
        <w:rPr>
          <w:rFonts w:ascii="Arial" w:cs="Arial" w:eastAsia="Arial" w:hAnsi="Arial"/>
          <w:sz w:val="17"/>
          <w:szCs w:val="17"/>
          <w:color w:val="auto"/>
        </w:rPr>
      </w:pPr>
    </w:p>
    <w:p>
      <w:pPr>
        <w:jc w:val="both"/>
        <w:ind w:firstLine="656"/>
        <w:spacing w:after="0" w:line="273" w:lineRule="auto"/>
        <w:tabs>
          <w:tab w:leader="none" w:pos="909"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affirmative vote of (i) a majority of the votes cast by the stockholders of Parent present in person or represented by proxy at the Special Meeting and entitled to vote thereon at the Special Meeting shall be required to approve the Parent Stockholder Matters (other than the amendment and restatement of the Parent Organizational Documents) and (ii) holders representing a majority of the outstanding capital stock of Parent entitled to vote thereon at the Special Meeting shall be required to approve the amendment and restatement of the Parent Organizational Documents ((i) and (ii), such approval by the stockholders of Parent, the “</w:t>
      </w:r>
      <w:r>
        <w:rPr>
          <w:rFonts w:ascii="Arial" w:cs="Arial" w:eastAsia="Arial" w:hAnsi="Arial"/>
          <w:sz w:val="17"/>
          <w:szCs w:val="17"/>
          <w:u w:val="single" w:color="auto"/>
          <w:color w:val="auto"/>
        </w:rPr>
        <w:t>Parent Stockholder Approval</w:t>
      </w:r>
      <w:r>
        <w:rPr>
          <w:rFonts w:ascii="Arial" w:cs="Arial" w:eastAsia="Arial" w:hAnsi="Arial"/>
          <w:sz w:val="17"/>
          <w:szCs w:val="17"/>
          <w:color w:val="auto"/>
        </w:rPr>
        <w:t>”). The Parent Stockholder Approval is the only vote of the holders of any class or series of capital stock of Parent required to approve and adopt this Agreement and approve the Transactions.</w:t>
      </w:r>
    </w:p>
    <w:p>
      <w:pPr>
        <w:spacing w:after="0" w:line="177" w:lineRule="exact"/>
        <w:rPr>
          <w:rFonts w:ascii="Arial" w:cs="Arial" w:eastAsia="Arial" w:hAnsi="Arial"/>
          <w:sz w:val="17"/>
          <w:szCs w:val="17"/>
          <w:color w:val="auto"/>
        </w:rPr>
      </w:pPr>
    </w:p>
    <w:p>
      <w:pPr>
        <w:jc w:val="both"/>
        <w:ind w:firstLine="656"/>
        <w:spacing w:after="0" w:line="255" w:lineRule="auto"/>
        <w:tabs>
          <w:tab w:leader="none" w:pos="8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 meeting duly called and held, the board of directors of Parent has unanimously: (i) determined that it is in the best interests of Parent and the stockholders of Parent, and declared it advisable, to enter into this Agreement providing for the Merger in accordance with the DGCL; (ii) determined that the fair market value of the Company is equal to at least 80% of the amount held in the Trust Account (excluding any deferred underwriting commissions and taxes payable on interest earned) as of the date hereof; (iii) approved this Agreement and the Transactions, including the Merger in accordance with the DGCL, on the terms and subject to the conditions of this Agreement; and (iv) adopted a resolution recommending the plan of merger set forth in this Agreement be adopted by the stockholders of Parent.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No Conflict; Required Filings and Consents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90" w:lineRule="auto"/>
        <w:tabs>
          <w:tab w:leader="none" w:pos="904"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Neither the execution, delivery nor performance by Parent and Merger Sub of this Agreement or the other Transaction Agreements to which each of them is a party, nor (assuming approval of the Parent Stockholder Matters is obtained) the consummation of the Transactions shall: (i) conflict with or violate their respective Charter Documents; (ii) assuming that the consents, approvals, orders, authorizations, registrations, filings or permits referred to in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are duly and timely obtained or made, conflict with or violate any Applicable Legal Requirements; or (iii) result in any breach of or constitute a default (or an event that with notice or lapse of time or both would become a default) under, or materially impair their respective rights or alter the rights or obligations of any third party under, or give to others any rights of consent, termination, amendment, acceleration or cancellation of, or result in the creation of a Lien (other than any Permitted Lien) on any of the properties or assets of Parent or any of its Subsidiaries pursuant to, any Parent Material Contracts, except, with respect to clause (iii), as would not, individually or in the aggregate, have a Parent Material Adverse Effect.</w:t>
      </w:r>
    </w:p>
    <w:p>
      <w:pPr>
        <w:spacing w:after="0" w:line="165" w:lineRule="exact"/>
        <w:rPr>
          <w:rFonts w:ascii="Arial" w:cs="Arial" w:eastAsia="Arial" w:hAnsi="Arial"/>
          <w:sz w:val="16"/>
          <w:szCs w:val="16"/>
          <w:color w:val="auto"/>
        </w:rPr>
      </w:pPr>
    </w:p>
    <w:p>
      <w:pPr>
        <w:jc w:val="both"/>
        <w:ind w:firstLine="656"/>
        <w:spacing w:after="0" w:line="254" w:lineRule="auto"/>
        <w:tabs>
          <w:tab w:leader="none" w:pos="9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execution and delivery by each of Parent and Merger Sub of this Agreement and the other Transaction Agreements to which it is a party, does not, and the performance of its obligations hereunder and thereunder will not, require any consent, approval, authorization or permit of, or filing with or notification to, any Governmental Entity, except: (i) for the filing of the Certificate of Merger in accordance with the DGCL; (ii) for applicable requirements, if any, of the Securities Act, the Exchange Act, blue sky laws, and the rules and regulations thereunder, and appropriate documents with the relevant authorities of other jurisdictions in which Parent is qualified to do business; (iii) for the filing of any notifications required under the HSR Act and the expiration of the required waiting period thereunder; and (iv) where the failure to obtain such consents, approvals, authorizations or permits, or to make such filings or notifications, would not, individually or in the aggregate, reasonably be expected to have a Parent Material Adverse Effect, or prevent the consummation of the Merger.</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Compliance; Approvals</w:t>
      </w:r>
      <w:r>
        <w:rPr>
          <w:rFonts w:ascii="Arial" w:cs="Arial" w:eastAsia="Arial" w:hAnsi="Arial"/>
          <w:sz w:val="17"/>
          <w:szCs w:val="17"/>
          <w:color w:val="auto"/>
        </w:rPr>
        <w:t>. Since its incorporation or organization, as applicable, each of Parent and Merger Sub has complied in all material respects with and has not been in violation of any Applicable Legal Requirements with respect to the conduct of its business, or the ownership or operation of its business. Since the date of its incorporation or organization, as applicable, to the Knowledge of Parent, no investigation or review by any Governmental Entity with respect to Parent or any of its Subsidiaries has been pending or threatened. No written, or to the Knowledge of Parent, oral notice of non-compliance with any Applicable Legal Requirements has been received by Parent or Merger Sub. Each of Parent and Merger Sub is in possession of all Approvals necessary to own, lease and operate the properties it purports to own, operate or lease and to carry on its business as it is now being conducted, except where the failure to have such Approvals would not, individually or in the aggregate, reasonably be expected to be material to Parent and Merger Sub, taken as a whole.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Parent SEC Reports and Financial Statements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4" w:lineRule="auto"/>
        <w:tabs>
          <w:tab w:leader="none" w:pos="899"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Parent has filed all forms, reports, schedules, statements and other documents, including any exhibits thereto, required to be filed or furnished by Parent with the SEC under the Exchange Act or the Securities Act since the initial registration of Parent Class A Common Stock to the date of this Agreement, together with any amendments, restatements or supplements thereto (all of the foregoing filed prior to the date of this Agreement,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 Reports</w:t>
      </w:r>
      <w:r>
        <w:rPr>
          <w:rFonts w:ascii="Arial" w:cs="Arial" w:eastAsia="Arial" w:hAnsi="Arial"/>
          <w:sz w:val="16"/>
          <w:szCs w:val="16"/>
          <w:color w:val="auto"/>
        </w:rPr>
        <w:t>”), and will have filed all such forms, reports, schedules, statements and other documents required to be filed subsequent to the date of this Agreement through the Closing Date (the “</w:t>
      </w:r>
      <w:r>
        <w:rPr>
          <w:rFonts w:ascii="Arial" w:cs="Arial" w:eastAsia="Arial" w:hAnsi="Arial"/>
          <w:sz w:val="16"/>
          <w:szCs w:val="16"/>
          <w:u w:val="single" w:color="auto"/>
          <w:color w:val="auto"/>
        </w:rPr>
        <w:t>Additional Parent SEC Reports</w:t>
      </w:r>
      <w:r>
        <w:rPr>
          <w:rFonts w:ascii="Arial" w:cs="Arial" w:eastAsia="Arial" w:hAnsi="Arial"/>
          <w:sz w:val="16"/>
          <w:szCs w:val="16"/>
          <w:color w:val="auto"/>
        </w:rPr>
        <w:t>”). All Parent SEC Reports, Additional Parent SEC Reports, any correspondence from or to the SEC or Nasdaq (other than such correspondence in connection with the initial public offering of Parent) and all certifications and statements required by: (i) Rule 13a-14 or 15d-14 under the Exchange Act; or (ii) 18 U.S.C. § 1350 (Section 906) of the Sarbanes-Oxley Act with respect to any of the foregoing (collectively, the “</w:t>
      </w:r>
      <w:r>
        <w:rPr>
          <w:rFonts w:ascii="Arial" w:cs="Arial" w:eastAsia="Arial" w:hAnsi="Arial"/>
          <w:sz w:val="16"/>
          <w:szCs w:val="16"/>
          <w:u w:val="single" w:color="auto"/>
          <w:color w:val="auto"/>
        </w:rPr>
        <w:t>Certifications</w:t>
      </w:r>
      <w:r>
        <w:rPr>
          <w:rFonts w:ascii="Arial" w:cs="Arial" w:eastAsia="Arial" w:hAnsi="Arial"/>
          <w:sz w:val="16"/>
          <w:szCs w:val="16"/>
          <w:color w:val="auto"/>
        </w:rPr>
        <w:t xml:space="preserve">”) are available on the SEC’s Electronic Data-Gathering, Analysis and Retrieval system (EDGAR) in full without redaction. Parent has heretofore furnished to the Company true and correct copies of all amendments and modifications that have not been filed by Parent with the SEC to all agreements, documents and other instruments that previously had been filed by Parent with the SEC and are currently in effect. The Parent SEC Reports were, and the Additional Parent SEC Reports will be, prepared in accordance with the requirements of the Securities Act, the Exchange Act and the Sarbanes-Oxley Act, as the case may be, and the rules and regulations thereunder. The Parent SEC Reports did not, and the Additional Parent SEC Reports will not, at the time they were or are filed, as the case may be, with the SEC contain any untrue statement of a material fact or omit to state a material fact required to be stated therein or necessary in order to make the statements made therein, in light of the circumstances under which they were made, not misleading. The Certifications are each true and correct. Parent maintains disclosure controls and procedures required by Rule 13a-15(e) or 15d-15(e) under the Exchange Act. Each director and executive officer of Parent has filed with the SEC on a timely basis all statements required with respect to Parent by Section 16(a) of the Exchange Act and the rules and regulations thereunder. As used in this </w:t>
      </w:r>
      <w:r>
        <w:rPr>
          <w:rFonts w:ascii="Arial" w:cs="Arial" w:eastAsia="Arial" w:hAnsi="Arial"/>
          <w:sz w:val="16"/>
          <w:szCs w:val="16"/>
          <w:u w:val="single" w:color="auto"/>
          <w:color w:val="auto"/>
        </w:rPr>
        <w:t>Section 5.7</w:t>
      </w:r>
      <w:r>
        <w:rPr>
          <w:rFonts w:ascii="Arial" w:cs="Arial" w:eastAsia="Arial" w:hAnsi="Arial"/>
          <w:sz w:val="16"/>
          <w:szCs w:val="16"/>
          <w:color w:val="auto"/>
        </w:rPr>
        <w:t>, the term “file” shall be broadly construed to include any manner in which a document or information is furnished, supplied or otherwise made available to the SEC or Nasdaq. None of Parent (including any employee thereof), Merger Sub or Parent’s independent auditors has identified or been made aware of (A) any significant deficiency or material weakness in the system of internal accounting controls utilized by Parent, (B) any fraud, whether or not material, that involves Parent’s management or other employees who have a role in the preparation of financial statements or the internal accounting controls utilized by Parent or (C) any claim or allegation regarding either (A) or (B).</w:t>
      </w:r>
    </w:p>
    <w:p>
      <w:pPr>
        <w:spacing w:after="0" w:line="395" w:lineRule="exact"/>
        <w:rPr>
          <w:rFonts w:ascii="Arial" w:cs="Arial" w:eastAsia="Arial" w:hAnsi="Arial"/>
          <w:sz w:val="16"/>
          <w:szCs w:val="16"/>
          <w:color w:val="auto"/>
        </w:rPr>
      </w:pPr>
    </w:p>
    <w:p>
      <w:pPr>
        <w:jc w:val="both"/>
        <w:ind w:firstLine="656"/>
        <w:spacing w:after="0" w:line="254" w:lineRule="auto"/>
        <w:tabs>
          <w:tab w:leader="none" w:pos="93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financial statements and notes contained or incorporated by reference in the Parent SEC Reports fairly present, and the financial statements and notes to be contained in or to be incorporated by reference in the Additional Parent SEC Reports will fairly present, the financial condition and the results of operations, changes in stockholders’ equity and cash flows of Parent as at the respective dates of, and for the periods referred to, in such financial statements, all in accordance with: (i) GAAP; and (ii) Regulation S-X or Regulation S-K, as applicable, subject, in the case of interim financial statements, to normal recurring year-end adjustments (the effect of which will not, individually or in the aggregate, be material) and the omission of notes to the extent permitted by Regulation S-X or Regulation S-K, as applicable. Parent has no off-balance sheet arrangements that are not disclosed in the Parent SEC Reports. No financial statements other than those of Parent are required by GAAP to be included in the consolidated financial statements of Parent.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xml:space="preserve">. Except as set forth in Parent SEC Reports filed prior to the date of this Agreement, and except as contemplated by this Agreement, since December 31, 2020, there has not been: (a) any Parent Material Adverse Effect; (b) any declaration, setting aside or payment of any dividend on, or other distribution in respect of, any of Parent’s capital stock, or any purchase, redemption or other acquisition by Parent of any of Parent’s capital stock or any other securities of Parent or any options, warrants, calls or rights to acquire any such shares or other securities; (c) any split, combination or reclassification of any of Parent’s capital stock; (d) any material change by Parent in its accounting methods, principles or practices, except as required by concurrent changes in GAAP (or any interpretation thereof) or Applicable Legal Requirements; (e) any change in the auditors of Parent; (f) any revaluation by Parent of any of its assets, including, without limitation, any sale of assets of Parent other than in the ordinary course of business; or (g) any action taken or agreed upon by Parent or any of its Subsidiaries that would be prohibited by </w:t>
      </w:r>
      <w:r>
        <w:rPr>
          <w:rFonts w:ascii="Arial" w:cs="Arial" w:eastAsia="Arial" w:hAnsi="Arial"/>
          <w:sz w:val="17"/>
          <w:szCs w:val="17"/>
          <w:u w:val="single" w:color="auto"/>
          <w:color w:val="auto"/>
        </w:rPr>
        <w:t>0</w:t>
      </w:r>
      <w:r>
        <w:rPr>
          <w:rFonts w:ascii="Arial" w:cs="Arial" w:eastAsia="Arial" w:hAnsi="Arial"/>
          <w:sz w:val="17"/>
          <w:szCs w:val="17"/>
          <w:color w:val="auto"/>
        </w:rPr>
        <w:t xml:space="preserve"> if such action were taken on or after the date hereof without the consent of the Company.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are no Legal Proceedings pending or, to the Knowledge of Parent, threatened in writing against or otherwise relating to Parent or any of its Subsidiaries, before any Governmental Entity: (a) challenging or seeking to enjoining, alter or materially delay the Transactions; or (b) that would, individually or in the aggregate, reasonably be expected to be material to Parent.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Business Activities ; Liabilities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4" w:lineRule="auto"/>
        <w:tabs>
          <w:tab w:leader="none" w:pos="9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Since their respective incorporation, neither Parent, nor Merger Sub has conducted any business activities other than activities: (i) in connection with its organization; or (ii) directed toward the accomplishment of a business combination. Except as set forth in the Parent Organizational Documents, there is no Contract or Order binding upon Parent or Merger Sub or to which any of them is a party which has or could reasonably be expected to have the effect of prohibiting or materially impairing any business practice of it, any acquisition of property by it or the conduct of business by it as currently conducted or as currently contemplated to be conducted (including, in each case, following the Closing). Other than under the Transaction Agreements or pursuant to the performance of its obligations thereunder, neither Parent nor Merger Sub has any material liabilities, debts or obligations (absolute, accrued, contingent or otherwise).</w:t>
      </w:r>
    </w:p>
    <w:p>
      <w:pPr>
        <w:spacing w:after="0" w:line="194" w:lineRule="exact"/>
        <w:rPr>
          <w:rFonts w:ascii="Arial" w:cs="Arial" w:eastAsia="Arial" w:hAnsi="Arial"/>
          <w:sz w:val="18"/>
          <w:szCs w:val="18"/>
          <w:color w:val="auto"/>
        </w:rPr>
      </w:pPr>
    </w:p>
    <w:p>
      <w:pPr>
        <w:jc w:val="both"/>
        <w:ind w:firstLine="656"/>
        <w:spacing w:after="0" w:line="301" w:lineRule="auto"/>
        <w:tabs>
          <w:tab w:leader="none" w:pos="927" w:val="left"/>
        </w:tabs>
        <w:numPr>
          <w:ilvl w:val="0"/>
          <w:numId w:val="57"/>
        </w:numPr>
        <w:rPr>
          <w:rFonts w:ascii="Arial" w:cs="Arial" w:eastAsia="Arial" w:hAnsi="Arial"/>
          <w:sz w:val="16"/>
          <w:szCs w:val="16"/>
          <w:color w:val="auto"/>
        </w:rPr>
      </w:pPr>
      <w:r>
        <w:rPr>
          <w:rFonts w:ascii="Arial" w:cs="Arial" w:eastAsia="Arial" w:hAnsi="Arial"/>
          <w:sz w:val="16"/>
          <w:szCs w:val="16"/>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Transaction Agreements and the other documents and transactions contemplated hereby and thereby, will have no, assets, liabilities or obligations of any kind or nature whatsoever other than those incident to its formation.</w:t>
      </w:r>
    </w:p>
    <w:p>
      <w:pPr>
        <w:spacing w:after="0" w:line="157" w:lineRule="exact"/>
        <w:rPr>
          <w:rFonts w:ascii="Arial" w:cs="Arial" w:eastAsia="Arial" w:hAnsi="Arial"/>
          <w:sz w:val="16"/>
          <w:szCs w:val="16"/>
          <w:color w:val="auto"/>
        </w:rPr>
      </w:pPr>
    </w:p>
    <w:p>
      <w:pPr>
        <w:jc w:val="both"/>
        <w:ind w:firstLine="656"/>
        <w:spacing w:after="0" w:line="255"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for this Agreement, the Transaction Agreements, the Transactions and the Parent Material Contracts, Parent has no material interests, rights, obligations or liabilities with respect to, and is not party to, bound by or has its assets or property subject to, in each case whether directly or indirectly, any Parent Material Contract (as defined below) or party to any transaction which is, or would reasonably be interpreted as constituting, a Parent Business Combination. Except for the transactions contemplated by this Agreement, the Transaction Agreements, or the Trust Agreement, Merger Sub does not own or have a right to acquire, directly or indirectly, any interest or investment (whether equity or debt) in any corporation, partnership, joint venture, business, trust or other entity.</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5.11</w:t>
      </w:r>
      <w:r>
        <w:rPr>
          <w:rFonts w:ascii="Arial" w:cs="Arial" w:eastAsia="Arial" w:hAnsi="Arial"/>
          <w:sz w:val="18"/>
          <w:szCs w:val="18"/>
          <w:color w:val="auto"/>
        </w:rPr>
        <w:t xml:space="preserve"> of the Parent Disclosure Letter sets forth a true, correct and complete list of each Contract to which Parent or Merger Sub is party pursuant to which greater than $50,000 is reasonably expected to be due in any single calendar year and pursuant (the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 other than any such Parent Material Contract that is listed as an exhibit to Parent’s Form S-1 Registration Statement, initially filed with the SEC on August 14, 2020. To the extent Parent or Merger Sub is a party to a Contract that is not a Parent Material Contract, Parent or Merger Sub (as applicable) may terminate such other Contract without post-termination liability or obligation beyond payments owing through the date of termination.</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Parent Listing</w:t>
      </w:r>
      <w:r>
        <w:rPr>
          <w:rFonts w:ascii="Arial" w:cs="Arial" w:eastAsia="Arial" w:hAnsi="Arial"/>
          <w:sz w:val="17"/>
          <w:szCs w:val="17"/>
          <w:color w:val="auto"/>
        </w:rPr>
        <w:t>. The issued and outstanding Parent Units are registered pursuant to Section 12(b) of the Exchange Act and are listed for trading on the Nasdaq Capital Market (“</w:t>
      </w:r>
      <w:r>
        <w:rPr>
          <w:rFonts w:ascii="Arial" w:cs="Arial" w:eastAsia="Arial" w:hAnsi="Arial"/>
          <w:sz w:val="17"/>
          <w:szCs w:val="17"/>
          <w:u w:val="single" w:color="auto"/>
          <w:color w:val="auto"/>
        </w:rPr>
        <w:t>Nasdaq</w:t>
      </w:r>
      <w:r>
        <w:rPr>
          <w:rFonts w:ascii="Arial" w:cs="Arial" w:eastAsia="Arial" w:hAnsi="Arial"/>
          <w:sz w:val="17"/>
          <w:szCs w:val="17"/>
          <w:color w:val="auto"/>
        </w:rPr>
        <w:t>”) under the symbol “</w:t>
      </w:r>
      <w:r>
        <w:rPr>
          <w:rFonts w:ascii="Arial" w:cs="Arial" w:eastAsia="Arial" w:hAnsi="Arial"/>
          <w:sz w:val="17"/>
          <w:szCs w:val="17"/>
          <w:u w:val="single" w:color="auto"/>
          <w:color w:val="auto"/>
        </w:rPr>
        <w:t>CMLFU</w:t>
      </w:r>
      <w:r>
        <w:rPr>
          <w:rFonts w:ascii="Arial" w:cs="Arial" w:eastAsia="Arial" w:hAnsi="Arial"/>
          <w:sz w:val="17"/>
          <w:szCs w:val="17"/>
          <w:color w:val="auto"/>
        </w:rPr>
        <w:t>”. The issued and outstanding shares of Parent Class A Stock are registered pursuant to Section 12(b) of the Exchange Act and are listed for trading on Nasdaq under the symbol “</w:t>
      </w:r>
      <w:r>
        <w:rPr>
          <w:rFonts w:ascii="Arial" w:cs="Arial" w:eastAsia="Arial" w:hAnsi="Arial"/>
          <w:sz w:val="17"/>
          <w:szCs w:val="17"/>
          <w:u w:val="single" w:color="auto"/>
          <w:color w:val="auto"/>
        </w:rPr>
        <w:t>CMLF</w:t>
      </w:r>
      <w:r>
        <w:rPr>
          <w:rFonts w:ascii="Arial" w:cs="Arial" w:eastAsia="Arial" w:hAnsi="Arial"/>
          <w:sz w:val="17"/>
          <w:szCs w:val="17"/>
          <w:color w:val="auto"/>
        </w:rPr>
        <w:t>”. The issued and outstanding Public Warrants are registered pursuant to Section 12(b) of the Exchange Act and are listed for trading on Nasdaq under the symbol “</w:t>
      </w:r>
      <w:r>
        <w:rPr>
          <w:rFonts w:ascii="Arial" w:cs="Arial" w:eastAsia="Arial" w:hAnsi="Arial"/>
          <w:sz w:val="17"/>
          <w:szCs w:val="17"/>
          <w:u w:val="single" w:color="auto"/>
          <w:color w:val="auto"/>
        </w:rPr>
        <w:t>CMLFW</w:t>
      </w:r>
      <w:r>
        <w:rPr>
          <w:rFonts w:ascii="Arial" w:cs="Arial" w:eastAsia="Arial" w:hAnsi="Arial"/>
          <w:sz w:val="17"/>
          <w:szCs w:val="17"/>
          <w:color w:val="auto"/>
        </w:rPr>
        <w:t>”. Parent is a member in good standing with Nasdaq. There is no action or proceeding pending or, to the Knowledge of Parent, threatened in writing against Parent by Nasdaq or the SEC with respect to any intention by such entity to deregister the Parent Units, the shares of Parent Class A Stock or Public Warrants or terminate the listing of Parent on Nasdaq. None of Parent or any of its Affiliates has taken any action in an attempt to terminate the registration of the Parent Units, the Parent Class A Stock or Public Warrants under the Exchange 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85"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Equity Financing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the Parent Disclosure Letter sets forth a true, accurate and complete list of each of the subscription agreements (the “</w:t>
      </w:r>
      <w:r>
        <w:rPr>
          <w:rFonts w:ascii="Arial" w:cs="Arial" w:eastAsia="Arial" w:hAnsi="Arial"/>
          <w:sz w:val="16"/>
          <w:szCs w:val="16"/>
          <w:u w:val="single" w:color="auto"/>
          <w:color w:val="auto"/>
        </w:rPr>
        <w:t>Equity Financing Agreements</w:t>
      </w:r>
      <w:r>
        <w:rPr>
          <w:rFonts w:ascii="Arial" w:cs="Arial" w:eastAsia="Arial" w:hAnsi="Arial"/>
          <w:sz w:val="16"/>
          <w:szCs w:val="16"/>
          <w:color w:val="auto"/>
        </w:rPr>
        <w:t>”) entered into by Parent with the applicable investors named therein (collectively, the “</w:t>
      </w:r>
      <w:r>
        <w:rPr>
          <w:rFonts w:ascii="Arial" w:cs="Arial" w:eastAsia="Arial" w:hAnsi="Arial"/>
          <w:sz w:val="16"/>
          <w:szCs w:val="16"/>
          <w:u w:val="single" w:color="auto"/>
          <w:color w:val="auto"/>
        </w:rPr>
        <w:t>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 Investors</w:t>
      </w:r>
      <w:r>
        <w:rPr>
          <w:rFonts w:ascii="Arial" w:cs="Arial" w:eastAsia="Arial" w:hAnsi="Arial"/>
          <w:sz w:val="16"/>
          <w:szCs w:val="16"/>
          <w:color w:val="auto"/>
        </w:rPr>
        <w:t>”), pursuant to which the Equity Financing Investors have committed to provide equity financing to Parent in the aggregate amount of $350,000,000 (the “</w:t>
      </w:r>
      <w:r>
        <w:rPr>
          <w:rFonts w:ascii="Arial" w:cs="Arial" w:eastAsia="Arial" w:hAnsi="Arial"/>
          <w:sz w:val="16"/>
          <w:szCs w:val="16"/>
          <w:u w:val="single" w:color="auto"/>
          <w:color w:val="auto"/>
        </w:rPr>
        <w:t>Equity Financing Amount</w:t>
      </w:r>
      <w:r>
        <w:rPr>
          <w:rFonts w:ascii="Arial" w:cs="Arial" w:eastAsia="Arial" w:hAnsi="Arial"/>
          <w:sz w:val="16"/>
          <w:szCs w:val="16"/>
          <w:color w:val="auto"/>
        </w:rPr>
        <w:t>”). The Equity Financing Amount, together with the amount in the Trust Account at the Closing, are in the aggregate sufficient to enable Parent to: (a) pay all cash amounts required to be paid by Parent or its Subsidiaries under or in connection with this Agreement; and (b) pay any and all fees and expenses of or payable by Parent with respect to the Transactions. To Parent’s Knowledge with respect, as of the date hereof, the Equity Financing Agreements are in full force and effect and have not been withdrawn or terminated, or otherwise amended or modified, in any respect, and no withdrawal, termination, amendment or modification is contemplated by Parent. Each Equity Financing Agreement is a legal, valid and binding obligation of Parent and, to Parent’s Knowledge, each Equity Financing Investor. As of the date hereof, Parent does not know of any facts or circumstances that may reasonably be expected to result in any of the conditions set forth in any Equity Financing Agreement not being satisfied, or the Equity Financing Amount not being available to Parent, on the Closing Date. No event has occurred that, with or without notice, lapse of time or both, would constitute a default or breach on the part of Parent under any material term or condition of any Equity Financing Agreement and, as of the date hereof, Parent has no reason to believe that it will be unable to satisfy in all material respects on a timely basis any term or condition of closing to be satisfied by it contained in any Equity Financing Agreement. The Equity Financing Agreements contain all of the conditions precedent (other than the conditions contained in the other Transaction Agreements) to the obligations of the Equity Financing Investor to contribute to Parent the applicable portion of the Equity Financing Amount set forth in the applicable Equity Financing Agreement on the terms therein.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Trust Account</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93" w:lineRule="auto"/>
        <w:tabs>
          <w:tab w:leader="none" w:pos="889"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 of January 29, 2021, Parent had $442,767,712.12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maintained and invested pursuant to that certain Investment Management Trust Agreement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effective as of September 1, 2020, by and between Parent and Continental Stock Transfer &amp; Trust Company, a New York corporation (“</w:t>
      </w:r>
      <w:r>
        <w:rPr>
          <w:rFonts w:ascii="Arial" w:cs="Arial" w:eastAsia="Arial" w:hAnsi="Arial"/>
          <w:sz w:val="16"/>
          <w:szCs w:val="16"/>
          <w:u w:val="single" w:color="auto"/>
          <w:color w:val="auto"/>
        </w:rPr>
        <w:t>Continental</w:t>
      </w:r>
      <w:r>
        <w:rPr>
          <w:rFonts w:ascii="Arial" w:cs="Arial" w:eastAsia="Arial" w:hAnsi="Arial"/>
          <w:sz w:val="16"/>
          <w:szCs w:val="16"/>
          <w:color w:val="auto"/>
        </w:rPr>
        <w:t>”) for the benefit of its public stockholders, with such funds invested in United States Government securities or money market funds meeting all of the applicable conditions under Rule 2a-7 promulgated under the Investment Company Act. Other than pursuant to the Trust Agreement and the Equity Financing Agreements, the obligations of Parent under this Agreement are not subject to any conditions regarding Parent’s, its Affiliates’, or any other Person’s ability to obtain financing for the consummation of the Transactions.</w:t>
      </w:r>
    </w:p>
    <w:p>
      <w:pPr>
        <w:spacing w:after="0" w:line="164" w:lineRule="exact"/>
        <w:rPr>
          <w:rFonts w:ascii="Arial" w:cs="Arial" w:eastAsia="Arial" w:hAnsi="Arial"/>
          <w:sz w:val="16"/>
          <w:szCs w:val="16"/>
          <w:color w:val="auto"/>
        </w:rPr>
      </w:pPr>
    </w:p>
    <w:p>
      <w:pPr>
        <w:jc w:val="both"/>
        <w:ind w:firstLine="656"/>
        <w:spacing w:after="0" w:line="284" w:lineRule="auto"/>
        <w:tabs>
          <w:tab w:leader="none" w:pos="91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Trust Agreement has not been amended or modified and is valid and in full force and effect and is enforceable in accordance with its terms, except insofar as enforceability may be limited by applicable bankruptcy, insolvency, reorganization, moratorium or similar laws affecting creditors’ rights generally or by principles governing the availability of equitable remedies. Parent has complied in all material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Continental. There are no separate Contracts, side letters or other understandings (whether written or unwritten, express or implied): (i) between Parent and Continental that would cause the description of the Trust Agreement in the Parent SEC Reports to be inaccurate in any material respect; or (ii) to the Knowledge of Parent, that would entitle any Person (other than stockholders of Parent holding Parent Class A Stock sold in Parent’s initial public offering who shall have elected to redeem their shares of Parent Class A Stock pursuant to Parent’s Charter Documents) to any portion of the proceeds in the Trust Account. Prior to the Closing, none of the funds held in the Trust Account may be released except: (A) to pay income and franchise taxes from any interest income earned in the Trust Account; and (B) to redeem Parent Class A Stock in accordance with the provisions of Parent’s Charter Documents. There are no Legal Proceedings pending or, to the Knowledge of Parent, threatened in writing with respect to the Trust Account. Parent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Effective Time, the obligations of Parent to dissolve or liquidate pursuant to Parent’s Charter Documents shall terminate, and as of the Effective Time, Parent shall have no obligation whatsoever pursuant to Parent’s Charter Documents to dissolve and liquidate the assets of Parent by reason of the consummation of the transactions contemplated hereby. To the Knowledge of Parent, following the Effective Time, no stockholder of Parent shall be entitled to receive any amount from the Trust Account except to the extent such stockholder of Parent validly elects to redeem their shares of Parent Class A Stock. As of the date hereof, assuming the accuracy of the representations and warranties of the Company contained herein and the compliance by the Company with its obligations hereunder, neither Parent nor Merger Sub have any reason to believe that any of the conditions to the use of funds in the Trust Account will not be satisfied or funds available in the Trust Account will not be available to Parent and Merger Sub on the Closing Date.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8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material Tax Returns required to be filed by Parent have been timely filed (after giving effect to any valid extensions) and all such Tax Returns are true, correct and complete in all material respects.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Parent has paid all material amounts of its Taxes which are due and payable.</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14"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Parent has complied in all material respects with all Applicable Legal Requirements relating to withholding and remittance of all material amounts of Taxes and all material amounts of Taxes required by Applicable Legal Requirements to be withheld by Parent have been withheld and paid over to the appropriate Governmental Entity.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deficiency for any material amount of Taxes has been asserted or assessed by any Governmental Entity in writing against Parent (nor to the Knowledge of Parent is there any), which deficiency has not been paid or resolved. No material audit or other proceeding by any Governmental Entity is currently pending or threatened in writing against Parent with respect to any Taxes due from Parent.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are no Tax indemnification agreements or Tax sharing agreements under which Parent could be liable after the Closing Date for the Tax liability of any Person other than Parent or Merger Sub, except for customary agreements or arrangements with customers, vendors, lessors, lenders and the like or other similar agreements, in each case, that do not relate primarily to Taxes.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Parent has not consented to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83" w:lineRule="exact"/>
        <w:rPr>
          <w:rFonts w:ascii="Arial" w:cs="Arial" w:eastAsia="Arial" w:hAnsi="Arial"/>
          <w:sz w:val="18"/>
          <w:szCs w:val="18"/>
          <w:color w:val="auto"/>
        </w:rPr>
      </w:pPr>
    </w:p>
    <w:p>
      <w:pPr>
        <w:jc w:val="both"/>
        <w:ind w:firstLine="656"/>
        <w:spacing w:after="0" w:line="273" w:lineRule="auto"/>
        <w:tabs>
          <w:tab w:leader="none" w:pos="909" w:val="left"/>
        </w:tabs>
        <w:numPr>
          <w:ilvl w:val="0"/>
          <w:numId w:val="59"/>
        </w:numPr>
        <w:rPr>
          <w:rFonts w:ascii="Arial" w:cs="Arial" w:eastAsia="Arial" w:hAnsi="Arial"/>
          <w:sz w:val="17"/>
          <w:szCs w:val="17"/>
          <w:color w:val="auto"/>
        </w:rPr>
      </w:pPr>
      <w:r>
        <w:rPr>
          <w:rFonts w:ascii="Arial" w:cs="Arial" w:eastAsia="Arial" w:hAnsi="Arial"/>
          <w:sz w:val="17"/>
          <w:szCs w:val="17"/>
          <w:color w:val="auto"/>
        </w:rPr>
        <w:t>Parent will not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prior to the Closing; (ii) any change in method of accounting on or prior to the Closing, including by reason of the application of Section 481 of the Code (or any analogous provision of state, local or foreign Tax Legal Requirements); or (iii) any closing agreement pursuant to Section 7121 of the Code or any similar provision of state, local or foreign Tax Legal Requirements entered into prior to the Closing.</w:t>
      </w:r>
    </w:p>
    <w:p>
      <w:pPr>
        <w:spacing w:after="0" w:line="177" w:lineRule="exact"/>
        <w:rPr>
          <w:rFonts w:ascii="Arial" w:cs="Arial" w:eastAsia="Arial" w:hAnsi="Arial"/>
          <w:sz w:val="17"/>
          <w:szCs w:val="17"/>
          <w:color w:val="auto"/>
        </w:rPr>
      </w:pPr>
    </w:p>
    <w:p>
      <w:pPr>
        <w:ind w:left="900" w:hanging="24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are no liens for material amounts of Taxes (other than Permitted Liens) upon any of Parent’s assets.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48"/>
        <w:spacing w:after="0" w:line="273"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Parent for inclusion or incorporation by reference in the Proxy Statement will, at the date mailed to stockholders of Parent or at the time of the Special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makes no representation, warranty or covenant with respect to: (a) statements made or incorporated by reference therein based on information supplied by the Company or the Company Subsidiaries for inclusion or incorporation by reference in the Proxy Statement; or (b) any projections or forecasts included in the Proxy Statement.</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Employees; Benefit Plans</w:t>
      </w:r>
      <w:r>
        <w:rPr>
          <w:rFonts w:ascii="Arial" w:cs="Arial" w:eastAsia="Arial" w:hAnsi="Arial"/>
          <w:sz w:val="16"/>
          <w:szCs w:val="16"/>
          <w:color w:val="auto"/>
        </w:rPr>
        <w:t>. Other than any former officers or as described in the Parent SEC Reports, Parent has never had any employees. Other than reimbursement of any out-of-pocket expenses incurred by Parent’s officers and directors in connection with activities on Parent’s behalf in an aggregate amount not in excess of the amount of cash held by Parent outside of the Trust Account, Parent has no unsatisfied material liability with respect to any employee. Parent does not currently maintain or have any direct liability under any benefit plan, and neither the execution and delivery of this Agreement or the other Transaction Agreements nor the consummation of the Transactions will, either alone or in connection with any other event:</w:t>
      </w:r>
    </w:p>
    <w:p>
      <w:pPr>
        <w:spacing w:after="0" w:line="2" w:lineRule="exact"/>
        <w:rPr>
          <w:sz w:val="20"/>
          <w:szCs w:val="20"/>
          <w:color w:val="auto"/>
        </w:rPr>
      </w:pPr>
    </w:p>
    <w:p>
      <w:pPr>
        <w:jc w:val="both"/>
        <w:ind w:firstLine="8"/>
        <w:spacing w:after="0" w:line="255" w:lineRule="auto"/>
        <w:tabs>
          <w:tab w:leader="none" w:pos="251"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 in any payment (including severance, unemployment compensation, golden parachute, bonus or otherwise) becoming due to any director, officer or employee of Parent; (b) result in the acceleration of the time of payment or vesting of any such benefits; or (c) give rise to any “excess parachute payment” as defined in Section 280G(b)(1) of the Code or any excise tax owing under Section 4999 of the Code.</w:t>
      </w:r>
    </w:p>
    <w:p>
      <w:pPr>
        <w:spacing w:after="0" w:line="19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u w:val="single" w:color="auto"/>
          <w:color w:val="auto"/>
        </w:rPr>
        <w:t>Board Approval; Stockholder Vote</w:t>
      </w:r>
      <w:r>
        <w:rPr>
          <w:rFonts w:ascii="Arial" w:cs="Arial" w:eastAsia="Arial" w:hAnsi="Arial"/>
          <w:sz w:val="16"/>
          <w:szCs w:val="16"/>
          <w:color w:val="auto"/>
        </w:rPr>
        <w:t>. The board of directors of Parent and Merger Sub (including any required committee or subgroup of the board of directors of Parent or Merger Sub, as applicable), as of the date of this Agreement, unanimously: (a) approved and declared the advisability of this Agreement, the other Transaction Agreements and the consummation of the Transactions; and (b) determined that the consummation of the Transactions is in the best interest of, as applicable, the stockholders of Parent or Merger Sub (as applicable). Other than the approval of the Parent Stockholder Matters, no other corporate proceedings on the part of Parent are necessary to approve the consummation of the Transactions.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Title to Assets</w:t>
      </w:r>
      <w:r>
        <w:rPr>
          <w:rFonts w:ascii="Arial" w:cs="Arial" w:eastAsia="Arial" w:hAnsi="Arial"/>
          <w:sz w:val="18"/>
          <w:szCs w:val="18"/>
          <w:color w:val="auto"/>
        </w:rPr>
        <w:t>. Subject to the restrictions on use of the Trust Account set forth in the Trust Agreement, Parent owns good and marketable title to, or holds a valid leasehold interest in, or a valid license to use, all of the assets used by Parent in the operation of its business and which are material to Parent, free and clear of any Liens (other than Permitted Liens).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Affiliate Transactions</w:t>
      </w:r>
      <w:r>
        <w:rPr>
          <w:rFonts w:ascii="Arial" w:cs="Arial" w:eastAsia="Arial" w:hAnsi="Arial"/>
          <w:sz w:val="17"/>
          <w:szCs w:val="17"/>
          <w:color w:val="auto"/>
        </w:rPr>
        <w:t>. Except as described in the Parent SEC Reports, no Contract between Parent, on the one hand, and any of the present or former directors, officers, employees, stockholders or warrant holders or Affiliates of Parent (or an immediate family member of any of the foregoing), on the other hand, will continue in effect following the Closing, other than any such Contract that is not material to Parent.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Brokers</w:t>
      </w:r>
      <w:r>
        <w:rPr>
          <w:rFonts w:ascii="Arial" w:cs="Arial" w:eastAsia="Arial" w:hAnsi="Arial"/>
          <w:sz w:val="18"/>
          <w:szCs w:val="18"/>
          <w:color w:val="auto"/>
        </w:rPr>
        <w:t>. Other than fees or commissions for which Parent will be solely responsible, none of Parent, Merger Sub, or any of their respective Affiliates, including Sponsor, has any liability or obligation to pay, or is entitled to receive, any fees or commissions to any broker, finder or agent with respect to the Transactions.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648"/>
        <w:spacing w:after="0" w:line="265" w:lineRule="auto"/>
        <w:rPr>
          <w:sz w:val="20"/>
          <w:szCs w:val="20"/>
          <w:color w:val="auto"/>
        </w:rPr>
      </w:pPr>
      <w:r>
        <w:rPr>
          <w:rFonts w:ascii="Arial" w:cs="Arial" w:eastAsia="Arial" w:hAnsi="Arial"/>
          <w:sz w:val="17"/>
          <w:szCs w:val="17"/>
          <w:color w:val="auto"/>
        </w:rPr>
        <w:t xml:space="preserve">Section 5.22 </w:t>
      </w:r>
      <w:r>
        <w:rPr>
          <w:rFonts w:ascii="Arial" w:cs="Arial" w:eastAsia="Arial" w:hAnsi="Arial"/>
          <w:sz w:val="17"/>
          <w:szCs w:val="17"/>
          <w:u w:val="single" w:color="auto"/>
          <w:color w:val="auto"/>
        </w:rPr>
        <w:t>Disclaimer of Other Warranties</w:t>
      </w:r>
      <w:r>
        <w:rPr>
          <w:rFonts w:ascii="Arial" w:cs="Arial" w:eastAsia="Arial" w:hAnsi="Arial"/>
          <w:sz w:val="17"/>
          <w:szCs w:val="17"/>
          <w:color w:val="auto"/>
        </w:rPr>
        <w:t xml:space="preserve">. PARENT AND MERGER SUB HEREBY ACKNOWLEDGE THAT, (x) NONE OF ISMMS OR ANY OTHER MSHS ENTITY, OR (y) EXCEPT AS EXPRESSLY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NONE OF THE COMPANY, ANY OF ITS SUBSIDIARIES OR ANY OF THEIR RESPECTIVE AFFILIATES OR REPRESENTATIVES HAS MADE, IS MAKING, OR SHALL BE DEEMED TO MAKE ANY REPRESENTATION OR WARRANTY WHATSOEVER, EXPRESS OR IMPLIED, AT LAW OR IN EQUITY, TO PARENT, MERGER SUB, ANY OF THEIR RESPECTIVE AFFILIATES OR REPRESENTATIVES OR ANY OTHER PERSON, WITH RESPECT TO THE COMPANY STOCKHOLDERS (OR ANY HOLDER OF DERIVATIVE SECURITIES OF THE COMPANY), ANY OF THE GROUP COMPANIES OR ANY OF THE DIRECTORS, OFFICERS, EMPLOYEES,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ISMMS OR ANY OTHER MSHS ENTITY OR THE COMPANY, ANY OF ITS SUBSIDIARIES OR ANY OF THEIR RESPECTIVE AFFILIATES OR REPRESENTATIVES SHALL BE DEEMED TO MAKE TO PARENT, MERGER SUB, OR THEIR RESPECTIVE AFFILIATES OR REPRESENTATIVES ANY REPRESENTATION OR WARRANTY WHATSOEVER OTHER THAN SOLELY IN THE CASE OF THE COMPANY AS EXPRESSLY MADE BY THE COMPANY TO PARENT AND MERGER SUB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(b) NONE OF THE COMPANY NOR ANY OF ITS SUBSIDIARIES, NOR THEIR RESPECTIVE AFFILIATES OR REPRESENTATIVES, HAS MADE, IS MAKING, OR SHALL BE DEEMED TO MAKE TO PARENT, MERGER SUB, OR THEIR RESPECTIVE AFFILIATES OR REPRESENTATIVES OR ANY OTHER PERSON ANY REPRESENTATION OR WARRANTY, EXPRESS OR IMPLIED, WITH RESPECT TO: (i) THE INFORMATION DISTRIBUTED OR MADE AVAILABLE TO PARENT OR ITS REPRESENTATIVES BY OR ON BEHALF OF THE COMPANY IN CONNECTION WITH THIS AGREEMENT AND THE TRANSACTIONS; (ii) ANY MANAGEMENT PRESENTATION, CONFIDENTIAL INFORMATION MEMORANDUM OR SIMILAR DOCUMENT; OR (iii) ANY FINANCIAL PROJECTION, FORECAST, ESTIMATE, BUDGET OR SIMILAR ITEM RELATING TO THE COMPANY, ANY OF ITS SUBSIDIARIES AND/OR THE BUSINESS, ASSETS, LIABILITIES, PROPERTIES, FINANCIAL CONDITION, RESULTS OF OPERATIONS AND PROJECTED OPERATIONS OF THE FOREGOING. EACH OF PARENT AND MERGER SUB HEREBY ACKNOWLEDGES THAT IT HAS NOT RELIED ON ANY PROMISE, REPRESENTATION OR WARRANTY THAT IS NOT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EACH OF PARENT AND MERGER SUB ACKNOWLEDGES THAT IT HAS CONDUCTED, TO ITS SATISFACTION, AN INDEPENDENT INVESTIGATION AND VERIFICATION OF THE COMPANY, ITS SUBSIDIARIES AND THE BUSINESS, ASSETS, LIABILITIES, PROPERTIES, FINANCIAL CONDITION, RESULTS OF OPERATIONS AND PROJECTED OPERATIONS OF THE FOREGOING AND, IN MAKING ITS DETERMINATION TO PROCEED WITH THE TRANSACTIONS, EACH OF PARENT AND MERGER SUB HAS RELIED ON THE RESULTS OF ITS OWN INDEPENDENT INVESTIGATION AND VERIFICATION, IN ADDITION TO THE REPRESENTATIONS AND WARRANTIES OF THE COMPANY EXPRESSLY AND SPECIFICALLY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NOTWITHSTANDING ANYTHING TO THE CONTRARY IN THIS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CLAIMS AGAINST THE COMPANY OR ANY OTHER PERSON SHALL NOT BE LIMITED IN ANY RESPECT IN THE EVENT OF INTENTIONAL FRAUD IN THE MAKING THE OF THE REPRESENTATIONS AND WARRANTIES IN </w:t>
      </w:r>
      <w:r>
        <w:rPr>
          <w:rFonts w:ascii="Arial" w:cs="Arial" w:eastAsia="Arial" w:hAnsi="Arial"/>
          <w:sz w:val="17"/>
          <w:szCs w:val="17"/>
          <w:u w:val="single" w:color="auto"/>
          <w:color w:val="auto"/>
        </w:rPr>
        <w:t>Article IV</w:t>
      </w:r>
      <w:r>
        <w:rPr>
          <w:rFonts w:ascii="Arial" w:cs="Arial" w:eastAsia="Arial" w:hAnsi="Arial"/>
          <w:sz w:val="17"/>
          <w:szCs w:val="17"/>
          <w:color w:val="auto"/>
        </w:rPr>
        <w:t>, BY SUCH PERSON. PARENT AND MERGER SUB HEREBY ACKNOWLEDGE THAT:</w:t>
      </w:r>
    </w:p>
    <w:p>
      <w:pPr>
        <w:spacing w:after="0" w:line="19" w:lineRule="exact"/>
        <w:rPr>
          <w:sz w:val="20"/>
          <w:szCs w:val="20"/>
          <w:color w:val="auto"/>
        </w:rPr>
      </w:pPr>
    </w:p>
    <w:p>
      <w:pPr>
        <w:jc w:val="both"/>
        <w:ind w:firstLine="8"/>
        <w:spacing w:after="0" w:line="251" w:lineRule="auto"/>
        <w:tabs>
          <w:tab w:leader="none" w:pos="3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ISSMS DOES NOT CONTROL OR DIRECT THE BUSINESS OF THE COMPANY AND DOES NOT HAVE OR EXERCISE THE POWER TO DIRECT OR CAUSE THE DIRECTION OF THE MANAGEMENT OR POLICIES OF THE COMPANY; (B) THAT ANY OFFICER OF THE COMPANY WHO MAY ALSO HOLD A POSITION WITH ISMMS ACTS SOLELY AT THE DIRECTION AND INSTRUCTION OF THE COMPANY IN HIS/HER CAPACITY AS AN OFFICER OF THE COMPANY AND THAT ISMMS DOES NOT DIRECT OR INSTRUCT THE ACTIONS OF SUCH OFFICER OF THE COMPANY IN SUCH CAPACITY; AND (C) THAT TO THE EXTENT THAT ANY REPRESENTATION OR WARRANTY OF THE COMPANY IS MADE “TO THE KNOWLEDGE” OF THE COMPANY AND THE KNOWLEDGE OF AN OFFICER OF THE COMPANY IS IMPUTED TO THE COMPANY FOR SUCH PURPOSE, AND TO THE EXTENT THAT SUCH OFFICER MAY ALSO HOLD A POSITION WITH ISMMS, THE KNOWLEDGE OF SUCH OFFICER FOR PURPOSES OF SUCH REPRESENTATION OR WARRANTY IS LIMITED TO THE KNOWLEDGE OF SUCH OFFICER IN HIS/HER CAPACITY AS AN OFFICER OF THE COMPANY AND NOT IN THE CAPACITY OF SUCH OFFICER IN HIS/HER POSITION WITH ISMMS.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CONDUCT PRIOR TO THE CLOSING DATE</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Conduct of Business by the Company and the Company Subsidiaries</w:t>
      </w:r>
      <w:r>
        <w:rPr>
          <w:rFonts w:ascii="Arial" w:cs="Arial" w:eastAsia="Arial" w:hAnsi="Arial"/>
          <w:sz w:val="16"/>
          <w:szCs w:val="16"/>
          <w:color w:val="auto"/>
        </w:rPr>
        <w:t xml:space="preserve">. During the period from the date of this Agreement and continuing until the earlier of the termination of this Agreement pursuant to its terms or the Closing, the Company shall, and shall cause the Company Subsidiaries to, use its commercially reasonable efforts to carry on its business in the ordinary course, except: (a) to the extent that Parent shall otherwise consent in writing (such consent not to be unreasonably withheld, conditioned or delayed); (b) as expressly contemplated by this Agreement or the Company Disclosure Letter or (c) as may be required by Applicable Legal Requirements (including Pandemic Measures). Without limiting the generality of the foregoing, except as required or expressly permitted by the terms of this Agreement, as set forth 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of the Company Disclosure Letter, or as required by Applicable Legal Requirements (including Pandemic Measures), without the prior written consent of Parent (such consent not to be unreasonably withheld, conditioned or delayed), during the period from the date of this Agreement and continuing until the earlier of the termination of this Agreement pursuant to its terms or the Closing, the Company shall not, and shall cause the Company Subsidiaries not to, do any of the following:</w:t>
      </w:r>
    </w:p>
    <w:p>
      <w:pPr>
        <w:spacing w:after="0" w:line="166" w:lineRule="exact"/>
        <w:rPr>
          <w:sz w:val="20"/>
          <w:szCs w:val="20"/>
          <w:color w:val="auto"/>
        </w:rPr>
      </w:pPr>
    </w:p>
    <w:p>
      <w:pPr>
        <w:jc w:val="both"/>
        <w:ind w:firstLine="656"/>
        <w:spacing w:after="0" w:line="269" w:lineRule="auto"/>
        <w:tabs>
          <w:tab w:leader="none" w:pos="903"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as otherwise required by any existing Company Benefit Plan, this Agreement or Applicable Legal Requirements: (i) increase or grant any increase in the compensation, bonus, fringe or other benefits of, or pay, grant or promise any bonus to, any current or former employee, director or independent contractor except for any such Person with an annual base salary or wage rate of less than $350,000 in the ordinary course of business;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Company Benefit Plan or any employee benefit plan, policy, program, agreement, trust or arrangement that would have constituted an Company Benefit Plan if it had been in effect on the date of this Agreement (other than annual renewal of welfare plans in the ordinary course of business that does not result in a material increase in cost to the Group Companies); (iv) take any action to accelerate the vesting or payment of, or otherwise fund or secure the payment of, any compensation or benefits under any Company Benefit Plan; (v) grant any equity or equity-based compensation awards; or (vi) terminate any employee or independent contractor (other than for cause), if such terminated employee or consultant receives, annual base compensation (or annual base wages or fees) in excess of $350,000; or (vii) enter into, amend or terminate any collective bargaining agreement or other agreement with a labor union, works council or similar organization respecting employees of the Group Companies;</w:t>
      </w:r>
    </w:p>
    <w:p>
      <w:pPr>
        <w:spacing w:after="0" w:line="178" w:lineRule="exact"/>
        <w:rPr>
          <w:rFonts w:ascii="Arial" w:cs="Arial" w:eastAsia="Arial" w:hAnsi="Arial"/>
          <w:sz w:val="17"/>
          <w:szCs w:val="17"/>
          <w:color w:val="auto"/>
        </w:rPr>
      </w:pPr>
    </w:p>
    <w:p>
      <w:pPr>
        <w:jc w:val="both"/>
        <w:ind w:firstLine="656"/>
        <w:spacing w:after="0" w:line="270" w:lineRule="auto"/>
        <w:tabs>
          <w:tab w:leader="none" w:pos="913"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(i) transfer, sell, assign, license, sublicense, encumber, impair, abandon, fail to diligently maintain, transfer or otherwise dispose of any right, title or interest of the Company in any Owned Intellectual Property or Licensed Intellectual Property, in each case, that is material to any of the businesses of the Group Companies; (ii) extend, amend, waive, cancel or modify any material rights in or to any Owned Intellectual Property or Licensed Intellectual Property, in each case, that is material to any business of the Group Companies; (iii) fail to diligently prosecute the Patent applications owned by the Company other than applications the Company, in the exercise of its good faith business judgment, has determined to abandon; or (iv) divulge, furnish to or make accessible any Trade Secrets constituting material Owned Intellectual Property or any Trade Secrets of any Person to whom any Group Company has a confidentiality obligation to any third party who is not subject to an enforceable written agreement to maintain the confidentiality of such Trade Secrets, other than, in each of (i) through (iv),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Company license on an exclusive basis or sell any material Owned Intellectual Property;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56"/>
        <w:spacing w:after="0" w:line="268" w:lineRule="auto"/>
        <w:tabs>
          <w:tab w:leader="none" w:pos="914"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except for transactions solely among the Group Companies: (i)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Group Company, other than pursuant to the terms of a Company Option;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Group Company, other than the Earn-Out RSUs issued in accordance with </w:t>
      </w:r>
      <w:r>
        <w:rPr>
          <w:rFonts w:ascii="Arial" w:cs="Arial" w:eastAsia="Arial" w:hAnsi="Arial"/>
          <w:sz w:val="17"/>
          <w:szCs w:val="17"/>
          <w:u w:val="single" w:color="auto"/>
          <w:color w:val="auto"/>
        </w:rPr>
        <w:t>Section 3.4</w:t>
      </w:r>
      <w:r>
        <w:rPr>
          <w:rFonts w:ascii="Arial" w:cs="Arial" w:eastAsia="Arial" w:hAnsi="Arial"/>
          <w:sz w:val="17"/>
          <w:szCs w:val="17"/>
          <w:color w:val="auto"/>
        </w:rPr>
        <w:t>; (iv) declare, set aside or pay any dividend or make any other distribution; or (v) 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186" w:lineRule="exact"/>
        <w:rPr>
          <w:rFonts w:ascii="Arial" w:cs="Arial" w:eastAsia="Arial" w:hAnsi="Arial"/>
          <w:sz w:val="17"/>
          <w:szCs w:val="17"/>
          <w:color w:val="auto"/>
        </w:rPr>
      </w:pPr>
    </w:p>
    <w:p>
      <w:pPr>
        <w:ind w:left="920" w:hanging="264"/>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amend its Charter Documents, or form or establish any Subsidiary;</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merge, consolidate or combine with any Person; or (ii) acquire or agree to acquire by merging or consolidating with, purchasing any equity interest in or a substantial portion of the assets of, or by any other manner, any business or any corporation, partnership, association or other business organization or division thereof;</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sell, lease, license, sublicense, abandon, divest, transfer, cancel, abandon or permit to lapse or expire, dedicate to the public, or otherwise dispose of, any material assets (other than Intellectual Property) or material properties, other than any sale, lease or disposition in the ordinary course of business or as set forth on </w:t>
      </w:r>
      <w:r>
        <w:rPr>
          <w:rFonts w:ascii="Arial" w:cs="Arial" w:eastAsia="Arial" w:hAnsi="Arial"/>
          <w:sz w:val="18"/>
          <w:szCs w:val="18"/>
          <w:u w:val="single" w:color="auto"/>
          <w:color w:val="auto"/>
        </w:rPr>
        <w:t>Schedule 6.1(f)</w:t>
      </w:r>
      <w:r>
        <w:rPr>
          <w:rFonts w:ascii="Arial" w:cs="Arial" w:eastAsia="Arial" w:hAnsi="Arial"/>
          <w:sz w:val="18"/>
          <w:szCs w:val="18"/>
          <w:color w:val="auto"/>
        </w:rPr>
        <w:t xml:space="preserve"> of the Company Disclosure Letter;</w:t>
      </w:r>
    </w:p>
    <w:p>
      <w:pPr>
        <w:spacing w:after="0" w:line="183" w:lineRule="exact"/>
        <w:rPr>
          <w:rFonts w:ascii="Arial" w:cs="Arial" w:eastAsia="Arial" w:hAnsi="Arial"/>
          <w:sz w:val="18"/>
          <w:szCs w:val="18"/>
          <w:color w:val="auto"/>
        </w:rPr>
      </w:pPr>
    </w:p>
    <w:p>
      <w:pPr>
        <w:jc w:val="both"/>
        <w:ind w:firstLine="656"/>
        <w:spacing w:after="0" w:line="270" w:lineRule="auto"/>
        <w:tabs>
          <w:tab w:leader="none" w:pos="912"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 issue or sell any debt securities or rights to acquire any debt securities of any of the Group Companies or guarantee any debt securities of another Person; (ii) make, incur, create or assume any loans, advances or capital contributions to, or investments in, or guarantee any Indebtedness of, any Person other than any of the Group Companies except for (A) loans, advances or capital contributions pursuant to and in accordance with the terms of agreements or legal obligations existing as of the date of this Agreement, in each case set forth on </w:t>
      </w:r>
      <w:r>
        <w:rPr>
          <w:rFonts w:ascii="Arial" w:cs="Arial" w:eastAsia="Arial" w:hAnsi="Arial"/>
          <w:sz w:val="17"/>
          <w:szCs w:val="17"/>
          <w:u w:val="single" w:color="auto"/>
          <w:color w:val="auto"/>
        </w:rPr>
        <w:t>Schedule 6.1(g)</w:t>
      </w:r>
      <w:r>
        <w:rPr>
          <w:rFonts w:ascii="Arial" w:cs="Arial" w:eastAsia="Arial" w:hAnsi="Arial"/>
          <w:sz w:val="17"/>
          <w:szCs w:val="17"/>
          <w:color w:val="auto"/>
        </w:rPr>
        <w:t xml:space="preserve"> of the Company Disclosure Letter;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amounts do not exceed $250,000 in the aggregate and remain with the Company for general working capital expenditures in the ordinary course of business and (B) equipment financing arrangements entered into in the ordinary course of business; (iii) except in the ordinary course of business, create any material Liens on any material property or assets of any of the Group Companies in connection with any Indebtedness thereof (other than Permitted Liens); (iv) cancel or forgive any Indebtedness owed to any of the Group Companies; or (v) make, incur or commit to make or incur any capital expenditures, other than in the ordinary course of business;</w:t>
      </w:r>
    </w:p>
    <w:p>
      <w:pPr>
        <w:spacing w:after="0" w:line="180" w:lineRule="exact"/>
        <w:rPr>
          <w:rFonts w:ascii="Arial" w:cs="Arial" w:eastAsia="Arial" w:hAnsi="Arial"/>
          <w:sz w:val="17"/>
          <w:szCs w:val="17"/>
          <w:color w:val="auto"/>
        </w:rPr>
      </w:pPr>
    </w:p>
    <w:p>
      <w:pPr>
        <w:ind w:left="920" w:hanging="264"/>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release, assign, compromise, settle or agree to settle any Legal Proceeding material to the Group Companies, taken as a whole;</w:t>
      </w:r>
    </w:p>
    <w:p>
      <w:pPr>
        <w:spacing w:after="0" w:line="225" w:lineRule="exact"/>
        <w:rPr>
          <w:rFonts w:ascii="Arial" w:cs="Arial" w:eastAsia="Arial" w:hAnsi="Arial"/>
          <w:sz w:val="18"/>
          <w:szCs w:val="18"/>
          <w:color w:val="auto"/>
        </w:rPr>
      </w:pPr>
    </w:p>
    <w:p>
      <w:pPr>
        <w:jc w:val="both"/>
        <w:ind w:firstLine="656"/>
        <w:spacing w:after="0" w:line="279" w:lineRule="auto"/>
        <w:tabs>
          <w:tab w:leader="none" w:pos="874"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except in the ordinary course of business: (i) enter into any Contract that would have been a Company Material Contract or Material Current Government Contract (other than pursuant to offers, bids or proposals made by any Group Company on or prior to the date hereof that, if accepted, would result in a Government Contract) had it been entered into prior to the date of this Agreement or (ii) waive, delay the exercise of, release or assign any material rights or claims under any Company Material Contract or Material Current Government Contract;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656"/>
        <w:spacing w:after="0" w:line="259" w:lineRule="auto"/>
        <w:tabs>
          <w:tab w:leader="none" w:pos="863" w:val="left"/>
        </w:tabs>
        <w:numPr>
          <w:ilvl w:val="1"/>
          <w:numId w:val="64"/>
        </w:numPr>
        <w:rPr>
          <w:rFonts w:ascii="Arial" w:cs="Arial" w:eastAsia="Arial" w:hAnsi="Arial"/>
          <w:sz w:val="18"/>
          <w:szCs w:val="18"/>
          <w:color w:val="auto"/>
        </w:rPr>
      </w:pPr>
      <w:r>
        <w:rPr>
          <w:rFonts w:ascii="Arial" w:cs="Arial" w:eastAsia="Arial" w:hAnsi="Arial"/>
          <w:sz w:val="18"/>
          <w:szCs w:val="18"/>
          <w:color w:val="auto"/>
        </w:rPr>
        <w:t>modify, amend or terminate in a manner that is materially adverse to the applicable Group Companies, taken as a whole, any Company Material Contract or Material Current Government Contract (other than pursuant to (i) offers, bids or proposals made by any Group Company on or prior to the date hereof that, if accepted, would result in a Government Contract or (ii) requirements from any Governmental Entity to modify the scope of work under any Government Contract);</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incur or enter into a Contract requiring the Company to make any capital expenditures in excess of $250,000 in any 12-month period;</w:t>
      </w:r>
    </w:p>
    <w:p>
      <w:pPr>
        <w:spacing w:after="0" w:line="236" w:lineRule="exact"/>
        <w:rPr>
          <w:rFonts w:ascii="Arial" w:cs="Arial" w:eastAsia="Arial" w:hAnsi="Arial"/>
          <w:sz w:val="17"/>
          <w:szCs w:val="17"/>
          <w:color w:val="auto"/>
        </w:rPr>
      </w:pPr>
    </w:p>
    <w:p>
      <w:pPr>
        <w:ind w:right="20" w:firstLine="656"/>
        <w:spacing w:after="0" w:line="277" w:lineRule="auto"/>
        <w:tabs>
          <w:tab w:leader="none" w:pos="8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except as required by U.S. GAAP (or any interpretation thereof) or Applicable Legal Requirements, make any change in accounting methods, principles or practices;</w:t>
      </w:r>
    </w:p>
    <w:p>
      <w:pPr>
        <w:spacing w:after="0" w:line="170" w:lineRule="exact"/>
        <w:rPr>
          <w:rFonts w:ascii="Arial" w:cs="Arial" w:eastAsia="Arial" w:hAnsi="Arial"/>
          <w:sz w:val="18"/>
          <w:szCs w:val="18"/>
          <w:color w:val="auto"/>
        </w:rPr>
      </w:pPr>
    </w:p>
    <w:p>
      <w:pPr>
        <w:jc w:val="both"/>
        <w:ind w:firstLine="656"/>
        <w:spacing w:after="0" w:line="287" w:lineRule="auto"/>
        <w:tabs>
          <w:tab w:leader="none" w:pos="9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(i) make or rescind any material Tax election; (ii) settle or compromise any material Tax claim; (iii) change (or request to change) any method of accounting for Tax purposes; (iv) file any amendment to an material Tax Return; (v) waive or extend any statute of limitations in respect of a period within which an assessment or reassessment of material Taxes may be issued (other than any extension pursuant to an extension to file any Tax Return);</w:t>
      </w:r>
    </w:p>
    <w:p>
      <w:pPr>
        <w:spacing w:after="0" w:line="2" w:lineRule="exact"/>
        <w:rPr>
          <w:rFonts w:ascii="Arial" w:cs="Arial" w:eastAsia="Arial" w:hAnsi="Arial"/>
          <w:sz w:val="16"/>
          <w:szCs w:val="16"/>
          <w:color w:val="auto"/>
        </w:rPr>
      </w:pPr>
    </w:p>
    <w:p>
      <w:pPr>
        <w:jc w:val="both"/>
        <w:ind w:firstLine="8"/>
        <w:spacing w:after="0" w:line="271" w:lineRule="auto"/>
        <w:tabs>
          <w:tab w:leader="none" w:pos="321" w:val="left"/>
        </w:tabs>
        <w:numPr>
          <w:ilvl w:val="0"/>
          <w:numId w:val="65"/>
        </w:numPr>
        <w:rPr>
          <w:rFonts w:ascii="Arial" w:cs="Arial" w:eastAsia="Arial" w:hAnsi="Arial"/>
          <w:sz w:val="17"/>
          <w:szCs w:val="17"/>
          <w:color w:val="auto"/>
        </w:rPr>
      </w:pPr>
      <w:r>
        <w:rPr>
          <w:rFonts w:ascii="Arial" w:cs="Arial" w:eastAsia="Arial" w:hAnsi="Arial"/>
          <w:sz w:val="17"/>
          <w:szCs w:val="17"/>
          <w:color w:val="auto"/>
        </w:rPr>
        <w:t>knowingly surrender any claim for a refund of Taxes; or (vii) enter into any “closing agreement” as described in Section 7121 of the Code (or any similar Legal Requirement) with any Governmental Entity; (viii) incur any liability for Taxes other than in the ordinary course of business; (ix) prepare any Tax Return in a manner inconsistent with past practice;(x) take any action or fail to take any action that would reasonably be expected to prevent, impair or impede the Intended Tax Treatment; or (xi) authorize, recommend, propose or announce an intention to adopt a plan of complete or partial liquidation, restructuring, recapitalization, dissolution or winding-up of the Company or any Company Subsidiary;</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07"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subject to clause (c) above, enter into or amend any agreement with, or pay, distribute or advance any assets or property to, any of its officers, directors, employees, partners, stockholders or other Affiliates, other than payments or distributions relating to obligations in respect of arms-length commercial transactions pursuant to the agreements set forth on </w:t>
      </w:r>
      <w:r>
        <w:rPr>
          <w:rFonts w:ascii="Arial" w:cs="Arial" w:eastAsia="Arial" w:hAnsi="Arial"/>
          <w:sz w:val="18"/>
          <w:szCs w:val="18"/>
          <w:u w:val="single" w:color="auto"/>
          <w:color w:val="auto"/>
        </w:rPr>
        <w:t>Schedule 6.1(n)</w:t>
      </w:r>
      <w:r>
        <w:rPr>
          <w:rFonts w:ascii="Arial" w:cs="Arial" w:eastAsia="Arial" w:hAnsi="Arial"/>
          <w:sz w:val="18"/>
          <w:szCs w:val="18"/>
          <w:color w:val="auto"/>
        </w:rPr>
        <w:t xml:space="preserve"> of the Company Disclosure Letter as existing on the date of this Agreement;</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engage in any material new line of business;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agree in writing or otherwise agree, commit or resolve to take any of the actions described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above.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to the contrary herein, the Company may, in connection with COVID-19, take such actions in good faith as are reasonably necessary (x) to protect the health and safety of the Company’s employees and other individuals having business dealings with the Company or</w:t>
      </w:r>
    </w:p>
    <w:p>
      <w:pPr>
        <w:jc w:val="both"/>
        <w:ind w:firstLine="8"/>
        <w:spacing w:after="0" w:line="292" w:lineRule="auto"/>
        <w:tabs>
          <w:tab w:leader="none" w:pos="26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to respond to third-party supply or service disruptions caused by COVID-19, including, but not limited to Pandemic Measures, and any such actions taken (or not taken) as a result of, in response to, or otherwise related to COVID-19 shall be deemed to be taken in the “ordinary course of business” for all purposes of this Section 6.01 and not be considered a breach of this Section 6.01;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Company took any actions pursuant to the immediately preceding clause that caused deviations from its business being conducted in the ordinary course of business, the Company shall resume conducting its business in the ordinary course of business in all material respects as soon as reasonably practicable.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263" w:lineRule="auto"/>
        <w:rPr>
          <w:sz w:val="20"/>
          <w:szCs w:val="20"/>
          <w:color w:val="auto"/>
        </w:rPr>
      </w:pPr>
      <w:r>
        <w:rPr>
          <w:rFonts w:ascii="Arial" w:cs="Arial" w:eastAsia="Arial" w:hAnsi="Arial"/>
          <w:sz w:val="18"/>
          <w:szCs w:val="18"/>
          <w:color w:val="auto"/>
        </w:rPr>
        <w:t>Nothing contained in this Agreement shall give Parent, directly or indirectly, any right to control or direct the operations of the Group Companies prior to the Closing. Prior to the Closing, each of the Company and Parent shall exercise, consistent with the other terms and conditions of this Agreement, complete control and supervision over their respective businesses.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Conduct of Business by Parent and Merger Sub</w:t>
      </w:r>
      <w:r>
        <w:rPr>
          <w:rFonts w:ascii="Arial" w:cs="Arial" w:eastAsia="Arial" w:hAnsi="Arial"/>
          <w:sz w:val="18"/>
          <w:szCs w:val="18"/>
          <w:color w:val="auto"/>
        </w:rPr>
        <w:t>. During the period from the date of this Agreement and continuing until the earlier of the termination of this Agreement pursuant to its terms or the Closing, Parent shall, and shall cause its Subsidiaries to, use its commercially reasonable efforts to carry on its business in the ordinary course, except to the extent that the Company shall otherwise consent in writing or as contemplated by this Agreement (including as contemplated by the Equity Financing Agreements). Without limiting the generality of the foregoing, except as required or permitted by the terms of this Agreement or as required by Applicable Legal Requirements (including Pandemic Measures), without the prior written consent of the Company (such consent not to be unreasonably withheld, conditioned or delayed), during the period from the date of this Agreement and continuing until the earlier of the termination of this Agreement pursuant to its terms or the Closing, Parent shall not, and shall cause its Subsidiaries not to, do any of the following:</w:t>
      </w:r>
    </w:p>
    <w:p>
      <w:pPr>
        <w:spacing w:after="0" w:line="192" w:lineRule="exact"/>
        <w:rPr>
          <w:sz w:val="20"/>
          <w:szCs w:val="20"/>
          <w:color w:val="auto"/>
        </w:rPr>
      </w:pPr>
    </w:p>
    <w:p>
      <w:pPr>
        <w:jc w:val="both"/>
        <w:ind w:firstLine="656"/>
        <w:spacing w:after="0" w:line="286" w:lineRule="auto"/>
        <w:tabs>
          <w:tab w:leader="none" w:pos="902"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declare, set aside or pay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equity securities of Parent or any of its Subsidiaries;</w:t>
      </w:r>
    </w:p>
    <w:p>
      <w:pPr>
        <w:spacing w:after="0" w:line="225" w:lineRule="exact"/>
        <w:rPr>
          <w:rFonts w:ascii="Arial" w:cs="Arial" w:eastAsia="Arial" w:hAnsi="Arial"/>
          <w:sz w:val="18"/>
          <w:szCs w:val="18"/>
          <w:color w:val="auto"/>
        </w:rPr>
      </w:pPr>
    </w:p>
    <w:p>
      <w:pPr>
        <w:jc w:val="both"/>
        <w:ind w:firstLine="656"/>
        <w:spacing w:after="0" w:line="275" w:lineRule="auto"/>
        <w:tabs>
          <w:tab w:leader="none" w:pos="895" w:val="left"/>
        </w:tabs>
        <w:numPr>
          <w:ilvl w:val="0"/>
          <w:numId w:val="67"/>
        </w:numPr>
        <w:rPr>
          <w:rFonts w:ascii="Arial" w:cs="Arial" w:eastAsia="Arial" w:hAnsi="Arial"/>
          <w:sz w:val="17"/>
          <w:szCs w:val="17"/>
          <w:color w:val="auto"/>
        </w:rPr>
      </w:pPr>
      <w:r>
        <w:rPr>
          <w:rFonts w:ascii="Arial" w:cs="Arial" w:eastAsia="Arial" w:hAnsi="Arial"/>
          <w:sz w:val="17"/>
          <w:szCs w:val="17"/>
          <w:color w:val="auto"/>
        </w:rPr>
        <w:t>other than in connection with the Equity Financing Agreements,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76" w:lineRule="exact"/>
        <w:rPr>
          <w:rFonts w:ascii="Arial" w:cs="Arial" w:eastAsia="Arial" w:hAnsi="Arial"/>
          <w:sz w:val="17"/>
          <w:szCs w:val="17"/>
          <w:color w:val="auto"/>
        </w:rPr>
      </w:pPr>
    </w:p>
    <w:p>
      <w:pPr>
        <w:ind w:left="920" w:hanging="264"/>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amend its Charter Documents or form or establish any Subsidiary;</w:t>
      </w:r>
    </w:p>
    <w:p>
      <w:pPr>
        <w:spacing w:after="0" w:line="225" w:lineRule="exact"/>
        <w:rPr>
          <w:rFonts w:ascii="Arial" w:cs="Arial" w:eastAsia="Arial" w:hAnsi="Arial"/>
          <w:sz w:val="18"/>
          <w:szCs w:val="18"/>
          <w:color w:val="auto"/>
        </w:rPr>
      </w:pPr>
    </w:p>
    <w:p>
      <w:pPr>
        <w:jc w:val="both"/>
        <w:ind w:firstLine="656"/>
        <w:spacing w:after="0" w:line="311"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merge, consolidate or combine with any Person; or (ii) 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148" w:lineRule="exact"/>
        <w:rPr>
          <w:rFonts w:ascii="Arial" w:cs="Arial" w:eastAsia="Arial" w:hAnsi="Arial"/>
          <w:sz w:val="16"/>
          <w:szCs w:val="16"/>
          <w:color w:val="auto"/>
        </w:rPr>
      </w:pPr>
    </w:p>
    <w:p>
      <w:pPr>
        <w:jc w:val="both"/>
        <w:ind w:firstLine="656"/>
        <w:spacing w:after="0" w:line="311" w:lineRule="auto"/>
        <w:tabs>
          <w:tab w:leader="none" w:pos="879"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incur any Indebtedness or guarantee any such Indebtedness of another Person or Persons, issue or sell any debt securities or options, warrants, calls or other rights to acquire any debt securities of Parent, as applicable, enter into any “keep well” or other agreement to maintain any financial statement condition or enter into any arrangement having the economic effect of any of the foregoing, in each case, except in the ordinary course of business;</w:t>
      </w:r>
    </w:p>
    <w:p>
      <w:pPr>
        <w:spacing w:after="0" w:line="148" w:lineRule="exact"/>
        <w:rPr>
          <w:rFonts w:ascii="Arial" w:cs="Arial" w:eastAsia="Arial" w:hAnsi="Arial"/>
          <w:sz w:val="16"/>
          <w:szCs w:val="16"/>
          <w:color w:val="auto"/>
        </w:rPr>
      </w:pPr>
    </w:p>
    <w:p>
      <w:pPr>
        <w:ind w:firstLine="656"/>
        <w:spacing w:after="0" w:line="277" w:lineRule="auto"/>
        <w:tabs>
          <w:tab w:leader="none" w:pos="9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required by GAAP (or any interpretation thereof) or Applicable Legal Requirements, make any change in accounting methods, principles or practices;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56"/>
        <w:spacing w:after="0" w:line="287" w:lineRule="auto"/>
        <w:tabs>
          <w:tab w:leader="none" w:pos="909" w:val="left"/>
        </w:tabs>
        <w:numPr>
          <w:ilvl w:val="1"/>
          <w:numId w:val="68"/>
        </w:numPr>
        <w:rPr>
          <w:rFonts w:ascii="Arial" w:cs="Arial" w:eastAsia="Arial" w:hAnsi="Arial"/>
          <w:sz w:val="16"/>
          <w:szCs w:val="16"/>
          <w:color w:val="auto"/>
        </w:rPr>
      </w:pPr>
      <w:r>
        <w:rPr>
          <w:rFonts w:ascii="Arial" w:cs="Arial" w:eastAsia="Arial" w:hAnsi="Arial"/>
          <w:sz w:val="16"/>
          <w:szCs w:val="16"/>
          <w:color w:val="auto"/>
        </w:rPr>
        <w:t>(i) make or rescind any material Tax election (ii) settle or compromise any material Tax claim; (iii) change (or request to change) any method of accounting for Tax purposes; (iv) file any amendment to any material Tax Return; (v) waive or extend any statute of limitations in respect of a period within which an assessment or reassessment of material Taxes may be issued (other than any extension pursuant to an extension to file any Tax Return);</w:t>
      </w:r>
    </w:p>
    <w:p>
      <w:pPr>
        <w:spacing w:after="0" w:line="2" w:lineRule="exact"/>
        <w:rPr>
          <w:rFonts w:ascii="Arial" w:cs="Arial" w:eastAsia="Arial" w:hAnsi="Arial"/>
          <w:sz w:val="16"/>
          <w:szCs w:val="16"/>
          <w:color w:val="auto"/>
        </w:rPr>
      </w:pPr>
    </w:p>
    <w:p>
      <w:pPr>
        <w:jc w:val="both"/>
        <w:ind w:firstLine="8"/>
        <w:spacing w:after="0" w:line="253" w:lineRule="auto"/>
        <w:tabs>
          <w:tab w:leader="none" w:pos="3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knowingly surrender any claim for a refund of Taxes; or (vii) enter into any “closing agreement” as described in Section 7121 of the Code (or any similar Legal Requirement) with any Governmental Entity; (viii) create any material Liens on any material property or assets of Parent or Merger Sub; (ix) incur any liability for Taxes other than in the ordinary course of business; or (x) take any action or fail to take any action that would reasonably be expected to prevent, impair or impede the Intended Tax Treatment;</w:t>
      </w:r>
    </w:p>
    <w:p>
      <w:pPr>
        <w:spacing w:after="0" w:line="192" w:lineRule="exact"/>
        <w:rPr>
          <w:rFonts w:ascii="Arial" w:cs="Arial" w:eastAsia="Arial" w:hAnsi="Arial"/>
          <w:sz w:val="18"/>
          <w:szCs w:val="18"/>
          <w:color w:val="auto"/>
        </w:rPr>
      </w:pPr>
    </w:p>
    <w:p>
      <w:pPr>
        <w:ind w:left="880" w:hanging="224"/>
        <w:spacing w:after="0"/>
        <w:tabs>
          <w:tab w:leader="none" w:pos="8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or operations of Parent or Merger Sub;</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commence, settle or compromise any Legal Proceeding;</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engage in any material new line of business;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amend the Trust Agreement or any other agreement related to the Trust Account;</w:t>
      </w:r>
    </w:p>
    <w:p>
      <w:pPr>
        <w:spacing w:after="0" w:line="225" w:lineRule="exact"/>
        <w:rPr>
          <w:rFonts w:ascii="Arial" w:cs="Arial" w:eastAsia="Arial" w:hAnsi="Arial"/>
          <w:sz w:val="18"/>
          <w:szCs w:val="18"/>
          <w:color w:val="auto"/>
        </w:rPr>
      </w:pPr>
    </w:p>
    <w:p>
      <w:pPr>
        <w:ind w:firstLine="656"/>
        <w:spacing w:after="0" w:line="277" w:lineRule="auto"/>
        <w:tabs>
          <w:tab w:leader="none" w:pos="9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 adopt or amend any employee benefit plan, or enter into any employment contract or collective bargaining agreement other than the LTIP or the ESPP, or (ii) hire any employee or any other individual to provide services to Parent or its Subsidiaries;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(i) enter into any Parent Material Contract or other Contract that will not be terminable for convenience on or before Closing without requiring the payment of any amount or any post-Closing liability or obligation, (ii) modify, amend or terminate any Parent Material Contract or (iii) waive, delay the exercise of, release or assign any material rights or claims under any Parent Material Contract;</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make any expenditures utilizing funds in the Trust Account;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agree in writing or otherwise agree, commit or resolve to take any of the actions described in </w:t>
      </w:r>
      <w:r>
        <w:rPr>
          <w:rFonts w:ascii="Arial" w:cs="Arial" w:eastAsia="Arial" w:hAnsi="Arial"/>
          <w:sz w:val="18"/>
          <w:szCs w:val="18"/>
          <w:u w:val="single" w:color="auto"/>
          <w:color w:val="auto"/>
        </w:rPr>
        <w:t>Sections 6.2(a)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above.</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ARTICLE VII ADDITIONAL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Proxy Statement; Special Meeting</w:t>
      </w:r>
      <w:r>
        <w:rPr>
          <w:rFonts w:ascii="Arial" w:cs="Arial" w:eastAsia="Arial" w:hAnsi="Arial"/>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Proxy Statement.</w:t>
      </w:r>
    </w:p>
    <w:p>
      <w:pPr>
        <w:spacing w:after="0" w:line="225" w:lineRule="exact"/>
        <w:rPr>
          <w:rFonts w:ascii="Arial" w:cs="Arial" w:eastAsia="Arial" w:hAnsi="Arial"/>
          <w:sz w:val="18"/>
          <w:szCs w:val="18"/>
          <w:color w:val="auto"/>
        </w:rPr>
      </w:pPr>
    </w:p>
    <w:p>
      <w:pPr>
        <w:jc w:val="both"/>
        <w:ind w:left="660" w:firstLine="644"/>
        <w:spacing w:after="0" w:line="268" w:lineRule="auto"/>
        <w:tabs>
          <w:tab w:leader="none" w:pos="1551"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As promptly as practicable following the execution and delivery of this Agreement and the delivery of the PCAOB Financial Statements, Parent shall, in accordance with this </w:t>
      </w:r>
      <w:r>
        <w:rPr>
          <w:rFonts w:ascii="Arial" w:cs="Arial" w:eastAsia="Arial" w:hAnsi="Arial"/>
          <w:sz w:val="17"/>
          <w:szCs w:val="17"/>
          <w:u w:val="single" w:color="auto"/>
          <w:color w:val="auto"/>
        </w:rPr>
        <w:t>Section 7.1(a)</w:t>
      </w:r>
      <w:r>
        <w:rPr>
          <w:rFonts w:ascii="Arial" w:cs="Arial" w:eastAsia="Arial" w:hAnsi="Arial"/>
          <w:sz w:val="17"/>
          <w:szCs w:val="17"/>
          <w:color w:val="auto"/>
        </w:rPr>
        <w:t>, prepare, with the assistance of the Company, and file with the SEC, in preliminary form, a proxy statement in connection with the Transactions (as amended or supplemented,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to be sent to the stockholders of Parent in advance of the Special Meeting, for the purpose of, among other things: (A) providing Parent’s stockholders with the opportunity to redeem shares of Parent Class A Stock (the “</w:t>
      </w:r>
      <w:r>
        <w:rPr>
          <w:rFonts w:ascii="Arial" w:cs="Arial" w:eastAsia="Arial" w:hAnsi="Arial"/>
          <w:sz w:val="17"/>
          <w:szCs w:val="17"/>
          <w:u w:val="single" w:color="auto"/>
          <w:color w:val="auto"/>
        </w:rPr>
        <w:t>Parent Stockholder Redemption</w:t>
      </w:r>
      <w:r>
        <w:rPr>
          <w:rFonts w:ascii="Arial" w:cs="Arial" w:eastAsia="Arial" w:hAnsi="Arial"/>
          <w:sz w:val="17"/>
          <w:szCs w:val="17"/>
          <w:color w:val="auto"/>
        </w:rPr>
        <w:t xml:space="preserve">”); and (B) soliciting proxies from holders of Parent Class A Stock to vote at the Special Meeting in favor of: (1) the adoption of this Agreement and approval of the Transactions; (2) the issuance of shares of Parent Class A Stock in connection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(3) the amendment and restatement of the Parent Organizational Documents in the form of the Parent A&amp;R Charter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Parent A&amp;R Bylaws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(4) adoption of the LTIP and ESPP and (5) any other proposals the Parties deem reasonably necessary or desirable to consummate the Transactions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 Matters</w:t>
      </w:r>
      <w:r>
        <w:rPr>
          <w:rFonts w:ascii="Arial" w:cs="Arial" w:eastAsia="Arial" w:hAnsi="Arial"/>
          <w:sz w:val="17"/>
          <w:szCs w:val="17"/>
          <w:color w:val="auto"/>
        </w:rPr>
        <w:t>”). The Proxy Statement will comply as to form and substance with the applicable requirements of the Exchange Act and the rules and regulations thereunder. Parent shall file the definitive Proxy Statement once approved by the Company as provided in clause (iii), below, with the SEC and cause the Proxy Statement to be mailed to its stockholders of record, as of the record date to be established by the board of directors of Parent, as promptly as practicable following the earlier to occur of: (Y) in the event the preliminary Proxy Statement is not reviewed by the SEC, the expiration of the waiting period in Rule 14a-6(a) under the Exchange Act; or (Z) in the event the preliminary Proxy Statement is reviewed by the SEC, receipt of oral or written notification of the completion of the review by the SEC (such earlier date, the “</w:t>
      </w:r>
      <w:r>
        <w:rPr>
          <w:rFonts w:ascii="Arial" w:cs="Arial" w:eastAsia="Arial" w:hAnsi="Arial"/>
          <w:sz w:val="17"/>
          <w:szCs w:val="17"/>
          <w:u w:val="single" w:color="auto"/>
          <w:color w:val="auto"/>
        </w:rPr>
        <w:t>Proxy Clearance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left="-460" w:firstLine="644"/>
        <w:spacing w:after="0" w:line="286" w:lineRule="auto"/>
        <w:tabs>
          <w:tab w:leader="none" w:pos="463"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 soon as reasonably practicable following the date of this Agreement, the Company shall deliver to Parent (A) audited balance sheets as of December 31, 2020 and statements of operations and comprehensive (loss) income, stockholders’ deficit and cash flows of the Group Companies for the 12-month period ended December 31, 2020 together with the auditor’s reports thereon, which comply in all material respects with the applicable accounting requirements and with the rules and regulations of the SEC, the Exchange Act and the Securities Act applicable to a registrant (collectively, the “</w:t>
      </w:r>
      <w:r>
        <w:rPr>
          <w:rFonts w:ascii="Arial" w:cs="Arial" w:eastAsia="Arial" w:hAnsi="Arial"/>
          <w:sz w:val="16"/>
          <w:szCs w:val="16"/>
          <w:u w:val="single" w:color="auto"/>
          <w:color w:val="auto"/>
        </w:rPr>
        <w:t>PCAOB Financial Statements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upon delivery of such PCAOB Financial Statements, such financial statements shall be deemed “Audited Financial Statements” for all the purposes of this Agreement and the representation and warranties set forth in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be deemed to apply to such Audited Financial Statements with the same force and effect as if made as of the date of this Agreement; (B) all other audited and unaudited financial statements of the Group Companies and any company or business units acquired by it, as applicable, required under the Applicable Legal Requirements of the SEC to be included in the Proxy Statement and/or the Closing Form 8-K (including pro forma financial information); (C) all selected financial data of the Group Companies required by Item 301 of Regulation S-K, as necessary for inclusion in the Proxy Statement and the Closing Form 8-K; and (D) management’s discussion and analysis of financial condition and results of operations prepared in accordance with Item 303 of Regulation S-K of the SEC with respect to the periods ended December 31, 2020, 2019 and 2018, as necessary for inclusion in the Proxy Statement and Closing Form 8-K (including pro forma financial information).</w:t>
      </w:r>
    </w:p>
    <w:p>
      <w:pPr>
        <w:spacing w:after="0" w:line="173" w:lineRule="exact"/>
        <w:rPr>
          <w:rFonts w:ascii="Arial" w:cs="Arial" w:eastAsia="Arial" w:hAnsi="Arial"/>
          <w:sz w:val="16"/>
          <w:szCs w:val="16"/>
          <w:color w:val="auto"/>
        </w:rPr>
      </w:pPr>
    </w:p>
    <w:p>
      <w:pPr>
        <w:jc w:val="both"/>
        <w:ind w:left="-460" w:firstLine="644"/>
        <w:spacing w:after="0" w:line="269" w:lineRule="auto"/>
        <w:tabs>
          <w:tab w:leader="none" w:pos="51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Prior to filing the Proxy Statement with the SEC, Parent will make available to the Company drafts of the Proxy Statement and any other documents to be filed with the SEC, both preliminary and final, and any amendment or supplement to the Proxy Statement or such other document and will provide the Company with a reasonable opportunity to comment on such drafts and shall consider such comments in good faith. Parent shall not file the Proxy Statement with the SEC without the Company’s final approval thereof, such approval not to be unreasonably withheld, delayed or conditioned. Parent will advise the Company promptly after it receives notice thereof, of: (A) the time when the Proxy Statement has been filed; (B) in the event the preliminary Proxy Statement is not reviewed by the SEC, the expiration of the waiting period in Rule 14a-6(a) under the Exchange Act; (C) in the event the preliminary Proxy Statement is reviewed by the SEC, receipt of oral or written notification of the completion of the review by the SEC; (D) the filing of any supplement or amendment to the Proxy Statement; (E) the issuance of any stop order by the SEC; (F) any request by the SEC for amendment of the Proxy Statement; (G) any comments from the SEC relating to the Proxy Statement and responses thereto; and (H) requests by the SEC for additional information. Parent shall promptly respond to any SEC comments on the Proxy Statement and shall use its reasonable best efforts to have the Proxy Statement cleared by the SEC under the Exchange Act as promptly as practicable.</w:t>
      </w:r>
    </w:p>
    <w:p>
      <w:pPr>
        <w:spacing w:after="0" w:line="38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7" w:name="page58"/>
    <w:bookmarkEnd w:id="57"/>
    <w:p>
      <w:pPr>
        <w:jc w:val="both"/>
        <w:ind w:left="660" w:firstLine="644"/>
        <w:spacing w:after="0" w:line="289" w:lineRule="auto"/>
        <w:tabs>
          <w:tab w:leader="none" w:pos="1638" w:val="left"/>
        </w:tabs>
        <w:numPr>
          <w:ilvl w:val="1"/>
          <w:numId w:val="72"/>
        </w:numPr>
        <w:rPr>
          <w:rFonts w:ascii="Arial" w:cs="Arial" w:eastAsia="Arial" w:hAnsi="Arial"/>
          <w:sz w:val="16"/>
          <w:szCs w:val="16"/>
          <w:color w:val="auto"/>
        </w:rPr>
      </w:pPr>
      <w:r>
        <w:rPr>
          <w:rFonts w:ascii="Arial" w:cs="Arial" w:eastAsia="Arial" w:hAnsi="Arial"/>
          <w:sz w:val="16"/>
          <w:szCs w:val="16"/>
          <w:color w:val="auto"/>
        </w:rPr>
        <w:t>Each of Parent and the Company shall cooperate and mutually agree upon (such agreement not to be unreasonably withheld or delayed), any response to comments of the SEC or its staff with respect to the Proxy Statement and any amendment to the Proxy Statement filed in response thereto. If Parent or the Company becomes aware that any information contained in the Proxy Statement shall have become false or misleading in any material respect or that the Proxy Statement is required to be amended in order to comply with Applicable Legal Requirements, then (A) such party shall promptly inform the other party and (B) Parent, on the one hand, and the Company, on the other hand, shall cooperate and mutually agree upon (such agreement not to be unreasonably withheld or delayed) an amendment or supplement to the Proxy Statement. Parent and the Company shall use reasonable best efforts to cause the Proxy Statement as so amended or supplemented, to be filed with the SEC and to be disseminated to the holders of shares of capital stock of Parent, as applicable, in each case pursuant to Applicable Legal Requirements and subject to the terms and conditions of this Agreement and the Parent Organizational Documents.</w:t>
      </w:r>
    </w:p>
    <w:p>
      <w:pPr>
        <w:spacing w:after="0" w:line="166" w:lineRule="exact"/>
        <w:rPr>
          <w:rFonts w:ascii="Arial" w:cs="Arial" w:eastAsia="Arial" w:hAnsi="Arial"/>
          <w:sz w:val="16"/>
          <w:szCs w:val="16"/>
          <w:color w:val="auto"/>
        </w:rPr>
      </w:pPr>
    </w:p>
    <w:p>
      <w:pPr>
        <w:jc w:val="both"/>
        <w:ind w:left="660" w:firstLine="644"/>
        <w:spacing w:after="0" w:line="273" w:lineRule="auto"/>
        <w:tabs>
          <w:tab w:leader="none" w:pos="1581" w:val="left"/>
        </w:tabs>
        <w:numPr>
          <w:ilvl w:val="1"/>
          <w:numId w:val="72"/>
        </w:numPr>
        <w:rPr>
          <w:rFonts w:ascii="Arial" w:cs="Arial" w:eastAsia="Arial" w:hAnsi="Arial"/>
          <w:sz w:val="17"/>
          <w:szCs w:val="17"/>
          <w:color w:val="auto"/>
        </w:rPr>
      </w:pPr>
      <w:r>
        <w:rPr>
          <w:rFonts w:ascii="Arial" w:cs="Arial" w:eastAsia="Arial" w:hAnsi="Arial"/>
          <w:sz w:val="17"/>
          <w:szCs w:val="17"/>
          <w:color w:val="auto"/>
        </w:rPr>
        <w:t>Parent shall make all necessary filings with respect to the Transactions under the Securities Act, the Exchange Act and applicable “blue sky” laws, and any rules and regulations thereunder. The Company agrees to promptly provide Parent with such information concerning the business, management, operations and financial condition of the Company and the Company Subsidiaries, in each case, as is reasonably requested by Parent for inclusion in the Proxy Statement. The Company shall cause the officers and employees of the Company and the Company Subsidiaries to be reasonably available to Parent and its counsel in connection with the drafting of the Proxy Statement and responding in a timely manner to comments on the Proxy Statement from the SEC.</w:t>
      </w:r>
    </w:p>
    <w:p>
      <w:pPr>
        <w:spacing w:after="0" w:line="177" w:lineRule="exact"/>
        <w:rPr>
          <w:rFonts w:ascii="Arial" w:cs="Arial" w:eastAsia="Arial" w:hAnsi="Arial"/>
          <w:sz w:val="17"/>
          <w:szCs w:val="17"/>
          <w:color w:val="auto"/>
        </w:rPr>
      </w:pPr>
    </w:p>
    <w:p>
      <w:pPr>
        <w:jc w:val="both"/>
        <w:ind w:firstLine="656"/>
        <w:spacing w:after="0" w:line="284" w:lineRule="auto"/>
        <w:tabs>
          <w:tab w:leader="none" w:pos="908" w:val="left"/>
        </w:tabs>
        <w:numPr>
          <w:ilvl w:val="0"/>
          <w:numId w:val="73"/>
        </w:numPr>
        <w:rPr>
          <w:rFonts w:ascii="Arial" w:cs="Arial" w:eastAsia="Arial" w:hAnsi="Arial"/>
          <w:sz w:val="16"/>
          <w:szCs w:val="16"/>
          <w:color w:val="auto"/>
        </w:rPr>
      </w:pPr>
      <w:r>
        <w:rPr>
          <w:rFonts w:ascii="Arial" w:cs="Arial" w:eastAsia="Arial" w:hAnsi="Arial"/>
          <w:sz w:val="16"/>
          <w:szCs w:val="16"/>
          <w:color w:val="auto"/>
        </w:rPr>
        <w:t>Parent shall, as promptly as practicable following the Proxy Clearance Date, establish a record date (which date shall be mutually agreed with the Company) for, duly call and give notice of, the Special Meeting. Parent shall convene and hold, no later than 45 days after the Proxy Statement is mailed, a meeting of Parent’s stockholders (the “</w:t>
      </w:r>
      <w:r>
        <w:rPr>
          <w:rFonts w:ascii="Arial" w:cs="Arial" w:eastAsia="Arial" w:hAnsi="Arial"/>
          <w:sz w:val="16"/>
          <w:szCs w:val="16"/>
          <w:u w:val="single" w:color="auto"/>
          <w:color w:val="auto"/>
        </w:rPr>
        <w:t>Special Meeting</w:t>
      </w:r>
      <w:r>
        <w:rPr>
          <w:rFonts w:ascii="Arial" w:cs="Arial" w:eastAsia="Arial" w:hAnsi="Arial"/>
          <w:sz w:val="16"/>
          <w:szCs w:val="16"/>
          <w:color w:val="auto"/>
        </w:rPr>
        <w:t>”), for the purpose of obtaining the approval of the Parent Stockholder Matters. Parent shall use its reasonable best efforts to obtain the approval of the Parent Stockholder Matters at the Special Meeting, including by soliciting proxies as promptly as practicable in accordance with Applicable Legal Requirements for the purpose of seeking the approval of the Parent Stockholder Matters. Subject to the proviso in the following sentence, Parent shall include the Parent Recommendation in the Proxy Statement. Except as otherwise required by Applicable Legal Requirements, the board of directors of Parent shall not (and no committee or subgroup thereof shall) change, withdraw, withhold, qualify or modify, or publicly propose to change, withdraw, withhold, qualify or modify, the Parent Recommendation (a “</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 xml:space="preserve">”). Parent agrees that its obligation to establish a record date for, duly call, give notice of, convene and hold the Special Meeting for the purpose of seeking approval of the Parent Stockholder Matters shall not be affected by any Change in Recommendation, and Parent agrees to establish a record date for, duly call, give notice of, convene and hold the Special Meeting and submit for the approval of its stockholders the matters contemplated by the Proxy Statement as contemplated by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regardless of whether or not there shall have occurred any Change in Recommendation. Notwithstanding anything to the contrary contained in this Agreement, Parent shall be entitled to postpone or adjourn the Special Meeting: (i) to ensure that any supplement or amendment to the Proxy Statement that the board of directors of Parent has determined in good faith is required by Applicable Legal Requirements is disclosed to Parent’s stockholders and for such supplement or amendment to be promptly disseminated to Parent’s stockholders prior to the Special Meeting; (ii) if, as of the time for which the Special Meeting is originally scheduled (as set forth in the Proxy Statement), there are insufficient shares of Parent Class A Stock represented (either in person or by proxy) to constitute a quorum necessary to conduct the business to be conducted at the Special Meeting; (iii) in order to solicit additional proxies from stockholders for purposes of obtaining approval of the Parent Stockholder Matters; or (iv) if the holders of Parent Class A Stock have elected to redeem a number of Parent Class A Stock as of such time that would reasonably be expected to result in Parent not satisfying the Company’s Required Funds;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a postponement or adjournment pursuant to clauses (i), (ii), (iii) or (iv) above, the Special Meeting shall be reconvened as promptly as practicable following such time as the matters described in such clauses have been resolved.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56"/>
        <w:spacing w:after="0" w:line="275" w:lineRule="auto"/>
        <w:tabs>
          <w:tab w:leader="none" w:pos="892"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Company Stockholder Approval</w:t>
      </w:r>
      <w:r>
        <w:rPr>
          <w:rFonts w:ascii="Arial" w:cs="Arial" w:eastAsia="Arial" w:hAnsi="Arial"/>
          <w:sz w:val="17"/>
          <w:szCs w:val="17"/>
          <w:color w:val="auto"/>
        </w:rPr>
        <w:t>. The Company shall obtain the Company Stockholder Approval via the Stockholder Consent and Joinder no later than the Company Stockholder Approval Deadline. The Company will provide Parent with a copy of each executed Stockholder Consent and Joinder. In connection therewith, as promptly as practicable, the board of directors of the Company shall set a record date for determining the stockholders required to execute such Stockholder Consent and Joinder. The Company shall, through its board of directors, recommend to the Company Stockholders that they provide the Company Stockholder Approval and execute the Stockholder Consent and Joinder.</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Regulatory Approvals</w:t>
      </w:r>
      <w:r>
        <w:rPr>
          <w:rFonts w:ascii="Arial" w:cs="Arial" w:eastAsia="Arial" w:hAnsi="Arial"/>
          <w:sz w:val="16"/>
          <w:szCs w:val="16"/>
          <w:color w:val="auto"/>
        </w:rPr>
        <w:t>. As promptly as practicable after the date of this Agreement, Parent and the Company shall each prepare and file the notification required of it under the HSR Act within 10 Business Days after the date hereof in connection with the Transactions and shall promptly and in good faith respond to all information requested of it by the U.S. Federal Trade Commission, U.S. Department of Justice or any other Governmental Entity in connection with such notification and otherwise cooperate in good faith with each other and such Governmental Entities. Each Party will promptly furnish to the other such information and assistance as the other may reasonably request in connection with its preparation of any filing or submission that is necessary under the HSR Act and will use reasonable best efforts to cause the expiration or termination of the applicable waiting periods as soon as practicable. Each Party will promptly furnish to the other such information and assistance as the other may reasonably request in connection with its preparation of any filing or submission that is necessary under the HSR Act or any other Antitrust Laws and will use reasonable best efforts to cause the expiration or termination of the applicable waiting periods or obtain the applicable approvals as soon as practicable. Each Party will promptly provide the other with copies of all substantive written communications (and memoranda setting forth the substance of all substantive oral communications) between each of them, any of their Affiliates and their respective agents, representatives and advisors, on the one hand, and any Governmental Entity, on the other hand, with respect to this Agreement or the Transactions. Without limiting the foregoing, Parent and the Company shall: (i) promptly inform the other of any communication to or from the U.S. Federal Trade Commission, the U.S. Department of Justice or any other Governmental Entity regarding the Transactions; (ii) permit each other to review in advance any proposed substantive written communication to any such Governmental Entity and incorporate reasonable comments thereto; (iii) give the other prompt written notice of the commencement of any Legal Proceeding with respect to such transactions; (iv) not agree to participate in any substantive meeting or discussion with any such Governmental Entity in respect of any filing, investigation or inquiry concerning this Agreement or the Transactions unless, to the extent reasonably practicable, it consults with the other Party in advance and, to the extent permitted by such Governmental Entity, gives the other Party the opportunity to attend; (v) keep the other reasonably informed as to the status of any such Legal Proceeding; and (vi) promptly furnish each other with copies of all correspondence, filings (except for filings made under the HSR Act) and written communications between such Party and their Affiliates and their respective agents, representatives and advisors, on one hand, and any such Governmental Entity, on the other hand, in each case, with respect to this Agreement and the Transactions. Each of the Company Transaction Fees and Parent Transaction Fees shall include 50% of any filing fees required by Governmental Entities, including with respect to any registrations, declarations and filings required in connection with the execution and delivery of this Agreement, the performance of the obligations hereunder and the consummation of the Transactions, including filing fees in connection with filings under the HSR Act.</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Other Filings; Press Release</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308" w:lineRule="auto"/>
        <w:tabs>
          <w:tab w:leader="none" w:pos="906"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 promptly as practicable after execution of this Agreement, Parent will prepare and file a Current Report on Form 8-K pursuant to the Exchange Act to report the execution of this Agreement, the form and substance of which shall be approved in advance in writing by the Company.</w:t>
      </w:r>
    </w:p>
    <w:p>
      <w:pPr>
        <w:spacing w:after="0" w:line="146" w:lineRule="exact"/>
        <w:rPr>
          <w:rFonts w:ascii="Arial" w:cs="Arial" w:eastAsia="Arial" w:hAnsi="Arial"/>
          <w:sz w:val="17"/>
          <w:szCs w:val="17"/>
          <w:color w:val="auto"/>
        </w:rPr>
      </w:pPr>
    </w:p>
    <w:p>
      <w:pPr>
        <w:ind w:firstLine="656"/>
        <w:spacing w:after="0" w:line="308" w:lineRule="auto"/>
        <w:tabs>
          <w:tab w:leader="none" w:pos="906"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Promptly after the execution of this Agreement, Parent and the Company shall also issue a joint press release announcing the execution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references to ISMMS in such press release will be subject to the prior review and approval of ISMMS.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56"/>
        <w:spacing w:after="0" w:line="296" w:lineRule="auto"/>
        <w:tabs>
          <w:tab w:leader="none" w:pos="91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Parties shall prepare a draft Current Report on Form 8-K announcing the Closing, together with, or incorporating by reference, the financial statements prepared by the Company and its accountant, and such other information that may be required to be disclosed with respect to the Transactions in any report or form to be filed with the SEC (“</w:t>
      </w:r>
      <w:r>
        <w:rPr>
          <w:rFonts w:ascii="Arial" w:cs="Arial" w:eastAsia="Arial" w:hAnsi="Arial"/>
          <w:sz w:val="16"/>
          <w:szCs w:val="16"/>
          <w:u w:val="single" w:color="auto"/>
          <w:color w:val="auto"/>
        </w:rPr>
        <w:t>Closing Form 8-K</w:t>
      </w:r>
      <w:r>
        <w:rPr>
          <w:rFonts w:ascii="Arial" w:cs="Arial" w:eastAsia="Arial" w:hAnsi="Arial"/>
          <w:sz w:val="16"/>
          <w:szCs w:val="16"/>
          <w:color w:val="auto"/>
        </w:rPr>
        <w:t>”). Prior to Closing, Parent and the Company shall prepare a joint press release announcing the consummation of the Transactions hereunder (“</w:t>
      </w:r>
      <w:r>
        <w:rPr>
          <w:rFonts w:ascii="Arial" w:cs="Arial" w:eastAsia="Arial" w:hAnsi="Arial"/>
          <w:sz w:val="16"/>
          <w:szCs w:val="16"/>
          <w:u w:val="single" w:color="auto"/>
          <w:color w:val="auto"/>
        </w:rPr>
        <w:t>Closing Press Release</w:t>
      </w:r>
      <w:r>
        <w:rPr>
          <w:rFonts w:ascii="Arial" w:cs="Arial" w:eastAsia="Arial" w:hAnsi="Arial"/>
          <w:sz w:val="16"/>
          <w:szCs w:val="16"/>
          <w:color w:val="auto"/>
        </w:rPr>
        <w:t>”). Concurrently with the Closing, Parent shall issue the Closing Press Release. Concurrently with the Closing, or as soon as practicable thereafter, Parent shall file the Closing Form 8-K with the SEC.</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Confidentiality; Access to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8" w:lineRule="auto"/>
        <w:tabs>
          <w:tab w:leader="none" w:pos="899"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The Company acknowledges that it is a party to the Confidentiality Agreement, the terms of which are incorporated herein by reference, and Parent agrees to be bound by the Confidentiality Agreement in the same capacity as Casdin Capital LLC. Following Closing, the Confidentiality Agreement shall be superseded in its entirety by the provisions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for any reason this Agreement is terminated prior to the Closing, the Confidentiality Agreement shall nonetheless continue in full force and effect in accordance with its terms. Beginning on the date hereof and ending on the second anniversary of this Agreement (but perpetually with respect to any trade secrets), each Party agrees to maintain in confidence any non-public information received from the other Parties, and to use such non-public information only for purposes of consummating the Transactions. Such confidentiality obligations will not apply to: (i) information which was known to one Party or its agents or representatives prior to receipt from the Company or the Company Stockholders, on the one hand, or Parent or Merger Sub, on the other hand, as applicable; (ii) information which is or becomes generally known to the public without breach of this Agreement or an existing obligation of confidentiality; (iii) information acquired by a Party or their respective agents or representatives from a third party who was not bound to an obligation of confidentiality; (iv) information developed by such Party independently without any reliance on the non-public information received from any other Party; (v) disclosure required by Applicable Legal Requirement or stock exchange rule; or (vi) disclosure consented to in writing by Parent or Merger Sub (in the case of the Company Stockholders and, prior to the Closing, the Company) or the Company (in the case of Parent or Merger Sub).</w:t>
      </w:r>
    </w:p>
    <w:p>
      <w:pPr>
        <w:spacing w:after="0" w:line="186" w:lineRule="exact"/>
        <w:rPr>
          <w:rFonts w:ascii="Arial" w:cs="Arial" w:eastAsia="Arial" w:hAnsi="Arial"/>
          <w:sz w:val="17"/>
          <w:szCs w:val="17"/>
          <w:color w:val="auto"/>
        </w:rPr>
      </w:pPr>
    </w:p>
    <w:p>
      <w:pPr>
        <w:jc w:val="both"/>
        <w:ind w:firstLine="656"/>
        <w:spacing w:after="0" w:line="286" w:lineRule="auto"/>
        <w:tabs>
          <w:tab w:leader="none" w:pos="9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Notwithstanding the foregoing, none of the Parties will make any public announcement or issue any public communication regarding this Agreement, any other Transaction Agreement or the Transactions or any matter related to the foregoing, without the prior written consent of the Company, in the case of a public announcement by Parent, or Parent, in the case of a public announcement by the Company Stockholders or the Company (such consents, in either case, not to be unreasonably withheld, conditioned or delayed), except: (i) if such announcement or other communication is required by Applicable Legal Requirements, in which case the disclosing Party shall, to the extent permitted by Applicable Legal Requirements, first allow such other Parties to review such announcement or communication and have the opportunity to comment thereon and the disclosing Party shall consider such comments in good faith; (ii) in the case of the Company or the Company Stockholders, Parent and their respective Affiliates, if such announcement or other communication is made in connection with fundraising or other investment related activities and is made to such Person’s direct and indirect investors or potential investors or financing sources subject to an obligation of confidentiality; (iii) announcements and communications regarding this Agreement and the Transactions to the Group Companies’ stockholders, Affiliates, and its and their respective directors, officers, employees, managers and advisors, in each case subject to an obligation of confidentiality; (iv) to the extent such announcements or other communications contain only information previously disclosed in a public statement, press release or other communication previously approved in accordance with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7.4(b)</w:t>
      </w:r>
      <w:r>
        <w:rPr>
          <w:rFonts w:ascii="Arial" w:cs="Arial" w:eastAsia="Arial" w:hAnsi="Arial"/>
          <w:sz w:val="16"/>
          <w:szCs w:val="16"/>
          <w:color w:val="auto"/>
        </w:rPr>
        <w:t>; (v) announcements and communications to Governmental Entities in connection with registrations, declarations and filings relating to the Transactions required to be made under this Agreement; and (vi) communications to customers and suppliers of the Group Companies for purposes of seeking any consents and approvals required in connection with the Transactions.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656"/>
        <w:spacing w:after="0" w:line="269" w:lineRule="auto"/>
        <w:tabs>
          <w:tab w:leader="none" w:pos="909"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Company will afford Parent and its financial advisors, accountants, counsel and other representatives reasonable access during normal business hours, upon reasonable notice, to the properties, books, records and personnel of the Company during the period prior to the Closing to obtain all information concerning the business, including the status of business development efforts, properties, results of operations and personnel of the Company, as Parent may reasonably request in connection with the consummation of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any such access shall be conducted in a manner not to interfere with the businesses or operations of the Company</w:t>
      </w:r>
      <w:r>
        <w:rPr>
          <w:rFonts w:ascii="Arial" w:cs="Arial" w:eastAsia="Arial" w:hAnsi="Arial"/>
          <w:sz w:val="17"/>
          <w:szCs w:val="17"/>
          <w:u w:val="single" w:color="auto"/>
          <w:color w:val="auto"/>
        </w:rPr>
        <w:t>, (ii)</w:t>
      </w:r>
      <w:r>
        <w:rPr>
          <w:rFonts w:ascii="Arial" w:cs="Arial" w:eastAsia="Arial" w:hAnsi="Arial"/>
          <w:sz w:val="17"/>
          <w:szCs w:val="17"/>
          <w:color w:val="auto"/>
        </w:rPr>
        <w:t xml:space="preserve"> the Company shall not be required to provide access to or to disclose information where such access or disclosure would (x) contravene any Applicable Legal Requirement, Order or Contract of any Group Companies or, if determined by the Company in good faith after consulting with counsel, reasonably be expected to result in antitrust risk for the Company, (y) reasonably be expected to violate or result in a loss or impairment of any attorney client, legal or work product privilege or (z) expose the Company to risk of liability for disclosure of sensitive or Personal Information and (iii) the Company shall not be required to provide such access if the Company in good faith determines, in light of any Pandemic Measures, that such access would reasonably be expected to jeopardize the health and safety of any Group Company personnel or representatives.</w:t>
      </w:r>
    </w:p>
    <w:p>
      <w:pPr>
        <w:spacing w:after="0" w:line="181" w:lineRule="exact"/>
        <w:rPr>
          <w:rFonts w:ascii="Arial" w:cs="Arial" w:eastAsia="Arial" w:hAnsi="Arial"/>
          <w:sz w:val="17"/>
          <w:szCs w:val="17"/>
          <w:color w:val="auto"/>
        </w:rPr>
      </w:pPr>
    </w:p>
    <w:p>
      <w:pPr>
        <w:jc w:val="both"/>
        <w:ind w:firstLine="656"/>
        <w:spacing w:after="0" w:line="257" w:lineRule="auto"/>
        <w:tabs>
          <w:tab w:leader="none" w:pos="9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Parent will afford the Company and its financial advisors, underwriters, accountants, counsel and other representatives reasonable access during normal business hours, upon reasonable notice, to the properties, books, records and personnel of Parent during the period prior to the Closing to obtain all information concerning the business, including properties, results of operations and personnel of Parent, as the Company may reasonably request in connection with the consummation of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access shall be conducted in a manner not to interfere with the businesses or operations of Parent.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Reasonable Best Efforts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4" w:lineRule="auto"/>
        <w:tabs>
          <w:tab w:leader="none" w:pos="897"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Upon the terms and subject to the conditions set forth in this Agreement,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using reasonable best efforts to accomplish the following: (i) the taking of commercially reasonable acts necessary to cause the conditions precedent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to be satisfied; (ii) the obtaining of all necessary actions, waivers, consents, approvals, orders and authorizations from Governmental Entities and the making of all necessary registrations, declarations and filings (including registrations, declarations and filings with Governmental Entities, if any);</w:t>
      </w:r>
    </w:p>
    <w:p>
      <w:pPr>
        <w:spacing w:after="0" w:line="4" w:lineRule="exact"/>
        <w:rPr>
          <w:rFonts w:ascii="Arial" w:cs="Arial" w:eastAsia="Arial" w:hAnsi="Arial"/>
          <w:sz w:val="16"/>
          <w:szCs w:val="16"/>
          <w:color w:val="auto"/>
        </w:rPr>
      </w:pPr>
    </w:p>
    <w:p>
      <w:pPr>
        <w:jc w:val="both"/>
        <w:ind w:firstLine="8"/>
        <w:spacing w:after="0" w:line="287" w:lineRule="auto"/>
        <w:tabs>
          <w:tab w:leader="none" w:pos="348"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the taking of commercially reasonable acts necessary to obtain all consents, approvals or waivers from third parties required as a result of the Transactions, including any other consents, approvals or waivers from third parties referred to on </w:t>
      </w:r>
      <w:r>
        <w:rPr>
          <w:rFonts w:ascii="Arial" w:cs="Arial" w:eastAsia="Arial" w:hAnsi="Arial"/>
          <w:sz w:val="16"/>
          <w:szCs w:val="16"/>
          <w:u w:val="single" w:color="auto"/>
          <w:color w:val="auto"/>
        </w:rPr>
        <w:t>Schedule 4.5(b)</w:t>
      </w:r>
      <w:r>
        <w:rPr>
          <w:rFonts w:ascii="Arial" w:cs="Arial" w:eastAsia="Arial" w:hAnsi="Arial"/>
          <w:sz w:val="16"/>
          <w:szCs w:val="16"/>
          <w:color w:val="auto"/>
        </w:rPr>
        <w:t xml:space="preserve"> of the Company Disclosure Letter, and, in the case of Parent, to terminate any Contracts to which Parent or Merger Sub is a party that are not required for the operation of the Surviving Company following Closing, if and to the extent reasonably requested by the Company; (iv) the defending of any suits, claims, actions, investigations or proceedings, whether judicial or administrative, challenging this Agreement or the consummation of the Transactions, including seeking to have any stay or temporary restraining order entered by any court or other Governmental Entity vacated or reversed; and (v) the execution or delivery of any additional instruments reasonably necessary to consummate, and to fully carry out the purposes of, the Transactions. This obligation shall include, on the part of Parent, sending a termination letter to Continental substantially in the applicable form attached to the Trust Agreement (the “</w:t>
      </w:r>
      <w:r>
        <w:rPr>
          <w:rFonts w:ascii="Arial" w:cs="Arial" w:eastAsia="Arial" w:hAnsi="Arial"/>
          <w:sz w:val="16"/>
          <w:szCs w:val="16"/>
          <w:u w:val="single" w:color="auto"/>
          <w:color w:val="auto"/>
        </w:rPr>
        <w:t>Trust Termination Letter</w:t>
      </w:r>
      <w:r>
        <w:rPr>
          <w:rFonts w:ascii="Arial" w:cs="Arial" w:eastAsia="Arial" w:hAnsi="Arial"/>
          <w:sz w:val="16"/>
          <w:szCs w:val="16"/>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56"/>
        <w:spacing w:after="0" w:line="257" w:lineRule="auto"/>
        <w:tabs>
          <w:tab w:leader="none" w:pos="9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nothing in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shall be deemed to require (i) Parent or the Company to agree to any divestiture by itself or any of its Affiliates of shares of capital stock or of any business, assets or property, the imposition of any limitation on the ability of any of them to conduct their business or to own or exercise control of their respective assets, properties and capital stock, or the incurrence of any liability or expense or (ii) the Company to obtain the consent of ISMMS to any amendment, modification, extension or termination of any existing Contract between the Company and ISMMS.</w:t>
      </w:r>
    </w:p>
    <w:p>
      <w:pPr>
        <w:spacing w:after="0" w:line="187" w:lineRule="exact"/>
        <w:rPr>
          <w:rFonts w:ascii="Arial" w:cs="Arial" w:eastAsia="Arial" w:hAnsi="Arial"/>
          <w:sz w:val="18"/>
          <w:szCs w:val="18"/>
          <w:color w:val="auto"/>
        </w:rPr>
      </w:pPr>
    </w:p>
    <w:p>
      <w:pPr>
        <w:jc w:val="both"/>
        <w:ind w:firstLine="656"/>
        <w:spacing w:after="0" w:line="269" w:lineRule="auto"/>
        <w:tabs>
          <w:tab w:leader="none" w:pos="907" w:val="left"/>
        </w:tabs>
        <w:numPr>
          <w:ilvl w:val="0"/>
          <w:numId w:val="81"/>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and the valid termination of this Agreement pursuant to its terms, Parent, on the one hand, and the Company, on the other hand, shall each notify the other in writing promptly after learning of any stockholder demands or other stockholder Legal Proceedings (including derivative claims) relating to this Agreement, any Transaction Agreement or any matters relating thereto other than any appraisal claims contemplated by Section 2.13 (collectively, the “</w:t>
      </w:r>
      <w:r>
        <w:rPr>
          <w:rFonts w:ascii="Arial" w:cs="Arial" w:eastAsia="Arial" w:hAnsi="Arial"/>
          <w:sz w:val="17"/>
          <w:szCs w:val="17"/>
          <w:u w:val="single" w:color="auto"/>
          <w:color w:val="auto"/>
        </w:rPr>
        <w:t>Transaction Litigation</w:t>
      </w:r>
      <w:r>
        <w:rPr>
          <w:rFonts w:ascii="Arial" w:cs="Arial" w:eastAsia="Arial" w:hAnsi="Arial"/>
          <w:sz w:val="17"/>
          <w:szCs w:val="17"/>
          <w:color w:val="auto"/>
        </w:rPr>
        <w:t>”) commenced against, in the case of Parent or Merger Sub, any of Parent or Merger Sub or any of their respective Representatives (in their capacity as a representative of Parent or Merger Sub) or, in the case of the Company, any Group Company or any of their respective Representatives (in their capacity as a representative of a Group Company). Parent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and (iii) consider in good faith the other’s advice with respect to any such Transaction Litigation; provided, however, that in no event shall Parent or Merger Sub, on one hand, or the Company, any other Group Company, on the other hand, or, in any case, any of their respective Representatives settle or compromise any Transaction Litigation without the prior written consent of the Company or Parent, as the case may be.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 Parent Securities Transactions</w:t>
      </w:r>
      <w:r>
        <w:rPr>
          <w:rFonts w:ascii="Arial" w:cs="Arial" w:eastAsia="Arial" w:hAnsi="Arial"/>
          <w:sz w:val="18"/>
          <w:szCs w:val="18"/>
          <w:color w:val="auto"/>
        </w:rPr>
        <w:t>. Neither the Company nor any of its controlled Affiliates, directly or indirectly, shall engage in any transactions involving the securities of Parent prior to the time of the making of a public announcement regarding all of the material terms of the business and operations of the Company and the Transactions. The Company shall use its commercially reasonable efforts to require each of its officers, directors and employees to comply with the foregoing requirement.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No Claim Against Trust Account</w:t>
      </w:r>
      <w:r>
        <w:rPr>
          <w:rFonts w:ascii="Arial" w:cs="Arial" w:eastAsia="Arial" w:hAnsi="Arial"/>
          <w:sz w:val="18"/>
          <w:szCs w:val="18"/>
          <w:color w:val="auto"/>
        </w:rPr>
        <w:t>. For and in consideration of Parent entering into this Agreement, the receipt and sufficiency of which are hereby acknowledged, the Company, on behalf of itself and its Affiliates agrees that:</w:t>
      </w:r>
    </w:p>
    <w:p>
      <w:pPr>
        <w:spacing w:after="0" w:line="170" w:lineRule="exact"/>
        <w:rPr>
          <w:sz w:val="20"/>
          <w:szCs w:val="20"/>
          <w:color w:val="auto"/>
        </w:rPr>
      </w:pPr>
    </w:p>
    <w:p>
      <w:pPr>
        <w:jc w:val="both"/>
        <w:ind w:firstLine="656"/>
        <w:spacing w:after="0" w:line="273" w:lineRule="auto"/>
        <w:tabs>
          <w:tab w:leader="none" w:pos="905" w:val="left"/>
        </w:tabs>
        <w:numPr>
          <w:ilvl w:val="0"/>
          <w:numId w:val="82"/>
        </w:numPr>
        <w:rPr>
          <w:rFonts w:ascii="Arial" w:cs="Arial" w:eastAsia="Arial" w:hAnsi="Arial"/>
          <w:sz w:val="17"/>
          <w:szCs w:val="17"/>
          <w:color w:val="auto"/>
        </w:rPr>
      </w:pPr>
      <w:r>
        <w:rPr>
          <w:rFonts w:ascii="Arial" w:cs="Arial" w:eastAsia="Arial" w:hAnsi="Arial"/>
          <w:sz w:val="17"/>
          <w:szCs w:val="17"/>
          <w:color w:val="auto"/>
        </w:rPr>
        <w:t>neither the Company nor any of its Affiliates do now or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Parent or its Representatives, on the one hand, and the Company or its Representatives, on the other hand, or any other matter, and regardless of whether such claim arises based on contract, tort, equity or any other theory of legal liability (any and all such claims against the Trust Account are collectively referred to hereafter as the “</w:t>
      </w:r>
      <w:r>
        <w:rPr>
          <w:rFonts w:ascii="Arial" w:cs="Arial" w:eastAsia="Arial" w:hAnsi="Arial"/>
          <w:sz w:val="17"/>
          <w:szCs w:val="17"/>
          <w:u w:val="single" w:color="auto"/>
          <w:color w:val="auto"/>
        </w:rPr>
        <w:t>Released Claims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257" w:lineRule="auto"/>
        <w:tabs>
          <w:tab w:leader="none" w:pos="9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on behalf of itself and its Affiliates, hereby irrevocably waives any Released Claims that the Company or any of its Affiliates may have against the Trust Account (including any distributions therefrom) now or in the future as a result of, or arising out of, any negotiations, Contracts or agreements with Parent or its Representatives, including this Agreement or the Transactions, and will not seek recourse against the Trust Account (including any distributions therefrom) in connection therewith (including for an alleged breach of this Agreement or any other agreement with Parent or its Affiliates);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56"/>
        <w:spacing w:after="0" w:line="263" w:lineRule="auto"/>
        <w:tabs>
          <w:tab w:leader="none" w:pos="90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irrevocable waiver set forth in the immediately preceding clause (b) is material to this Agreement and specifically relied upon by Parent and its Affiliates to induce Parent to enter in this Agreement, and the Company further intends and understands such waiver to be valid, binding and enforceable against the Company and each of its Affiliates under Applicable Legal Requirements; and</w:t>
      </w:r>
    </w:p>
    <w:p>
      <w:pPr>
        <w:spacing w:after="0" w:line="183" w:lineRule="exact"/>
        <w:rPr>
          <w:rFonts w:ascii="Arial" w:cs="Arial" w:eastAsia="Arial" w:hAnsi="Arial"/>
          <w:sz w:val="18"/>
          <w:szCs w:val="18"/>
          <w:color w:val="auto"/>
        </w:rPr>
      </w:pPr>
    </w:p>
    <w:p>
      <w:pPr>
        <w:jc w:val="both"/>
        <w:ind w:firstLine="656"/>
        <w:spacing w:after="0" w:line="296" w:lineRule="auto"/>
        <w:tabs>
          <w:tab w:leader="none" w:pos="91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the extent the Company or any of its Affiliates commences any action or proceeding based upon, in connection with, relating to or arising out of any matter relating to Parent or its Representatives, including this Agreement or the Transactions, which proceeding seeks, in whole or in part, monetary relief against Parent or Representatives, the Company hereby acknowledges and agrees that the Company’s and its Affiliates’ sole remedy shall be against funds held outside of the Trust Account and such claim shall not permit the Company or its Affiliates (or any Person claiming on any of their behalves or in lieu of any of them) to have any claim against the Trust Account (including any distributions therefrom) or any amounts contained therein.</w:t>
      </w:r>
    </w:p>
    <w:p>
      <w:pPr>
        <w:spacing w:after="0" w:line="161" w:lineRule="exact"/>
        <w:rPr>
          <w:rFonts w:ascii="Arial" w:cs="Arial" w:eastAsia="Arial" w:hAnsi="Arial"/>
          <w:sz w:val="16"/>
          <w:szCs w:val="16"/>
          <w:color w:val="auto"/>
        </w:rPr>
      </w:pPr>
    </w:p>
    <w:p>
      <w:pPr>
        <w:jc w:val="both"/>
        <w:ind w:firstLine="656"/>
        <w:spacing w:after="0" w:line="257" w:lineRule="auto"/>
        <w:tabs>
          <w:tab w:leader="none" w:pos="899"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For the avoidance of doubt, (i) nothing herein shall serve to limit or prohibit the Company’s right to pursue a claim against Parent pursuant to this Agreement for legal relief against monies or other assets of Parent held outside the Trust Account or for specific performance or other equitable relief in connection with the Transactions or for intentional fraud in the making of the representations and warranties in </w:t>
      </w:r>
      <w:r>
        <w:rPr>
          <w:rFonts w:ascii="Arial" w:cs="Arial" w:eastAsia="Arial" w:hAnsi="Arial"/>
          <w:sz w:val="18"/>
          <w:szCs w:val="18"/>
          <w:u w:val="single" w:color="auto"/>
          <w:color w:val="auto"/>
        </w:rPr>
        <w:t>Article V</w:t>
      </w:r>
      <w:r>
        <w:rPr>
          <w:rFonts w:ascii="Arial" w:cs="Arial" w:eastAsia="Arial" w:hAnsi="Arial"/>
          <w:sz w:val="18"/>
          <w:szCs w:val="18"/>
          <w:color w:val="auto"/>
        </w:rPr>
        <w:t>; and (ii) nothing herein shall serve to limit or prohibit any claims that the Company may have in the future pursuant to this Agreement against Parent’s assets or funds that are not held in the Trust Account.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Disclosure of Certain Matters</w:t>
      </w:r>
      <w:r>
        <w:rPr>
          <w:rFonts w:ascii="Arial" w:cs="Arial" w:eastAsia="Arial" w:hAnsi="Arial"/>
          <w:sz w:val="18"/>
          <w:szCs w:val="18"/>
          <w:color w:val="auto"/>
        </w:rPr>
        <w:t xml:space="preserve">. Each of Parent, Merger Sub and the Company will promptly provide the other Parties with prompt written notice of any event, development or condition of which they have Knowledge that: (a) is reasonably likely to cause any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not to be satisfied; or (b) would require any amendment or supplement to the Proxy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Securities Listing ; Parent Public Filings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96" w:lineRule="auto"/>
        <w:tabs>
          <w:tab w:leader="none" w:pos="893"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Parent will use its reasonable best efforts to cause the shares of Parent Class A Stock issued in connection with the Transactions to be approved for listing on Nasdaq at Closing. During the period from the date hereof until the Closing, Parent shall use its reasonable best efforts to ensure Parent remains listed as a public company on Nasdaq and keep the Parent Class A Stock and Parent Warrants listed for trading on Nasdaq. After the Closing, Parent shall use commercially reasonable efforts to: (a) continue the listing for trading of the Parent Class A Stock and Parent Warrants on Nasdaq; and (b) in the event any Earn-Out Shares become issuable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cause such Earn-Out Shares to be approved for listing on Nasdaq.</w:t>
      </w:r>
    </w:p>
    <w:p>
      <w:pPr>
        <w:spacing w:after="0" w:line="161" w:lineRule="exact"/>
        <w:rPr>
          <w:rFonts w:ascii="Arial" w:cs="Arial" w:eastAsia="Arial" w:hAnsi="Arial"/>
          <w:sz w:val="16"/>
          <w:szCs w:val="16"/>
          <w:color w:val="auto"/>
        </w:rPr>
      </w:pPr>
    </w:p>
    <w:p>
      <w:pPr>
        <w:ind w:right="20" w:firstLine="656"/>
        <w:spacing w:after="0" w:line="277" w:lineRule="auto"/>
        <w:tabs>
          <w:tab w:leader="none" w:pos="903" w:val="left"/>
        </w:tabs>
        <w:numPr>
          <w:ilvl w:val="0"/>
          <w:numId w:val="84"/>
        </w:numPr>
        <w:rPr>
          <w:rFonts w:ascii="Arial" w:cs="Arial" w:eastAsia="Arial" w:hAnsi="Arial"/>
          <w:sz w:val="18"/>
          <w:szCs w:val="18"/>
          <w:color w:val="auto"/>
        </w:rPr>
      </w:pPr>
      <w:r>
        <w:rPr>
          <w:rFonts w:ascii="Arial" w:cs="Arial" w:eastAsia="Arial" w:hAnsi="Arial"/>
          <w:sz w:val="18"/>
          <w:szCs w:val="18"/>
          <w:color w:val="auto"/>
        </w:rPr>
        <w:t>From the date hereof through the Closing, Parent will keep current and timely file all reports required to be filed or furnished with the SEC and otherwise comply in all material respects with its reporting obligations under applicable securities laws.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8" w:lineRule="auto"/>
        <w:tabs>
          <w:tab w:leader="none" w:pos="8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During the period from the date of this Agreement and continuing until the earlier of the termination of this Agreement pursuant to its terms or the Closing, the Company shall not, and shall cause its Subsidiaries not to, and shall direct its stockholders, employees, agents, officers, directors, representatives and advisors (collectively, in each case in their capacity as such, “</w:t>
      </w:r>
      <w:r>
        <w:rPr>
          <w:rFonts w:ascii="Arial" w:cs="Arial" w:eastAsia="Arial" w:hAnsi="Arial"/>
          <w:sz w:val="16"/>
          <w:szCs w:val="16"/>
          <w:u w:val="single" w:color="auto"/>
          <w:color w:val="auto"/>
        </w:rPr>
        <w:t>Representatives</w:t>
      </w:r>
      <w:r>
        <w:rPr>
          <w:rFonts w:ascii="Arial" w:cs="Arial" w:eastAsia="Arial" w:hAnsi="Arial"/>
          <w:sz w:val="16"/>
          <w:szCs w:val="16"/>
          <w:color w:val="auto"/>
        </w:rPr>
        <w:t>”) not to, directly or indirectly: (i) solicit, initiate, enter into or continue discussions, negotiations or transactions with, or encourage or respond to any inquiries or proposals by, or provide any information to, any Person (other than Parent and its agents, representatives, advisors) concerning any merger, sale of ownership interests and/or assets of the Company, recapitalization or similar transaction (each, a “</w:t>
      </w:r>
      <w:r>
        <w:rPr>
          <w:rFonts w:ascii="Arial" w:cs="Arial" w:eastAsia="Arial" w:hAnsi="Arial"/>
          <w:sz w:val="16"/>
          <w:szCs w:val="16"/>
          <w:u w:val="single" w:color="auto"/>
          <w:color w:val="auto"/>
        </w:rPr>
        <w:t>Company Business Combination</w:t>
      </w:r>
      <w:r>
        <w:rPr>
          <w:rFonts w:ascii="Arial" w:cs="Arial" w:eastAsia="Arial" w:hAnsi="Arial"/>
          <w:sz w:val="16"/>
          <w:szCs w:val="16"/>
          <w:color w:val="auto"/>
        </w:rPr>
        <w:t>”); (ii) enter into any agreement regarding, continue or otherwise participate in any discussions or negotiations regarding, or cooperate in any way that would otherwise reasonably be expected to lead to a Company Business Combination; or (iii) commence, continue or renew any due diligence investigation regarding a Company Business Combination. In addition, the Company shall, and shall cause its Subsidiaries and the Company Stockholders to, and shall cause their respective Representatives to, immediately cease any and all existing discussions or negotiations with any Person with respect to any Company Business Combination.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656"/>
        <w:spacing w:after="0" w:line="270" w:lineRule="auto"/>
        <w:tabs>
          <w:tab w:leader="none" w:pos="905" w:val="left"/>
        </w:tabs>
        <w:numPr>
          <w:ilvl w:val="0"/>
          <w:numId w:val="86"/>
        </w:numPr>
        <w:rPr>
          <w:rFonts w:ascii="Arial" w:cs="Arial" w:eastAsia="Arial" w:hAnsi="Arial"/>
          <w:sz w:val="17"/>
          <w:szCs w:val="17"/>
          <w:color w:val="auto"/>
        </w:rPr>
      </w:pPr>
      <w:r>
        <w:rPr>
          <w:rFonts w:ascii="Arial" w:cs="Arial" w:eastAsia="Arial" w:hAnsi="Arial"/>
          <w:sz w:val="17"/>
          <w:szCs w:val="17"/>
          <w:color w:val="auto"/>
        </w:rPr>
        <w:t>During the period from the date of this Agreement and continuing until the earlier of the termination of this Agreement pursuant to its terms or the Closing, Parent and Merger Sub shall not, and shall direct their respective Representatives not to, directly or indirectly: (i) solicit, initiate, enter into or continue discussions or transactions with, or encourage or respond to any inquiries or proposals by, or provide any information to, any Person (other than the Company, the Company Stockholders and their respective Representatives) concerning any merger, purchase of ownership interests or assets of Parent, recapitalization or similar business combination transaction (each, a “</w:t>
      </w:r>
      <w:r>
        <w:rPr>
          <w:rFonts w:ascii="Arial" w:cs="Arial" w:eastAsia="Arial" w:hAnsi="Arial"/>
          <w:sz w:val="17"/>
          <w:szCs w:val="17"/>
          <w:u w:val="single" w:color="auto"/>
          <w:color w:val="auto"/>
        </w:rPr>
        <w:t>Parent Business Combination</w:t>
      </w:r>
      <w:r>
        <w:rPr>
          <w:rFonts w:ascii="Arial" w:cs="Arial" w:eastAsia="Arial" w:hAnsi="Arial"/>
          <w:sz w:val="17"/>
          <w:szCs w:val="17"/>
          <w:color w:val="auto"/>
        </w:rPr>
        <w:t>”); (ii) enter into any agreement regarding, continue or otherwise participate in any discussions or negotiations regarding, or cooperate in any way that would otherwise reasonably be expected to lead to a Parent Business Combination; or (iii) commence, continue or renew any due diligence investigation regarding a Parent Business Combination. Parent and Merger Sub shall, and shall cause their respective Representatives to, immediately cease any and all existing discussions or negotiations with any Person with respect to any Parent Business Combination.</w:t>
      </w:r>
    </w:p>
    <w:p>
      <w:pPr>
        <w:spacing w:after="0" w:line="180" w:lineRule="exact"/>
        <w:rPr>
          <w:rFonts w:ascii="Arial" w:cs="Arial" w:eastAsia="Arial" w:hAnsi="Arial"/>
          <w:sz w:val="17"/>
          <w:szCs w:val="17"/>
          <w:color w:val="auto"/>
        </w:rPr>
      </w:pPr>
    </w:p>
    <w:p>
      <w:pPr>
        <w:jc w:val="both"/>
        <w:ind w:firstLine="656"/>
        <w:spacing w:after="0" w:line="291" w:lineRule="auto"/>
        <w:tabs>
          <w:tab w:leader="none" w:pos="898"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Party shall promptly (and in no event later than 24 hours after becoming aware of such inquiry, proposal, offer or submission) notify the other Parties (and in the case of Parent’s receipt of a Parent Business Combination proposal, Parent shall also provide notice to the Company) if it or, to its Knowledge, any of its or its Representatives receives any inquiry, proposal, offer or submission with respect to a Company Business Combination or Parent Business Combination, as applicable (including the identity of the Person making such inquiry or submitting such proposal, offer or submission), after the execution and delivery of this Agreement. If either Party or its Representatives receives an inquiry, proposal, offer or submission with respect to a Company Business Combination or Parent Business Combination, as applicable, such Party shall provide the other Parties with a copy of such inquiry, proposal, offer or submission (and in the case of Parent’s receipt, Parent shall also provide copies to the Company).</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Prior to the Closing, none of the funds held in the Trust Account may be used or released except for the withdrawal of interest to pay any tax obligation owed by Parent as a result of assets owned by Parent, including franchise taxes. Upon satisfaction or waiver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provision of notice thereof to Continental (which notice Parent shall provide to Continental in accordance with the terms of the Trust Agreement): (a) in accordance with and pursuant to the Trust Agreement, at the Closing, Parent: (i) shall cause the documents, opinions and notices required to be delivered to Continental pursuant to the Trust Agreement to be so delivered, including providing Continental with the Trust Termination Letter; and (ii) shall use best efforts to cause Continental to, and Continental shall thereupon be obligated to, distribute the Trust Account as directed in the Trust Termination Letter, including all amounts payable to: (A) to stockholders who elect to have their Parent Class A Stock converted to cash in accordance with the provisions of Parent’s Charter Documents in respect of Parent Stockholder Redemptions; (B) for income tax or other tax obligations of Parent prior to Closing; (C) for any Parent Transaction Costs and any Company Transaction Costs; and (D) as repayment of loans and reimbursement of expenses to directors, officers and stockholders of Parent; and (b) thereafter, the Trust Account shall terminate, except as otherwise provided therein.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Directors’ and Officers’ Liability Insurance</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7" w:lineRule="auto"/>
        <w:tabs>
          <w:tab w:leader="none" w:pos="9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Parent agrees that all rights to exculpation, indemnification and advancement of expenses now existing in favor of the current or former directors or officers, as the case may be, of any Group Company (each, together with such person’s heirs, executors or administrators, a “</w:t>
      </w:r>
      <w:r>
        <w:rPr>
          <w:rFonts w:ascii="Arial" w:cs="Arial" w:eastAsia="Arial" w:hAnsi="Arial"/>
          <w:sz w:val="16"/>
          <w:szCs w:val="16"/>
          <w:u w:val="single" w:color="auto"/>
          <w:color w:val="auto"/>
        </w:rPr>
        <w:t>D&amp;O 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xml:space="preserve">”), as provided in their respective Charter Documents or in any indemnification agreement with respect to any Group Company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7.12(a)</w:t>
      </w:r>
      <w:r>
        <w:rPr>
          <w:rFonts w:ascii="Arial" w:cs="Arial" w:eastAsia="Arial" w:hAnsi="Arial"/>
          <w:sz w:val="16"/>
          <w:szCs w:val="16"/>
          <w:color w:val="auto"/>
        </w:rPr>
        <w:t xml:space="preserve"> of the Company Disclosure Letter shall survive the Closing and shall continue in full force and effect. For a period of six years from the Closing Date, Parent shall use reasonable best efforts cause the Group Companies to maintain in effect the exculpation, indemnification and advancement of expenses provisions of such Group Company’s Charter Documents as in effect immediately prior to the Closing Date or in any indemnification agreements of each Group Company with any D&amp;O Indemnified Party as in effect immediately prior to the Closing Date, and Parent shall, and shall use reasonable best efforts to cause the Group Companies to, not amend, repeal or otherwise modify any such provisions in any manner that would adversely affect the rights thereunder of any D&amp;O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all rights to indemnification or advancement of expenses in respect of any Legal Proceedings pending or asserted or any claim made within such period shall continue until the disposition of such Legal Proceeding or resolution of such claim. From and after the Closing Date, Parent shall use reasonable best efforts to cause the Group Companies to honor, in accordance with their respective terms, each of the covenants contained in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without limit as to time.</w:t>
      </w:r>
    </w:p>
    <w:p>
      <w:pPr>
        <w:spacing w:after="0" w:line="167" w:lineRule="exact"/>
        <w:rPr>
          <w:rFonts w:ascii="Arial" w:cs="Arial" w:eastAsia="Arial" w:hAnsi="Arial"/>
          <w:sz w:val="16"/>
          <w:szCs w:val="16"/>
          <w:color w:val="auto"/>
        </w:rPr>
      </w:pPr>
    </w:p>
    <w:p>
      <w:pPr>
        <w:jc w:val="both"/>
        <w:ind w:firstLine="656"/>
        <w:spacing w:after="0" w:line="272" w:lineRule="auto"/>
        <w:tabs>
          <w:tab w:leader="none" w:pos="913" w:val="left"/>
        </w:tabs>
        <w:numPr>
          <w:ilvl w:val="0"/>
          <w:numId w:val="87"/>
        </w:numPr>
        <w:rPr>
          <w:rFonts w:ascii="Arial" w:cs="Arial" w:eastAsia="Arial" w:hAnsi="Arial"/>
          <w:sz w:val="17"/>
          <w:szCs w:val="17"/>
          <w:color w:val="auto"/>
        </w:rPr>
      </w:pPr>
      <w:r>
        <w:rPr>
          <w:rFonts w:ascii="Arial" w:cs="Arial" w:eastAsia="Arial" w:hAnsi="Arial"/>
          <w:sz w:val="17"/>
          <w:szCs w:val="17"/>
          <w:color w:val="auto"/>
        </w:rPr>
        <w:t>Prior to the Closing, the Company shall use reasonable best efforts to purchase a “tail” or “runoff” directors’ and officers’ liability insurance policy (the “</w:t>
      </w:r>
      <w:r>
        <w:rPr>
          <w:rFonts w:ascii="Arial" w:cs="Arial" w:eastAsia="Arial" w:hAnsi="Arial"/>
          <w:sz w:val="17"/>
          <w:szCs w:val="17"/>
          <w:u w:val="single" w:color="auto"/>
          <w:color w:val="auto"/>
        </w:rPr>
        <w:t>D&amp;O Tail</w:t>
      </w:r>
      <w:r>
        <w:rPr>
          <w:rFonts w:ascii="Arial" w:cs="Arial" w:eastAsia="Arial" w:hAnsi="Arial"/>
          <w:sz w:val="17"/>
          <w:szCs w:val="17"/>
          <w:color w:val="auto"/>
        </w:rPr>
        <w:t xml:space="preserve">”) in respect of acts or omissions occurring prior to the Effective Time covering each such Person that is a director or officer of a Group Company currently covered by a directors’ and officers’ liability insurance policy of one or more Group Companies on terms with respect to coverage, deductibles and amounts no less favorable than those of such policy in effect on the date of this Agreement for the six-year period following the Closing. Parent shall, and shall use reasonable best efforts to cause the Surviving Corporation to, maintain the D&amp;O Tail in full force and effect for its full term and cause all obligations thereunder to be honored by the Group Companies, as applicable, and no other party shall have any further obligation to purchase or pay for such insurance pursuant to this </w:t>
      </w:r>
      <w:r>
        <w:rPr>
          <w:rFonts w:ascii="Arial" w:cs="Arial" w:eastAsia="Arial" w:hAnsi="Arial"/>
          <w:sz w:val="17"/>
          <w:szCs w:val="17"/>
          <w:u w:val="single" w:color="auto"/>
          <w:color w:val="auto"/>
        </w:rPr>
        <w:t>Section 7.12(b)</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296"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The rights of each D&amp;O Indemnified Party hereunder shall be in addition to, and not in limitation of, any other rights such person may have under the Charter Documents of any Group Company, any other indemnification arrangement, any Legal Requirement or otherwise. The obligations of Parent and the Group Companies under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shall not be terminated or modified in such a manner as to adversely affect any D&amp;O Indemnified Party without the consent of such D&amp;O Indemnified Party. The provisions of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shall survive the Closing and expressly are intended to benefit, and are enforceable by, each of the D&amp;O Indemnified Parties, each of whom is an intended third-party beneficiary of this </w:t>
      </w:r>
      <w:r>
        <w:rPr>
          <w:rFonts w:ascii="Arial" w:cs="Arial" w:eastAsia="Arial" w:hAnsi="Arial"/>
          <w:sz w:val="16"/>
          <w:szCs w:val="16"/>
          <w:u w:val="single" w:color="auto"/>
          <w:color w:val="auto"/>
        </w:rPr>
        <w:t>Section 7.12</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656"/>
        <w:spacing w:after="0" w:line="259" w:lineRule="auto"/>
        <w:tabs>
          <w:tab w:leader="none" w:pos="912"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If Parent or, after the Closing, any Group Company, or any of their respective successors or assigns: (i) consolidates with or merges into any other Person and shall not be the continuing or surviving entity of such consolidation or merger; or (ii) transfers or conveys all or substantially all of its properties and assets to any Person, then, in each such case, proper provision shall be made so that the successors and assigns of Parent or such Group Company, as applicable, assume the obligations set forth in this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02"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or before the Closing, Parent shall obtain a directors’ and officers’ liability insurance policy on terms satisfactory to the Company, which policy shall provide coverage for the directors and officers of Parent as of immediately following the Closing (and the Company and Parent shall reasonably cooperate with respect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7.13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311" w:lineRule="auto"/>
        <w:tabs>
          <w:tab w:leader="none" w:pos="894" w:val="left"/>
        </w:tabs>
        <w:numPr>
          <w:ilvl w:val="0"/>
          <w:numId w:val="88"/>
        </w:numPr>
        <w:rPr>
          <w:rFonts w:ascii="Arial" w:cs="Arial" w:eastAsia="Arial" w:hAnsi="Arial"/>
          <w:sz w:val="16"/>
          <w:szCs w:val="16"/>
          <w:color w:val="auto"/>
        </w:rPr>
      </w:pPr>
      <w:r>
        <w:rPr>
          <w:rFonts w:ascii="Arial" w:cs="Arial" w:eastAsia="Arial" w:hAnsi="Arial"/>
          <w:sz w:val="16"/>
          <w:szCs w:val="16"/>
          <w:color w:val="auto"/>
        </w:rPr>
        <w:t>Parent covenants that it will file a consolidated U.S. federal income Tax Return with the applicable Group Companies for the period starting on the day following the Closing Date and, for U.S. federal income Tax purposes, and the applicable Group Companies will become members of the affiliated group of corporations of which Parent is the common parent or of which Parent is a member on the day following the Closing Date.</w:t>
      </w:r>
    </w:p>
    <w:p>
      <w:pPr>
        <w:spacing w:after="0" w:line="148" w:lineRule="exact"/>
        <w:rPr>
          <w:rFonts w:ascii="Arial" w:cs="Arial" w:eastAsia="Arial" w:hAnsi="Arial"/>
          <w:sz w:val="16"/>
          <w:szCs w:val="16"/>
          <w:color w:val="auto"/>
        </w:rPr>
      </w:pPr>
    </w:p>
    <w:p>
      <w:pPr>
        <w:jc w:val="both"/>
        <w:ind w:firstLine="656"/>
        <w:spacing w:after="0" w:line="259" w:lineRule="auto"/>
        <w:tabs>
          <w:tab w:leader="none" w:pos="9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transfer, documentary, sales, use, stamp, registration, excise, recording, registration value added and other such similar Taxes and fees (including any penalties and interest) that become payable in connection with or by reason of the execution of this Agreement and the Transactions shall be borne and paid by the Parent. Parent shall timely file any Tax Return or other document with respect to such Taxes or fees (and the Company and Parent shall reasonably cooperate with respect thereto as necessary).</w:t>
      </w:r>
    </w:p>
    <w:p>
      <w:pPr>
        <w:spacing w:after="0" w:line="186" w:lineRule="exact"/>
        <w:rPr>
          <w:rFonts w:ascii="Arial" w:cs="Arial" w:eastAsia="Arial" w:hAnsi="Arial"/>
          <w:sz w:val="18"/>
          <w:szCs w:val="18"/>
          <w:color w:val="auto"/>
        </w:rPr>
      </w:pPr>
    </w:p>
    <w:p>
      <w:pPr>
        <w:jc w:val="both"/>
        <w:ind w:firstLine="656"/>
        <w:spacing w:after="0" w:line="273" w:lineRule="auto"/>
        <w:tabs>
          <w:tab w:leader="none" w:pos="904"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On the Closing Date, the Company shall provide Parent with a certificate on behalf of the Company, prepared in a manner consistent and in accordance with the requirements of Treasury Regulation Sections 1.897-2(g), (h) and 1.1445-2(c)(3), certifying that no interest in the Company is, or has been during the relevant period specified in Section 897(c)(1)(A)(ii) of the Code, a “U.S. real property interest” within the meaning of Section 897(c) of the Code, and a form of notice to the Internal Revenue Service prepared in accordance with the provisions of Treasury Regulations Section 1.897-2(h)(2);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to the contrary, Parent’s sole remedy in the event the Company fails to deliver such certificate shall be to make a proper withholding of Tax to the extent required by applicable Tax law.</w:t>
      </w:r>
    </w:p>
    <w:p>
      <w:pPr>
        <w:spacing w:after="0" w:line="177" w:lineRule="exact"/>
        <w:rPr>
          <w:rFonts w:ascii="Arial" w:cs="Arial" w:eastAsia="Arial" w:hAnsi="Arial"/>
          <w:sz w:val="17"/>
          <w:szCs w:val="17"/>
          <w:color w:val="auto"/>
        </w:rPr>
      </w:pPr>
    </w:p>
    <w:p>
      <w:pPr>
        <w:jc w:val="both"/>
        <w:ind w:firstLine="656"/>
        <w:spacing w:after="0" w:line="257" w:lineRule="auto"/>
        <w:tabs>
          <w:tab w:leader="none" w:pos="89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Tax sharing agreements or similar arrangements with respect to or involving any Group Company (other than any agreement entered into in the ordinary course of business and not primarily concerning Taxes or any agreement the only parties to which are Group Companies) shall be terminated prior to the Closing Date and, after the Closing Date, none of the Group Companies shall be bound thereby or have any liability thereunder for amounts due in respect of periods ending on or before the Closing Date, and there shall be no continuing obligation after the Closing Date to make any payments under any such agreements or arrangements.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Equity Financing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4" w:lineRule="auto"/>
        <w:tabs>
          <w:tab w:leader="none" w:pos="894"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Parent shall not permit any amendment or modification to be made to, or any waiver of any provision or remedy under, or any replacements of, the Equity Financing Agreements, in each case, without the prior written consent of the Company (such consent not to be unreasonably withheld, conditioned or delayed in respect of any such amendment, modification, waiver or replacement that is not and would not reasonably be expected to be materially adverse to the Company or the Company Stockholders). Parent shall use its reasonable best efforts to take, or cause to be taken, all actions and do, or cause to be done, all things necessary, proper or advisable to consummate the transactions contemplated by the Equity Financing Agreements on the terms and conditions described therein, including maintaining in effect the Equity Financing Agreements and using its reasonable best efforts to: (i) satisfy in all material respects on a timely basis all conditions and covenants applicable to Parent in the Equity Financing Agreements and otherwise comply with its obligations thereunder; (ii) in the event that all conditions in the Equity Financing Agreements (other than conditions that Parent or any of its Affiliates control the satisfaction of and other than those conditions that by their nature are to be satisfied at the Closing) have been satisfied, consummate transactions contemplated by the Equity Financing Agreements at or prior to Closing; and (iii) enforce its rights under the Equity Financing Agreements in the event that all conditions in the Equity Financing Agreements (other than conditions that Parent or any of its Affiliates control the satisfaction of and other than those conditions that by their nature are to be satisfied at the Closing) have been satisfied, to cause the applicable Equity Financing Investor to contribute to Parent the applicable portion of the Equity Financing Amount set forth in the applicable Equity Financing Agreement at or prior to the Closing. Without limiting the generality of the foregoing, Parent shall give the Company prompt (and, in any event within three (3) Business Days) written notice: (A) of any breach or default (or any event or circumstance that, with or without notice, lapse of time or both, could give rise to any breach or default) by any party to any Equity Financing Agreement known to Parent; (B) of the receipt of any written notice or other written communication from any party to any Equity Financing Agreement with respect to any actual, potential or claimed expiration, lapse, withdrawal, breach, default, termination or repudiation by any party to any Equity Financing Agreement or any provisions of any Equity Financing Agreement; and (C) if Parent does not expect to receive all or any portion of the Equity Financing Amount on the terms, in the manner or from the sources contemplated by the Equity Financing Agreements. The Equity Financing Agreements contain all of the conditions precedent to the obligations of the Equity Financing Investors to contribute to Parent the applicable portion of the Equity Financing Amount set forth in the applicable Equity Financing Agreement on the terms therein.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56"/>
        <w:spacing w:after="0" w:line="257" w:lineRule="auto"/>
        <w:tabs>
          <w:tab w:leader="none" w:pos="906"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Parent shall use its reasonable best efforts to cause the Equity Financing Investors to contribute the Equity Financing Amount at or prior to the Closing if all conditions set forth in the applicable Equity Financing Agreement have been satisfied or waived (other than those conditions that by their nature are to be satisfied at the Closing and other than conditions that Parent or any of its Affiliates control the satisfaction of). Parent shall use its reasonable best efforts to take, or cause to be taken, all actions required to obtain the Equity Financing Amount contemplated by the Equity Financing Agreements, including enforcing the rights of Parent under the Equity Financing Agreements.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Parent shall take all reasonable steps as may be required or permitted to cause any acquisition or disposition of the Parent Class A Stock that occurs or is deemed to occur by reason of or pursuant to the Transactions by each individual who is or will be subject to the reporting requirements of Section 16(a) of the Exchange Act with respect to Parent to be exempt under Rule 16b-3 promulgated under the Exchange Act, including by taking steps in accordance with the No-Action Letter, dated January 12, 1999, issued by the SEC regarding such matters.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77" w:lineRule="auto"/>
        <w:tabs>
          <w:tab w:leader="none" w:pos="902"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the terms of the Parent’s Charter Documents, Parent shall take all such action within its power as may be necessary or appropriate such that immediately following the Effective Time:</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3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board of directors of Parent shall consist of up to nine (9) directors, which shall initially include: (i) Nat Turner, Emily Leproust and Eli Casdin, as designees of Parent; and (ii) the remaining director nominees to be designated by the Company pursuant to written notice to Parent as soon as reasonably practicable following the date of this Agreement; and</w:t>
      </w:r>
    </w:p>
    <w:p>
      <w:pPr>
        <w:spacing w:after="0" w:line="183" w:lineRule="exact"/>
        <w:rPr>
          <w:rFonts w:ascii="Arial" w:cs="Arial" w:eastAsia="Arial" w:hAnsi="Arial"/>
          <w:sz w:val="18"/>
          <w:szCs w:val="18"/>
          <w:color w:val="auto"/>
        </w:rPr>
      </w:pPr>
    </w:p>
    <w:p>
      <w:pPr>
        <w:ind w:left="660" w:right="20" w:firstLine="644"/>
        <w:spacing w:after="0" w:line="308" w:lineRule="auto"/>
        <w:tabs>
          <w:tab w:leader="none" w:pos="1575"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board of directors of Parent shall have a majority of “independent” directors for the purposes of Nasdaq rules, each of whom shall serve in such capacity in accordance with the terms of the Parent’s Organizational Documents following the Effective Time.</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43"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the Closing Date, Parent shall enter into customary indemnification agreements reasonably satisfactory to the Company with each individual to be appointed to, or serving on, the board of directors of Parent upon the Closing, which indemnification agreements shall continue to be effective following the Closing (the “</w:t>
      </w:r>
      <w:r>
        <w:rPr>
          <w:rFonts w:ascii="Arial" w:cs="Arial" w:eastAsia="Arial" w:hAnsi="Arial"/>
          <w:sz w:val="18"/>
          <w:szCs w:val="18"/>
          <w:u w:val="single" w:color="auto"/>
          <w:color w:val="auto"/>
        </w:rPr>
        <w:t>Indemnification Agreements</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648"/>
        <w:spacing w:after="0" w:line="296" w:lineRule="auto"/>
        <w:rPr>
          <w:sz w:val="20"/>
          <w:szCs w:val="20"/>
          <w:color w:val="auto"/>
        </w:rPr>
      </w:pPr>
      <w:r>
        <w:rPr>
          <w:rFonts w:ascii="Arial" w:cs="Arial" w:eastAsia="Arial" w:hAnsi="Arial"/>
          <w:sz w:val="16"/>
          <w:szCs w:val="16"/>
          <w:color w:val="auto"/>
        </w:rPr>
        <w:t xml:space="preserve">Section 7.18 </w:t>
      </w:r>
      <w:r>
        <w:rPr>
          <w:rFonts w:ascii="Arial" w:cs="Arial" w:eastAsia="Arial" w:hAnsi="Arial"/>
          <w:sz w:val="16"/>
          <w:szCs w:val="16"/>
          <w:u w:val="single" w:color="auto"/>
          <w:color w:val="auto"/>
        </w:rPr>
        <w:t>LTIP and ESPP</w:t>
      </w:r>
      <w:r>
        <w:rPr>
          <w:rFonts w:ascii="Arial" w:cs="Arial" w:eastAsia="Arial" w:hAnsi="Arial"/>
          <w:sz w:val="16"/>
          <w:szCs w:val="16"/>
          <w:color w:val="auto"/>
        </w:rPr>
        <w:t xml:space="preserve">. Effective as of (and contingent on) the Closing, Parent shall adopt (a) the LTIP,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(as such form may be modified in accordance with this </w:t>
      </w:r>
      <w:r>
        <w:rPr>
          <w:rFonts w:ascii="Arial" w:cs="Arial" w:eastAsia="Arial" w:hAnsi="Arial"/>
          <w:sz w:val="16"/>
          <w:szCs w:val="16"/>
          <w:u w:val="single" w:color="auto"/>
          <w:color w:val="auto"/>
        </w:rPr>
        <w:t>Section 7.18</w:t>
      </w:r>
      <w:r>
        <w:rPr>
          <w:rFonts w:ascii="Arial" w:cs="Arial" w:eastAsia="Arial" w:hAnsi="Arial"/>
          <w:sz w:val="16"/>
          <w:szCs w:val="16"/>
          <w:color w:val="auto"/>
        </w:rPr>
        <w:t xml:space="preserve">) and (b) the ESPP, in substantially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(as such form may be modified in accordance with this </w:t>
      </w:r>
      <w:r>
        <w:rPr>
          <w:rFonts w:ascii="Arial" w:cs="Arial" w:eastAsia="Arial" w:hAnsi="Arial"/>
          <w:sz w:val="16"/>
          <w:szCs w:val="16"/>
          <w:u w:val="single" w:color="auto"/>
          <w:color w:val="auto"/>
        </w:rPr>
        <w:t>Section 7.18</w:t>
      </w:r>
      <w:r>
        <w:rPr>
          <w:rFonts w:ascii="Arial" w:cs="Arial" w:eastAsia="Arial" w:hAnsi="Arial"/>
          <w:sz w:val="16"/>
          <w:szCs w:val="16"/>
          <w:color w:val="auto"/>
        </w:rPr>
        <w:t>). The Company may propose further edits to the LTIP and the ESPP based on recommendations from the Company’s compensation consultant and the board of directors of the Company, which, after consideration and approval by Parent, not to be unreasonably withheld or delayed, shall be incorporated into the LTIP and the ESPP in advance of the Special Meeting.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9" w:lineRule="auto"/>
        <w:tabs>
          <w:tab w:leader="none" w:pos="905" w:val="left"/>
        </w:tabs>
        <w:numPr>
          <w:ilvl w:val="1"/>
          <w:numId w:val="92"/>
        </w:numPr>
        <w:rPr>
          <w:rFonts w:ascii="Arial" w:cs="Arial" w:eastAsia="Arial" w:hAnsi="Arial"/>
          <w:sz w:val="17"/>
          <w:szCs w:val="17"/>
          <w:color w:val="auto"/>
        </w:rPr>
      </w:pPr>
      <w:r>
        <w:rPr>
          <w:rFonts w:ascii="Arial" w:cs="Arial" w:eastAsia="Arial" w:hAnsi="Arial"/>
          <w:sz w:val="17"/>
          <w:szCs w:val="17"/>
          <w:color w:val="auto"/>
        </w:rPr>
        <w:t>Effective upon and following the Closing, Parent, on its own behalf and on behalf of its respective Affiliates and Representatives, generally, irrevocably, unconditionally and completely releases and forever discharges the Company, each Company Stockholder, its Affiliates, and its and their respective Related Parties, (collectively, the “</w:t>
      </w:r>
      <w:r>
        <w:rPr>
          <w:rFonts w:ascii="Arial" w:cs="Arial" w:eastAsia="Arial" w:hAnsi="Arial"/>
          <w:sz w:val="17"/>
          <w:szCs w:val="17"/>
          <w:u w:val="single" w:color="auto"/>
          <w:color w:val="auto"/>
        </w:rPr>
        <w:t>Company Stockholder Released Parties</w:t>
      </w:r>
      <w:r>
        <w:rPr>
          <w:rFonts w:ascii="Arial" w:cs="Arial" w:eastAsia="Arial" w:hAnsi="Arial"/>
          <w:sz w:val="17"/>
          <w:szCs w:val="17"/>
          <w:color w:val="auto"/>
        </w:rPr>
        <w:t>”) from all disputes, claims, losses, controversies, demands, rights, Liabilities, actions and causes of action of every kind and nature, whether known or unknown, arising from any matter concerning any Group Company occurring prior to the Closing Date (other than as contemplated by this Agreement and the other Transaction Agreements), including for controlling equityholder liability or breach of any fiduciary duty relating to any pre-Closing actions or failures to act by the Company Stockholder Released Parties; provided, however, that nothing in this 7.19(a) shall release any Company Stockholder Released Parties from (i) their obligations under this Agreement or the other Transaction Agreements; (ii) as applicable, any disputes, claims, losses, controversies, demands, rights, Liabilities, breaches of fiduciary duty, actions and causes of action arising out of such Company Stockholder Released Party’s employment by any Group Company; (iii) any commercial Contract between the Company and a Company Stockholder Released Party that is in force as of the Closing Date or (iv) from any claim of fraud on the part of any Company Stockholder Released Party.</w:t>
      </w:r>
    </w:p>
    <w:p>
      <w:pPr>
        <w:spacing w:after="0" w:line="181" w:lineRule="exact"/>
        <w:rPr>
          <w:rFonts w:ascii="Arial" w:cs="Arial" w:eastAsia="Arial" w:hAnsi="Arial"/>
          <w:sz w:val="17"/>
          <w:szCs w:val="17"/>
          <w:color w:val="auto"/>
        </w:rPr>
      </w:pPr>
    </w:p>
    <w:p>
      <w:pPr>
        <w:jc w:val="both"/>
        <w:ind w:firstLine="656"/>
        <w:spacing w:after="0" w:line="284" w:lineRule="auto"/>
        <w:tabs>
          <w:tab w:leader="none" w:pos="9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Effective upon and following the Closing, each Company Stockholder (solely in its capacity as a stockholder of the Company), on its own behalf and on behalf of each of its Affiliates and Representatives (collectively, the “</w:t>
      </w:r>
      <w:r>
        <w:rPr>
          <w:rFonts w:ascii="Arial" w:cs="Arial" w:eastAsia="Arial" w:hAnsi="Arial"/>
          <w:sz w:val="16"/>
          <w:szCs w:val="16"/>
          <w:u w:val="single" w:color="auto"/>
          <w:color w:val="auto"/>
        </w:rPr>
        <w:t>Company Stockholder Releasing Parties</w:t>
      </w:r>
      <w:r>
        <w:rPr>
          <w:rFonts w:ascii="Arial" w:cs="Arial" w:eastAsia="Arial" w:hAnsi="Arial"/>
          <w:sz w:val="16"/>
          <w:szCs w:val="16"/>
          <w:color w:val="auto"/>
        </w:rPr>
        <w:t>”), generally, irrevocably, unconditionally and completely releases and forever discharges each of Parent and each Group Company, their respective Affiliates, and its and their respective Related Parties (collectively, the “</w:t>
      </w:r>
      <w:r>
        <w:rPr>
          <w:rFonts w:ascii="Arial" w:cs="Arial" w:eastAsia="Arial" w:hAnsi="Arial"/>
          <w:sz w:val="16"/>
          <w:szCs w:val="16"/>
          <w:u w:val="single" w:color="auto"/>
          <w:color w:val="auto"/>
        </w:rPr>
        <w:t>Parent Released Parties</w:t>
      </w:r>
      <w:r>
        <w:rPr>
          <w:rFonts w:ascii="Arial" w:cs="Arial" w:eastAsia="Arial" w:hAnsi="Arial"/>
          <w:sz w:val="16"/>
          <w:szCs w:val="16"/>
          <w:color w:val="auto"/>
        </w:rPr>
        <w:t>”) from all disputes, claims, losses, controversies, demands, rights, Liabilities, actions and causes of action of every kind and nature, whether known or unknown, arising from (i) the Company Stockholder Releasing Party’s ownership or purported ownership of (or right to acquire) shares of capital stock, warrants, options or other securities of or interests in the Company or relating to the governance of the Company, including any and all claims that the Company Stockholder Releasing Party may have against any of the Parent Released Parties with respect thereto whether pursuant to any contract or agreement with respect thereto, breach or alleged breach of fiduciary duty or otherwise and</w:t>
      </w:r>
    </w:p>
    <w:p>
      <w:pPr>
        <w:jc w:val="both"/>
        <w:ind w:firstLine="8"/>
        <w:spacing w:after="0" w:line="286" w:lineRule="auto"/>
        <w:tabs>
          <w:tab w:leader="none" w:pos="298"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negotiation or execution of this Agreement or the other Transaction Agreement, or the consummation of any of the Transactions; provided, however, that, for the avoidance of doubt, nothing in this Section 7.19(b) shall release the Parent Released Parties from their obligations or otherwise modify, waive, replace, supersede, or impair in any way any rights of any Company Stockholder Releasing Party (A) under this Agreement or the other Transaction Agreements, (B) with respect to any salary, bonuses, vacation pay or employee benefits accrued pursuant to a Company Benefit Plan in effect as of the date of this Agreement or any expense reimbursement pursuant to a policy of the Group Companies in effect as of the date of this Agreement accrued in the ordinary course of business; or (C) under any Contract between the Company Stockholder and a Parent Released Party to the extent that such Contract does not specifically pertain to such Company Stockholder’s ownership or purported ownership of (or right to acquire) shares of capital stock, warrants, options or other securities of or interests in the Company or specifically relate to the governance of the Company; (D) with respect to any rights to indemnification, exculpation or expense reimbursement to the extent provided for in the Company Organizational Documents or in any indemnification agreement with a Group Company; or (E) from any claim of fraud on the part of any Parent Released Party.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THE TRANSACTION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Conditions to Obligations of Each Party’s Obligations</w:t>
      </w:r>
      <w:r>
        <w:rPr>
          <w:rFonts w:ascii="Arial" w:cs="Arial" w:eastAsia="Arial" w:hAnsi="Arial"/>
          <w:sz w:val="18"/>
          <w:szCs w:val="18"/>
          <w:color w:val="auto"/>
        </w:rPr>
        <w:t>. The respective obligations of each Party to this Agreement to effect the Merger and the other Transactions shall be subject to the satisfaction at or prior to the Closing of the following conditions:</w:t>
      </w:r>
    </w:p>
    <w:p>
      <w:pPr>
        <w:spacing w:after="0" w:line="170" w:lineRule="exact"/>
        <w:rPr>
          <w:sz w:val="20"/>
          <w:szCs w:val="20"/>
          <w:color w:val="auto"/>
        </w:rPr>
      </w:pPr>
    </w:p>
    <w:p>
      <w:pPr>
        <w:ind w:left="900" w:hanging="244"/>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Parent Stockholder Matters shall have been duly adopted by the stockholders of Parent.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Parent shall have at least $5,000,001 of net tangible assets (as determined in accordance with Rule 3a51-1(g)(i) of the Exchange Act) following the exercise by the holders of Parent Class A Common Stock issued in Parent’s initial public offering of securities and outstanding immediately before the Closing of their right to convert their Parent Class A Common Stock held by them into a pro rata share of the Trust Account in accordance with Parent’s Organizational Documents.</w:t>
      </w:r>
    </w:p>
    <w:p>
      <w:pPr>
        <w:spacing w:after="0" w:line="186" w:lineRule="exact"/>
        <w:rPr>
          <w:rFonts w:ascii="Arial" w:cs="Arial" w:eastAsia="Arial" w:hAnsi="Arial"/>
          <w:sz w:val="18"/>
          <w:szCs w:val="18"/>
          <w:color w:val="auto"/>
        </w:rPr>
      </w:pPr>
    </w:p>
    <w:p>
      <w:pPr>
        <w:ind w:left="900" w:hanging="244"/>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applicable waiting periods (and any extensions thereof) under the HSR Act will have expired or otherwise been terminated.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provision of any Applicable Legal Requirement prohibiting, enjoining or making illegal the consummation of the Transactions shall be in effect and no temporary, preliminary or permanent restraining Order prohibiting, enjoining or making illegal the consummation of the Transactions will be in effect.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obligations of the Company to consummate and effect the Merger and the other Transactions shall be subject to the satisfaction at or prior to the Closing of each of the following conditions, any of which may be waived, in writing, exclusively by the Company:</w:t>
      </w:r>
    </w:p>
    <w:p>
      <w:pPr>
        <w:spacing w:after="0" w:line="184" w:lineRule="exact"/>
        <w:rPr>
          <w:sz w:val="20"/>
          <w:szCs w:val="20"/>
          <w:color w:val="auto"/>
        </w:rPr>
      </w:pPr>
    </w:p>
    <w:p>
      <w:pPr>
        <w:jc w:val="both"/>
        <w:ind w:firstLine="656"/>
        <w:spacing w:after="0" w:line="287"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Fundamental Representations of Parent, other than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true and correct in all material respects (without giving effect to any limitation as to “materiality” or “Parent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Parent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and all other representations and warranties of Parent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hereof shall be true and correct (without giving effect to any limitation as to “materiality” or “Parent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Parent to be so true and correct, individually or in the aggregate, has not had and is not reasonably likely to have a Parent Material Adverse Effect.</w:t>
      </w:r>
    </w:p>
    <w:p>
      <w:pPr>
        <w:spacing w:after="0" w:line="167" w:lineRule="exact"/>
        <w:rPr>
          <w:rFonts w:ascii="Arial" w:cs="Arial" w:eastAsia="Arial" w:hAnsi="Arial"/>
          <w:sz w:val="16"/>
          <w:szCs w:val="16"/>
          <w:color w:val="auto"/>
        </w:rPr>
      </w:pPr>
    </w:p>
    <w:p>
      <w:pPr>
        <w:ind w:firstLine="656"/>
        <w:spacing w:after="0" w:line="277" w:lineRule="auto"/>
        <w:tabs>
          <w:tab w:leader="none" w:pos="914"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Parent and Merger Sub shall have performed or complied with all agreements and covenants required by this Agreement to be performed or complied with by them on or prior to the Closing Date, in each case in all material respects.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firstLine="65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Parent shall have delivered to the Company a certificate, signed by an executive officer of Parent and dated as of the Closing Date, certifying as to the matters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Parent shall have delivered or shall stand ready to deliver all of the certificates, instruments, Contracts and other documents specified to be delivered by it hereunder, including copies of the documents to be delivered by Parent pursuant to </w:t>
      </w:r>
      <w:r>
        <w:rPr>
          <w:rFonts w:ascii="Arial" w:cs="Arial" w:eastAsia="Arial" w:hAnsi="Arial"/>
          <w:sz w:val="18"/>
          <w:szCs w:val="18"/>
          <w:u w:val="single" w:color="auto"/>
          <w:color w:val="auto"/>
        </w:rPr>
        <w:t>Section 1.3(a)</w:t>
      </w:r>
      <w:r>
        <w:rPr>
          <w:rFonts w:ascii="Arial" w:cs="Arial" w:eastAsia="Arial" w:hAnsi="Arial"/>
          <w:sz w:val="18"/>
          <w:szCs w:val="18"/>
          <w:color w:val="auto"/>
        </w:rPr>
        <w:t>, duly executed by Parent and Merger Sub, as applicable.</w:t>
      </w:r>
    </w:p>
    <w:p>
      <w:pPr>
        <w:spacing w:after="0" w:line="183" w:lineRule="exact"/>
        <w:rPr>
          <w:rFonts w:ascii="Arial" w:cs="Arial" w:eastAsia="Arial" w:hAnsi="Arial"/>
          <w:sz w:val="18"/>
          <w:szCs w:val="18"/>
          <w:color w:val="auto"/>
        </w:rPr>
      </w:pPr>
    </w:p>
    <w:p>
      <w:pPr>
        <w:ind w:right="20" w:firstLine="656"/>
        <w:spacing w:after="0" w:line="277" w:lineRule="auto"/>
        <w:tabs>
          <w:tab w:leader="none" w:pos="89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Parent Charter shall be amended and restated in the form of the Parent A&amp;R Charter and the Parent Bylaws shall be amended and restated in the form of the Parent A&amp;R Bylaws.</w:t>
      </w:r>
    </w:p>
    <w:p>
      <w:pPr>
        <w:spacing w:after="0" w:line="170" w:lineRule="exact"/>
        <w:rPr>
          <w:rFonts w:ascii="Arial" w:cs="Arial" w:eastAsia="Arial" w:hAnsi="Arial"/>
          <w:sz w:val="18"/>
          <w:szCs w:val="18"/>
          <w:color w:val="auto"/>
        </w:rPr>
      </w:pPr>
    </w:p>
    <w:p>
      <w:pPr>
        <w:ind w:firstLine="656"/>
        <w:spacing w:after="0" w:line="342" w:lineRule="auto"/>
        <w:tabs>
          <w:tab w:leader="none" w:pos="902"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Parent shall have made appropriate arrangements to have the Trust Account, less amounts paid and to be paid pursuant to </w:t>
      </w:r>
      <w:r>
        <w:rPr>
          <w:rFonts w:ascii="Arial" w:cs="Arial" w:eastAsia="Arial" w:hAnsi="Arial"/>
          <w:sz w:val="16"/>
          <w:szCs w:val="16"/>
          <w:u w:val="single" w:color="auto"/>
          <w:color w:val="auto"/>
        </w:rPr>
        <w:t>Section 7.11</w:t>
      </w:r>
      <w:r>
        <w:rPr>
          <w:rFonts w:ascii="Arial" w:cs="Arial" w:eastAsia="Arial" w:hAnsi="Arial"/>
          <w:sz w:val="16"/>
          <w:szCs w:val="16"/>
          <w:color w:val="auto"/>
        </w:rPr>
        <w:t>, available to Parent for payment of the Closing Cash Payment Amount, the Company Transaction Costs and the Parent Transaction Costs at the Closing.</w:t>
      </w:r>
    </w:p>
    <w:p>
      <w:pPr>
        <w:spacing w:after="0" w:line="123" w:lineRule="exact"/>
        <w:rPr>
          <w:rFonts w:ascii="Arial" w:cs="Arial" w:eastAsia="Arial" w:hAnsi="Arial"/>
          <w:sz w:val="16"/>
          <w:szCs w:val="16"/>
          <w:color w:val="auto"/>
        </w:rPr>
      </w:pPr>
    </w:p>
    <w:p>
      <w:pPr>
        <w:jc w:val="both"/>
        <w:ind w:firstLine="656"/>
        <w:spacing w:after="0" w:line="286" w:lineRule="auto"/>
        <w:tabs>
          <w:tab w:leader="none" w:pos="92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Equity Financing Amount to be received substantially concurrently with the Closing, shall equal or exceed the Company’s Required Funds, following (i) payment of the aggregate amount of cash proceeds that will be required to satisfy any exercise of the Parent Stockholder Redemptions, and (ii) payment of all Company Transaction Costs and Parent Transaction Costs.</w:t>
      </w:r>
    </w:p>
    <w:p>
      <w:pPr>
        <w:spacing w:after="0" w:line="165" w:lineRule="exact"/>
        <w:rPr>
          <w:rFonts w:ascii="Arial" w:cs="Arial" w:eastAsia="Arial" w:hAnsi="Arial"/>
          <w:sz w:val="17"/>
          <w:szCs w:val="17"/>
          <w:color w:val="auto"/>
        </w:rPr>
      </w:pPr>
    </w:p>
    <w:p>
      <w:pPr>
        <w:ind w:left="900" w:hanging="244"/>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shares of Parent Class A Stock to be issued in connection with the Merger shall have been approved for listing on the Nasdaq.</w:t>
      </w:r>
    </w:p>
    <w:p>
      <w:pPr>
        <w:spacing w:after="0" w:line="236" w:lineRule="exact"/>
        <w:rPr>
          <w:rFonts w:ascii="Arial" w:cs="Arial" w:eastAsia="Arial" w:hAnsi="Arial"/>
          <w:sz w:val="17"/>
          <w:szCs w:val="17"/>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Parent Material Adverse Effect shall have occurred since the date of this Agreement and be continuing.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Additional Conditions to the Obligations of Parent and Merger Sub</w:t>
      </w:r>
      <w:r>
        <w:rPr>
          <w:rFonts w:ascii="Arial" w:cs="Arial" w:eastAsia="Arial" w:hAnsi="Arial"/>
          <w:sz w:val="18"/>
          <w:szCs w:val="18"/>
          <w:color w:val="auto"/>
        </w:rPr>
        <w:t>. The obligations of Parent and Merger Sub to consummate and effect the Merger and the other Transactions shall be subject to the satisfaction at or prior to the Closing of each of the following conditions, any of which may be waived, in writing, exclusively by Parent:</w:t>
      </w:r>
    </w:p>
    <w:p>
      <w:pPr>
        <w:spacing w:after="0" w:line="184" w:lineRule="exact"/>
        <w:rPr>
          <w:sz w:val="20"/>
          <w:szCs w:val="20"/>
          <w:color w:val="auto"/>
        </w:rPr>
      </w:pPr>
    </w:p>
    <w:p>
      <w:pPr>
        <w:jc w:val="both"/>
        <w:ind w:firstLine="656"/>
        <w:spacing w:after="0" w:line="268" w:lineRule="auto"/>
        <w:tabs>
          <w:tab w:leader="none" w:pos="906"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The Fundamental Representations of the Company, other than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true and correct in all material respects (without giving effect to any limitation as to “materiality” or “Company Material Adverse Effect” or any similar limitation contain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the Company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and all other representations and warranties of the Company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 shall be true and correct (without giving effect to any limitation as to “materiality” or “Company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the Company to be so true and correct, individually or in the aggregate, has not had and is not reasonably likely to have a Company Material Adverse Effect.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firstLine="656"/>
        <w:spacing w:after="0" w:line="277" w:lineRule="auto"/>
        <w:tabs>
          <w:tab w:leader="none" w:pos="90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shall have performed or complied with all agreements and covenants required by this Agreement to be performed or complied with by it at or prior to the Closing Date, in each case in all material respects.</w:t>
      </w:r>
    </w:p>
    <w:p>
      <w:pPr>
        <w:spacing w:after="0" w:line="170" w:lineRule="exact"/>
        <w:rPr>
          <w:rFonts w:ascii="Arial" w:cs="Arial" w:eastAsia="Arial" w:hAnsi="Arial"/>
          <w:sz w:val="18"/>
          <w:szCs w:val="18"/>
          <w:color w:val="auto"/>
        </w:rPr>
      </w:pPr>
    </w:p>
    <w:p>
      <w:pPr>
        <w:ind w:firstLine="656"/>
        <w:spacing w:after="0" w:line="277" w:lineRule="auto"/>
        <w:tabs>
          <w:tab w:leader="none" w:pos="9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a certificate, signed by an executive officer of the Company and dated as of the Closing Date, certifying as to the matters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Company Material Adverse Effect shall have occurred since the date of this Agreement and be continuing.</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or caused to be delivered, or shall stand ready to deliver all of the certificates, instruments, Contracts and other documents specified to be delivered by it hereunder, including copies of the documents to be delivered by the Company pursuant to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duly executed by the applicable signatory or signatories specified in </w:t>
      </w:r>
      <w:r>
        <w:rPr>
          <w:rFonts w:ascii="Arial" w:cs="Arial" w:eastAsia="Arial" w:hAnsi="Arial"/>
          <w:sz w:val="18"/>
          <w:szCs w:val="18"/>
          <w:u w:val="single" w:color="auto"/>
          <w:color w:val="auto"/>
        </w:rPr>
        <w:t>Section 1.3(b)</w:t>
      </w:r>
      <w:r>
        <w:rPr>
          <w:rFonts w:ascii="Arial" w:cs="Arial" w:eastAsia="Arial" w:hAnsi="Arial"/>
          <w:sz w:val="18"/>
          <w:szCs w:val="18"/>
          <w:color w:val="auto"/>
        </w:rPr>
        <w:t>, if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225" w:lineRule="exact"/>
        <w:rPr>
          <w:sz w:val="20"/>
          <w:szCs w:val="20"/>
          <w:color w:val="auto"/>
        </w:rPr>
      </w:pPr>
    </w:p>
    <w:p>
      <w:pPr>
        <w:ind w:left="900" w:hanging="244"/>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mutual written agreement of Parent and the Company at any time;</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12"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either Parent or the Company if the Transactions shall not have been consummated by November 9, 2021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shall not be available to any Party whose action or failure to act has been a principal cause of or resulted in the failure of the Transactions to occur on or before such date and such action or failure to act constitutes a breach of this Agreement;</w:t>
      </w:r>
    </w:p>
    <w:p>
      <w:pPr>
        <w:spacing w:after="0" w:line="186" w:lineRule="exact"/>
        <w:rPr>
          <w:rFonts w:ascii="Arial" w:cs="Arial" w:eastAsia="Arial" w:hAnsi="Arial"/>
          <w:sz w:val="18"/>
          <w:szCs w:val="18"/>
          <w:color w:val="auto"/>
        </w:rPr>
      </w:pPr>
    </w:p>
    <w:p>
      <w:pPr>
        <w:ind w:firstLine="656"/>
        <w:spacing w:after="0" w:line="342" w:lineRule="auto"/>
        <w:tabs>
          <w:tab w:leader="none" w:pos="894" w:val="left"/>
        </w:tabs>
        <w:numPr>
          <w:ilvl w:val="0"/>
          <w:numId w:val="99"/>
        </w:numPr>
        <w:rPr>
          <w:rFonts w:ascii="Arial" w:cs="Arial" w:eastAsia="Arial" w:hAnsi="Arial"/>
          <w:sz w:val="16"/>
          <w:szCs w:val="16"/>
          <w:color w:val="auto"/>
        </w:rPr>
      </w:pPr>
      <w:r>
        <w:rPr>
          <w:rFonts w:ascii="Arial" w:cs="Arial" w:eastAsia="Arial" w:hAnsi="Arial"/>
          <w:sz w:val="16"/>
          <w:szCs w:val="16"/>
          <w:color w:val="auto"/>
        </w:rPr>
        <w:t>by either Parent or the Company if a Governmental Entity shall have issued an Order or taken any other action, in any case having the effect of permanently restraining, enjoining or otherwise prohibiting the Transactions, including the Merger, which Order or other action is final and nonappealable;</w:t>
      </w:r>
    </w:p>
    <w:p>
      <w:pPr>
        <w:spacing w:after="0" w:line="123" w:lineRule="exact"/>
        <w:rPr>
          <w:rFonts w:ascii="Arial" w:cs="Arial" w:eastAsia="Arial" w:hAnsi="Arial"/>
          <w:sz w:val="16"/>
          <w:szCs w:val="16"/>
          <w:color w:val="auto"/>
        </w:rPr>
      </w:pPr>
    </w:p>
    <w:p>
      <w:pPr>
        <w:jc w:val="both"/>
        <w:ind w:firstLine="656"/>
        <w:spacing w:after="0" w:line="290" w:lineRule="auto"/>
        <w:tabs>
          <w:tab w:leader="none" w:pos="91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by the Company, upon a breach of any representation, warranty, covenant or agreement set forth in this Agreement on the part of Parent or Merger Sub, or if any representation or warranty of Parent or Merger Sub shall have become untrue, in either case such that the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would not be satisfied as of the time of such breach or as of the time such representation or warranty shall have become untrue;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breach by Parent or Merger Sub is curable by Parent or Merger Sub prior to the Closing, then the Company must first provide written notice of such breach and may not terminate this Agreement under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until the earlier of: (i) 30 days after delivery of written notice from the Company to Parent of such breach; and (ii)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of Parent and Merger Sub continues to exercise commercially reasonable efforts to cure such breach (it being understood that the Company may not terminate this Agreement pursuant to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if: (A) it shall have materially breached this Agreement and such breach has not been cured; or (B) if such breach by Parent or Merger Sub is cured during such 30-day period);</w:t>
      </w:r>
    </w:p>
    <w:p>
      <w:pPr>
        <w:spacing w:after="0" w:line="165" w:lineRule="exact"/>
        <w:rPr>
          <w:rFonts w:ascii="Arial" w:cs="Arial" w:eastAsia="Arial" w:hAnsi="Arial"/>
          <w:sz w:val="16"/>
          <w:szCs w:val="16"/>
          <w:color w:val="auto"/>
        </w:rPr>
      </w:pPr>
    </w:p>
    <w:p>
      <w:pPr>
        <w:jc w:val="both"/>
        <w:ind w:firstLine="656"/>
        <w:spacing w:after="0" w:line="271" w:lineRule="auto"/>
        <w:tabs>
          <w:tab w:leader="none" w:pos="901"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by Parent, upon a breach of any representation, warranty, covenant or agreement set forth in this Agreement on the part of the Company or if any representation or warranty of the Company shall have become untrue, in either case such that the conditions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would not be satisfied as of the time of such breach or as of the time such representation or warranty shall have become untrue;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breach is curable by the Company prior to the Closing, then Parent must first provide written notice of such breach and may not terminate this Agreement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9.1(e)</w:t>
      </w:r>
      <w:r>
        <w:rPr>
          <w:rFonts w:ascii="Arial" w:cs="Arial" w:eastAsia="Arial" w:hAnsi="Arial"/>
          <w:sz w:val="17"/>
          <w:szCs w:val="17"/>
          <w:color w:val="auto"/>
        </w:rPr>
        <w:t xml:space="preserve"> until the earlier of: (i) 30 days after delivery of written notice from Parent to the Company of such breach; and (ii)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continues to exercise commercially reasonable efforts to cure such breach (it being understood that Parent may not terminate this Agreement pursuant to this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if: (A) it shall have materially breached this Agreement and such breach has not been cured; or (B) if such breach by the Company is cured during such 30-day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firstLine="656"/>
        <w:spacing w:after="0" w:line="277"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by either Parent or the Company, if, at the Special Meeting (including any adjournments thereof), the Parent Stockholder Matters are not duly adopted by the stockholders of Parent by the requisite vote under the DGCL and the Parent Organizational Documents;</w:t>
      </w:r>
    </w:p>
    <w:p>
      <w:pPr>
        <w:spacing w:after="0" w:line="170" w:lineRule="exact"/>
        <w:rPr>
          <w:rFonts w:ascii="Arial" w:cs="Arial" w:eastAsia="Arial" w:hAnsi="Arial"/>
          <w:sz w:val="18"/>
          <w:szCs w:val="18"/>
          <w:color w:val="auto"/>
        </w:rPr>
      </w:pPr>
    </w:p>
    <w:p>
      <w:pPr>
        <w:ind w:firstLine="656"/>
        <w:spacing w:after="0" w:line="277" w:lineRule="auto"/>
        <w:tabs>
          <w:tab w:leader="none" w:pos="9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by the Company, if the Parent Stockholder Redemption results in the condition set forth in </w:t>
      </w:r>
      <w:r>
        <w:rPr>
          <w:rFonts w:ascii="Arial" w:cs="Arial" w:eastAsia="Arial" w:hAnsi="Arial"/>
          <w:sz w:val="18"/>
          <w:szCs w:val="18"/>
          <w:u w:val="single" w:color="auto"/>
          <w:color w:val="auto"/>
        </w:rPr>
        <w:t>Section 8.2(g)</w:t>
      </w:r>
      <w:r>
        <w:rPr>
          <w:rFonts w:ascii="Arial" w:cs="Arial" w:eastAsia="Arial" w:hAnsi="Arial"/>
          <w:sz w:val="18"/>
          <w:szCs w:val="18"/>
          <w:color w:val="auto"/>
        </w:rPr>
        <w:t xml:space="preserve"> becoming incapable of being satisfied at the Closing; or</w:t>
      </w:r>
    </w:p>
    <w:p>
      <w:pPr>
        <w:spacing w:after="0" w:line="170" w:lineRule="exact"/>
        <w:rPr>
          <w:rFonts w:ascii="Arial" w:cs="Arial" w:eastAsia="Arial" w:hAnsi="Arial"/>
          <w:sz w:val="18"/>
          <w:szCs w:val="18"/>
          <w:color w:val="auto"/>
        </w:rPr>
      </w:pPr>
    </w:p>
    <w:p>
      <w:pPr>
        <w:ind w:firstLine="656"/>
        <w:spacing w:after="0" w:line="277" w:lineRule="auto"/>
        <w:tabs>
          <w:tab w:leader="none" w:pos="9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by Parent within twenty-four hours of the Company Stockholder Approval Deadline if the Company Stockholder Approval shall not have been obtained by the Company Stockholder Approval Deadline.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 of Termination; Effect of Termination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88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above will be effective immediately upon the delivery of written notice of the terminating Party to the other Parties.</w:t>
      </w:r>
    </w:p>
    <w:p>
      <w:pPr>
        <w:spacing w:after="0" w:line="170" w:lineRule="exact"/>
        <w:rPr>
          <w:rFonts w:ascii="Arial" w:cs="Arial" w:eastAsia="Arial" w:hAnsi="Arial"/>
          <w:sz w:val="18"/>
          <w:szCs w:val="18"/>
          <w:color w:val="auto"/>
        </w:rPr>
      </w:pPr>
    </w:p>
    <w:p>
      <w:pPr>
        <w:jc w:val="both"/>
        <w:ind w:firstLine="656"/>
        <w:spacing w:after="0" w:line="279" w:lineRule="auto"/>
        <w:tabs>
          <w:tab w:leader="none" w:pos="92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this Agreement as provided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this Agreement shall be of no further force or effect and the Transactions shall be abandoned, except for and subject to the following: (i)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the Confidentiality Agreement shall survive the termination of this Agreement; and (ii) nothing herein shall relieve any Party from liability for any willful and intentional breach of this Agreement or intentional fraud in the making of the representations and warranties in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SURVIVAL</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No Survival</w:t>
      </w:r>
      <w:r>
        <w:rPr>
          <w:rFonts w:ascii="Arial" w:cs="Arial" w:eastAsia="Arial" w:hAnsi="Arial"/>
          <w:sz w:val="16"/>
          <w:szCs w:val="16"/>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nor anything else in this Agreement to the contrary shall limit: (a) the survival of any covenant or agreement of the Parties which by its terms is required to be performed or complied with in whole or in part after the Closing, which covenants and agreements shall survive the Closing in accordance with their respective terms; or</w:t>
      </w:r>
    </w:p>
    <w:p>
      <w:pPr>
        <w:spacing w:after="0" w:line="2" w:lineRule="exact"/>
        <w:rPr>
          <w:sz w:val="20"/>
          <w:szCs w:val="20"/>
          <w:color w:val="auto"/>
        </w:rPr>
      </w:pPr>
    </w:p>
    <w:p>
      <w:pPr>
        <w:ind w:firstLine="8"/>
        <w:spacing w:after="0" w:line="290" w:lineRule="auto"/>
        <w:tabs>
          <w:tab w:leader="none" w:pos="26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any claim against the Company with respect to intentional fraud in the making of the representations and warranties by the Company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any claim against Parent with respect to intentional fraud in the making of the representations and warranties by Parent in </w:t>
      </w:r>
      <w:r>
        <w:rPr>
          <w:rFonts w:ascii="Arial" w:cs="Arial" w:eastAsia="Arial" w:hAnsi="Arial"/>
          <w:sz w:val="17"/>
          <w:szCs w:val="17"/>
          <w:u w:val="single" w:color="auto"/>
          <w:color w:val="auto"/>
        </w:rPr>
        <w:t>Article V</w:t>
      </w:r>
      <w:r>
        <w:rPr>
          <w:rFonts w:ascii="Arial" w:cs="Arial" w:eastAsia="Arial" w:hAnsi="Arial"/>
          <w:sz w:val="17"/>
          <w:szCs w:val="17"/>
          <w:color w:val="auto"/>
        </w:rPr>
        <w:t>, as applicable.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 (c) on the date delivered, if delivered by email, with confirmation of transmission; or (d) on the fifth Business Day after the date mailed, by certified or registered mail, return receipt requested, postage prepaid. Such communications, to be valid, must be addressed as follows: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Parent or Merger Sub,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Eli Casdin,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eli@casdincapital.com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10020-1095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Matthew Kautz; Joel Rubinstein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mkautz@whitecase.com; joel.rubinstein@whitecase.com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prior to the Closing,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legal@sema4.com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Ethan A. Skerry; Robert A. Freedman; David K. Michaels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eskerry@fenwick.com; rfreedman@fenwick.com; dmichaels@fenwick.com</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67"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Interpretation</w:t>
      </w:r>
      <w:r>
        <w:rPr>
          <w:rFonts w:ascii="Arial" w:cs="Arial" w:eastAsia="Arial" w:hAnsi="Arial"/>
          <w:sz w:val="17"/>
          <w:szCs w:val="17"/>
          <w:color w:val="auto"/>
        </w:rPr>
        <w:t xml:space="preserve">. The words “hereof,” “herein,” “hereinafter,” “hereunder,” and “hereto” and words of similar import refer to this Agreement as a whole and not to any particular section or subsection of this Agreement and reference to a particular section of this Agreement will include all subsections thereof, unless, in each case, the context otherwise requires. The definitions of the terms herein shall apply equally to the singular and plural forms of the terms defined. Whenever the context shall require, any pronoun shall include the corresponding masculine, feminine and neuter forms. When a reference is made in this Agreement to an Exhibit, such reference shall be to an Exhibit to this Agreement unless otherwise indicated. When a reference is made in this Agreement to Sections or subsections, such reference shall be to a Section or subsection of this Agreement. Unless otherwise indicated the words “include,” “includes” and “including” when used herein shall be deemed in each case to be followed by the words “without limitation.” The words “made available” mean that the subject documents or other materials were included in and available at the “Project Snow” online datasite hosted by “Datasite Diligence” prior to the date of this Agreement.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 The word “or” shall be disjunctive but not exclusive.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References to a particular statute or regulation including all rules and regulations thereunder and any predecessor or successor statute, rule, or regulation, in each case as amended or otherwise modified from time to time. All references to currency amounts in this Agreement shall mean United States dollars. The Parties acknowledge and agree that ISMMS shall not be deemed to be a Person “acting on behalf of any Group Company” for any purpose with respect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solely by virtue of ISMMS’s provision of transition or other services to the Company in connection with the Company’s spinout from ISMMS in 2017 or by virtue of the fact that employees of the Company may also hold or have held positions with ISMMS at any particular time.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Counterparts; Electronic Delivery</w:t>
      </w:r>
      <w:r>
        <w:rPr>
          <w:rFonts w:ascii="Arial" w:cs="Arial" w:eastAsia="Arial" w:hAnsi="Arial"/>
          <w:sz w:val="18"/>
          <w:szCs w:val="18"/>
          <w:color w:val="auto"/>
        </w:rPr>
        <w:t>. This Agreement, the Transaction Agreements and each other document executed in connection with the Transactions, and the consummation thereof,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Entire Agreement; Third Party Beneficiaries</w:t>
      </w:r>
      <w:r>
        <w:rPr>
          <w:rFonts w:ascii="Arial" w:cs="Arial" w:eastAsia="Arial" w:hAnsi="Arial"/>
          <w:sz w:val="17"/>
          <w:szCs w:val="17"/>
          <w:color w:val="auto"/>
        </w:rPr>
        <w:t xml:space="preserve">. This Agreement, the other Transaction Agreements and any other documents and instruments and agreements among the Parties as contemplated by or referred to herein, including the Exhibits and Schedules hereto: (a) constitute the entire agreement among the Parties with respect to the subject matter hereof and supersede all prior agreements and understandings, both written and oral, among the Parties with respect to the subject matter hereof; and (b) other than the rights, at and after the Effective Time, of Persons pursuant to the provisions of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(which will be for the benefit of the Persons set forth therein), are not intended to confer upon any other Person other than the Parties any rights or remedies.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term, provision, covenant or restriction of this Agreement, or the application thereof, is held to be illegal, invalid or unenforceable under any present or future Legal Requirement: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herefrom; and</w:t>
      </w:r>
    </w:p>
    <w:p>
      <w:pPr>
        <w:spacing w:after="0" w:line="1" w:lineRule="exact"/>
        <w:rPr>
          <w:sz w:val="20"/>
          <w:szCs w:val="20"/>
          <w:color w:val="auto"/>
        </w:rPr>
      </w:pPr>
    </w:p>
    <w:p>
      <w:pPr>
        <w:ind w:firstLine="8"/>
        <w:spacing w:after="0" w:line="260" w:lineRule="auto"/>
        <w:tabs>
          <w:tab w:leader="none" w:pos="2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68"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u w:val="single" w:color="auto"/>
          <w:color w:val="auto"/>
        </w:rPr>
        <w:t>Other Remedies; Specific Performance</w:t>
      </w:r>
      <w:r>
        <w:rPr>
          <w:rFonts w:ascii="Arial" w:cs="Arial" w:eastAsia="Arial" w:hAnsi="Arial"/>
          <w:sz w:val="17"/>
          <w:szCs w:val="17"/>
          <w:color w:val="auto"/>
        </w:rPr>
        <w:t>. Except as otherwise provided herein, prior to the Closing,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each Party shall be entitled to enforce specifically the terms and provisions of this Agreement in any court of the United States or any state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 Each of the Parties hereby acknowledges and agrees that it may be difficult to prove damages with reasonable certainty, that it may be difficult to procure suitable substitute performance, and that injunctive relief and/or specific performance will not cause an undue hardship to the Parties. Each of the Parties hereby further acknowledges that the existence of any other remedy contemplated by this Agreement does not diminish the availability of specific performance of the obligations hereunder or any other injunctive relief. Each Party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consummation the Transactions, and any action, suit, dispute, controversy or claim arising out of this Agreement and the consummation of the Transactions, or the validity, interpretation, breach or termination of this Agreement and the consummation of the Transactions, shall be governed by and construed in accordance with the internal law of the State of Delaware regardless of the law that might otherwise govern under applicable principles of conflicts of law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Consent to Jurisdiction; Waiver of Jury Trial</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5" w:lineRule="auto"/>
        <w:tabs>
          <w:tab w:leader="none" w:pos="90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Any proceeding based upon or arising out of this Agreement, the other Transaction Agreements and the consummation of the Transactions must be brought in the Court of Chancery of the State of Delaware (or, to the extent such court does not have subject matter jurisdiction, the Superior Court of the State of Delaware). Each of the Parties irrevocably consents to the exclusive jurisdiction and venue of such courts, agrees that process may be served upon them in any manner authorized by the laws of the State of Delaware for such Person and waives and covenants not to assert or plead any objection which they might otherwise have to such manner of service of process. Each Party and any Person asserting rights as a third-party beneficiary may do so only if he, she or it hereby waives, and shall not assert as a defense in any legal dispute, that: (i) such Person is not personally subject to the jurisdiction of the above named courts for any reason; (ii) such Legal Proceeding may not be brought or is not maintainable in such court; (iii) such Person’s property is exempt or immune from execution; (iv) such Legal Proceeding is brought in an inconvenient forum; or (v) the venue of such Legal Proceeding is improper. Each Party and any Person asserting rights as a third-party beneficiary hereby agrees not to commence or prosecute any such action, claim, cause of action or suit other than before one of the above-named courts, nor to make any motion or take any other action seeking or intending to cause the transfer or removal of any such action, claim, cause of action or suit to any court other than one of the above-named courts, whether on the grounds of inconvenient forum or otherwise. Each Party hereby consents to service of process in any such proceeding in any manner permitted by Delaware law, and further consents to service of process by nationally recognized overnight courier service guaranteeing overnight delivery, or by registered or certified mail, return receipt requested, at its address specified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Notwithstanding the foregoing in this </w:t>
      </w:r>
      <w:r>
        <w:rPr>
          <w:rFonts w:ascii="Arial" w:cs="Arial" w:eastAsia="Arial" w:hAnsi="Arial"/>
          <w:sz w:val="16"/>
          <w:szCs w:val="16"/>
          <w:u w:val="single" w:color="auto"/>
          <w:color w:val="auto"/>
        </w:rPr>
        <w:t>Section 11.8</w:t>
      </w:r>
      <w:r>
        <w:rPr>
          <w:rFonts w:ascii="Arial" w:cs="Arial" w:eastAsia="Arial" w:hAnsi="Arial"/>
          <w:sz w:val="16"/>
          <w:szCs w:val="16"/>
          <w:color w:val="auto"/>
        </w:rPr>
        <w:t>, any Party may commence any action, claim, cause of action or suit in a court other than the above-named courts solely for the purpose of enforcing an order or judgment issued by one of the above-named courts.</w:t>
      </w:r>
    </w:p>
    <w:p>
      <w:pPr>
        <w:spacing w:after="0" w:line="394" w:lineRule="exact"/>
        <w:rPr>
          <w:rFonts w:ascii="Arial" w:cs="Arial" w:eastAsia="Arial" w:hAnsi="Arial"/>
          <w:sz w:val="16"/>
          <w:szCs w:val="16"/>
          <w:color w:val="auto"/>
        </w:rPr>
      </w:pPr>
    </w:p>
    <w:p>
      <w:pPr>
        <w:jc w:val="both"/>
        <w:ind w:firstLine="656"/>
        <w:spacing w:after="0" w:line="253" w:lineRule="auto"/>
        <w:tabs>
          <w:tab w:leader="none" w:pos="91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EXTENT NOT PROHIBITED BY APPLICABLE LEGAL REQUIREMENTS WHICH CANNOT BE WAIVED, EACH OF THE PARTIES AND ANY PERSON ASSERTING RIGHTS AS A THIRD-PARTY BENEFICIARY MAY DO SO ONLY IF HE, SHE OR IT IRREVOCABLY AND UNCONDITIONALLY WAIVES ANY RIGHT TO TRIAL BY JURY ON ANY CLAIMS OR COUNTERCLAIMS ASSERTED IN ANY LEGAL DISPUTE RELATING TO THIS AGREEMENT, EACH OTHER TRANSACTION AGREEMENTS AND THE CONSUMMATION OF THE TRANSACTIONS,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AGREEMENT, THE OTHER TRANSACTION AGREEMENTS AND THE CONSUMMATION OF THE TRANSACTIONS. FURTHERMORE, NO PARTY NOR ANY PERSON ASSERTING RIGHTS AS A THIRD-PARTY BENEFICIARY SHALL SEEK TO CONSOLIDATE ANY SUCH LEGAL DISPUTE WITH A SEPARATE ACTION OR OTHER LEGAL PROCEEDING IN WHICH A JURY TRIAL CANNOT BE WAIVED.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648"/>
        <w:spacing w:after="0" w:line="279" w:lineRule="auto"/>
        <w:rPr>
          <w:sz w:val="20"/>
          <w:szCs w:val="20"/>
          <w:color w:val="auto"/>
        </w:rPr>
      </w:pPr>
      <w:r>
        <w:rPr>
          <w:rFonts w:ascii="Arial" w:cs="Arial" w:eastAsia="Arial" w:hAnsi="Arial"/>
          <w:sz w:val="17"/>
          <w:szCs w:val="17"/>
          <w:color w:val="auto"/>
        </w:rPr>
        <w:t xml:space="preserve">Section 11.9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Each of the Parties agrees that it has been represented by independent counsel of its choice during the negotiation and execution of this Agreement and each Party hereto and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drafting such agreement or document.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whether or not the Transactions are consummated, each Party will pay its own costs and expenses incurred in anticipation of, relating to and in connection with the negotiation and execution of this Agreement and the Transaction Agreements and the consummation of the Transactions.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No Party may assign, directly or indirectly, including by operation of law, either this Agreement or any of its rights, interests, or obligations hereunder without the prior written approval of the other Parties. Subject to the first sentence of this </w:t>
      </w:r>
      <w:r>
        <w:rPr>
          <w:rFonts w:ascii="Arial" w:cs="Arial" w:eastAsia="Arial" w:hAnsi="Arial"/>
          <w:sz w:val="17"/>
          <w:szCs w:val="17"/>
          <w:u w:val="single" w:color="auto"/>
          <w:color w:val="auto"/>
        </w:rPr>
        <w:t>Section 11.11</w:t>
      </w:r>
      <w:r>
        <w:rPr>
          <w:rFonts w:ascii="Arial" w:cs="Arial" w:eastAsia="Arial" w:hAnsi="Arial"/>
          <w:sz w:val="17"/>
          <w:szCs w:val="17"/>
          <w:color w:val="auto"/>
        </w:rPr>
        <w:t>, this Agreement shall be binding upon and shall inure to the benefit of the Parties and their respective successors and permitted assigns.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by the Parties at any time by execution of an instrument in writing signed on behalf of each of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receipt of the Company Stockholder Approval, there shall be no amendment to this Agreement (or any of the provisions hereof) which under the DGCL or other Applicable Legal Requirements would require further approval by the stockholders of the Company in accordance with the Company Organizational Documents without such approval.</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11.13 </w:t>
      </w:r>
      <w:r>
        <w:rPr>
          <w:rFonts w:ascii="Arial" w:cs="Arial" w:eastAsia="Arial" w:hAnsi="Arial"/>
          <w:sz w:val="16"/>
          <w:szCs w:val="16"/>
          <w:u w:val="single" w:color="auto"/>
          <w:color w:val="auto"/>
        </w:rPr>
        <w:t>Extension; Waiver</w:t>
      </w:r>
      <w:r>
        <w:rPr>
          <w:rFonts w:ascii="Arial" w:cs="Arial" w:eastAsia="Arial" w:hAnsi="Arial"/>
          <w:sz w:val="16"/>
          <w:szCs w:val="16"/>
          <w:color w:val="auto"/>
        </w:rPr>
        <w:t>. At any time prior to the Closing, Parent (on behalf of itself and Merger Sub), on the one hand, and the Company (on behalf of itself and the Company Stockholders), on the other hand, may, to the extent not prohibited by Applicable Legal Requirements: (a) extend the time for the performance of any of the obligations or other acts of the other Party; (b) waive any inaccuracies in the representations and warranties made to the other Party contained herein or in any document delivered pursuant hereto; and (c) waive compliance with any of the agreements or conditions for the benefit of such Party contained herein. Any agreement on the part of a Party to any such extension or waiver shall be valid only if set forth in an instrument in writing signed on behalf of such Party. Delay in exercising any right under this Agreement shall not constitute a waiver of such right. In the event any provision of any of the other Transaction Agreement in any way conflicts with the provisions of this Agreement (except where a provision therein expressly provides that it is intended to take precedence over this Agreement), this Agreement shall control.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648"/>
        <w:spacing w:after="0" w:line="269"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No Recourse</w:t>
      </w:r>
      <w:r>
        <w:rPr>
          <w:rFonts w:ascii="Arial" w:cs="Arial" w:eastAsia="Arial" w:hAnsi="Arial"/>
          <w:sz w:val="17"/>
          <w:szCs w:val="17"/>
          <w:color w:val="auto"/>
        </w:rPr>
        <w:t xml:space="preserve">. Notwithstanding anything that may be expressed or implied in this Agreement, this Agreement may only be enforced against, and any Legal Proceeding for breach of this Agreement may only be made against, the entities that are expressly identified herein as Parties to this Agreement, and no Related Party of a Party shall have any liability for any liabilities or obligations of the Parties for any Legal Proceeding (whether in tort, contract or otherwise) for breach of this Agreement or in respect of any oral representations made or alleged to be made in connection herewith. No Party shall have any right of recovery in respect hereof against any Related Party of a Party and no personal liability shall attach to any Related Party of a Party through such Party, whether by or through attempted piercing of the corporate veil, by the enforcement of any judgment, fine or penalty or by virtue of any Legal Requirement or otherwise. Without limiting the generality of the foregoing, the Parties will not, and will not cause or permit any other Person to, hold or attempt to hold any Related Party liable for any actual or alleged inaccuracies, misstatements or omissions with respect to any information or materials of any kind furnished by the Company or any Related Party, or their respective agents or other Representatives, concerning a Group Company, this Agreement or the Transactions. The provisions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are intended to be for the benefit of, and enforceable by the Related Parties of the Parties and each such Person shall be a third-party beneficiary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shall be binding on all successors and assigns of Parties.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Legal Representation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7" w:lineRule="auto"/>
        <w:tabs>
          <w:tab w:leader="none" w:pos="93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Parent hereby agrees on behalf of its directors, members, partners, officers, employees and Affiliates (including after the Closing, the Company), and each of their respective successors and assigns (all such parties, the “</w:t>
      </w:r>
      <w:r>
        <w:rPr>
          <w:rFonts w:ascii="Arial" w:cs="Arial" w:eastAsia="Arial" w:hAnsi="Arial"/>
          <w:sz w:val="17"/>
          <w:szCs w:val="17"/>
          <w:u w:val="single" w:color="auto"/>
          <w:color w:val="auto"/>
        </w:rPr>
        <w:t>Parent Waiving Parties</w:t>
      </w:r>
      <w:r>
        <w:rPr>
          <w:rFonts w:ascii="Arial" w:cs="Arial" w:eastAsia="Arial" w:hAnsi="Arial"/>
          <w:sz w:val="17"/>
          <w:szCs w:val="17"/>
          <w:color w:val="auto"/>
        </w:rPr>
        <w:t>”), that Fenwick &amp; West LLP (or any successor) may represent the Company Stockholders or any of their respective directors, members, partners, officers, employees or Affiliates (other than the Company) (collectively, the “</w:t>
      </w:r>
      <w:r>
        <w:rPr>
          <w:rFonts w:ascii="Arial" w:cs="Arial" w:eastAsia="Arial" w:hAnsi="Arial"/>
          <w:sz w:val="17"/>
          <w:szCs w:val="17"/>
          <w:u w:val="single" w:color="auto"/>
          <w:color w:val="auto"/>
        </w:rPr>
        <w:t>Stockholder Group</w:t>
      </w:r>
      <w:r>
        <w:rPr>
          <w:rFonts w:ascii="Arial" w:cs="Arial" w:eastAsia="Arial" w:hAnsi="Arial"/>
          <w:sz w:val="17"/>
          <w:szCs w:val="17"/>
          <w:color w:val="auto"/>
        </w:rPr>
        <w:t>”), in each case, in connection with any Legal Proceeding or obligation arising out of or relating to this Agreement, any Transaction Agreement or the Transactions, notwithstanding its representation (or any continued representation) of the Group Companies or other Parent Waiving Parties, and each of Parent and the Company on behalf of itself and the Parent Waiving Parties hereby consents thereto and irrevocably waives (and will not assert) any conflict of interest, breach of duty or any other objection arising therefrom or relating thereto. Parent and the Company acknowledge that the foregoing provision applies whether or not Fenwick &amp; West LLP provides legal services to any Group Companies after the Closing Date. Each of Parent and the Company, for itself and the Parent Waiving Parties, hereby further irrevocably acknowledges and agrees that all communications, written or oral, between any Group Company or any member of the Stockholder Group and its counsel, including Fenwick &amp; West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 notwithstanding the Merger, and instead survive, remain with and are controlled by the Stockholder Group (the “</w:t>
      </w:r>
      <w:r>
        <w:rPr>
          <w:rFonts w:ascii="Arial" w:cs="Arial" w:eastAsia="Arial" w:hAnsi="Arial"/>
          <w:sz w:val="17"/>
          <w:szCs w:val="17"/>
          <w:u w:val="single" w:color="auto"/>
          <w:color w:val="auto"/>
        </w:rPr>
        <w:t>Stockholder Privileged Communications</w:t>
      </w:r>
      <w:r>
        <w:rPr>
          <w:rFonts w:ascii="Arial" w:cs="Arial" w:eastAsia="Arial" w:hAnsi="Arial"/>
          <w:sz w:val="17"/>
          <w:szCs w:val="17"/>
          <w:color w:val="auto"/>
        </w:rPr>
        <w:t>”), without any waiver thereof. Parent and the Company,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Parent and the Company agree not to assert that any privilege has been waived as to the Stockholder Privileged Communications, whether located in the records or email server of the Company or otherwise (including in the knowledge of the officers and employees of the Company).</w:t>
      </w:r>
    </w:p>
    <w:p>
      <w:pPr>
        <w:spacing w:after="0" w:line="188" w:lineRule="exact"/>
        <w:rPr>
          <w:rFonts w:ascii="Arial" w:cs="Arial" w:eastAsia="Arial" w:hAnsi="Arial"/>
          <w:sz w:val="17"/>
          <w:szCs w:val="17"/>
          <w:color w:val="auto"/>
        </w:rPr>
      </w:pPr>
    </w:p>
    <w:p>
      <w:pPr>
        <w:jc w:val="both"/>
        <w:ind w:firstLine="656"/>
        <w:spacing w:after="0" w:line="285" w:lineRule="auto"/>
        <w:tabs>
          <w:tab w:leader="none" w:pos="90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hereby agrees on behalf of its directors, members, partners, officers, employees and Affiliates and the Company Stockholders, and each of their respective successors and assigns (all such parties, the “</w:t>
      </w:r>
      <w:r>
        <w:rPr>
          <w:rFonts w:ascii="Arial" w:cs="Arial" w:eastAsia="Arial" w:hAnsi="Arial"/>
          <w:sz w:val="16"/>
          <w:szCs w:val="16"/>
          <w:u w:val="single" w:color="auto"/>
          <w:color w:val="auto"/>
        </w:rPr>
        <w:t>Company Waiving Parties</w:t>
      </w:r>
      <w:r>
        <w:rPr>
          <w:rFonts w:ascii="Arial" w:cs="Arial" w:eastAsia="Arial" w:hAnsi="Arial"/>
          <w:sz w:val="16"/>
          <w:szCs w:val="16"/>
          <w:color w:val="auto"/>
        </w:rPr>
        <w:t>”), that White &amp; Case LLP (or any successor) may represent the Sponsor, Parent or any of their respective directors, members, partners, officers, employees or Affiliates (other than the Company) (collectively, the “</w:t>
      </w:r>
      <w:r>
        <w:rPr>
          <w:rFonts w:ascii="Arial" w:cs="Arial" w:eastAsia="Arial" w:hAnsi="Arial"/>
          <w:sz w:val="16"/>
          <w:szCs w:val="16"/>
          <w:u w:val="single" w:color="auto"/>
          <w:color w:val="auto"/>
        </w:rPr>
        <w:t>Parent Group</w:t>
      </w:r>
      <w:r>
        <w:rPr>
          <w:rFonts w:ascii="Arial" w:cs="Arial" w:eastAsia="Arial" w:hAnsi="Arial"/>
          <w:sz w:val="16"/>
          <w:szCs w:val="16"/>
          <w:color w:val="auto"/>
        </w:rPr>
        <w:t>”), in each case, in connection with any Legal Proceeding or obligation arising out of or relating to this Agreement, any Transaction Agreement or the Transactions, notwithstanding its representation (or any continued representation) of the Parent Group, and the Company on behalf of itself and Company Waiving Parties hereby consents thereto and irrevocably waives (and will not assert) any conflict of interest, breach of duty or any other objection arising therefrom or relating thereto. The Company acknowledges that the foregoing provision applies whether or not White &amp; Case LLP provides legal services to the Sponsor or Parent after the Closing Date. The Company, for itself and the Waiving Parties, hereby further irrevocably acknowledges and agrees that all communications, written or oral, between any of the Parent Group and its counsel, including White &amp; Case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 notwithstanding the Merger, and instead survive, remain with and are controlled by the Sponsor and Parent (the “</w:t>
      </w:r>
      <w:r>
        <w:rPr>
          <w:rFonts w:ascii="Arial" w:cs="Arial" w:eastAsia="Arial" w:hAnsi="Arial"/>
          <w:sz w:val="16"/>
          <w:szCs w:val="16"/>
          <w:u w:val="single" w:color="auto"/>
          <w:color w:val="auto"/>
        </w:rPr>
        <w:t>Parent Privileged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Communications</w:t>
      </w:r>
      <w:r>
        <w:rPr>
          <w:rFonts w:ascii="Arial" w:cs="Arial" w:eastAsia="Arial" w:hAnsi="Arial"/>
          <w:sz w:val="16"/>
          <w:szCs w:val="16"/>
          <w:color w:val="auto"/>
        </w:rPr>
        <w:t>”), without any waiver thereof. Sponsor and Parent,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the Company Waiving Parties agree not to assert that any privilege has been waived as to the Parent Privileged Communications.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67"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Disclosure Letters and Exhibits</w:t>
      </w:r>
      <w:r>
        <w:rPr>
          <w:rFonts w:ascii="Arial" w:cs="Arial" w:eastAsia="Arial" w:hAnsi="Arial"/>
          <w:sz w:val="17"/>
          <w:szCs w:val="17"/>
          <w:color w:val="auto"/>
        </w:rPr>
        <w:t>. The Company Disclosure Letter and Parent Disclosure Letter shall each be arranged in separate parts corresponding to the numbered and lettered sections and subsections in this Agreement, and the information disclosed in any numbered or lettered part shall be deemed to relate to and to qualify only the particular provision set forth in the corresponding numbered or lettered Section or subsection of this Agreement, except to the extent that: (a) such information is cross-referenced in another part of the Company Disclosure Letter or Parent Disclosure Letter, as applicable; or (b) it is reasonably apparent on the face of the disclosure (without any independent knowledge on the part of the reader regarding the matter disclosed) that such information qualifies another provision in this Agreement. The specification of any dollar amount in the representations and warranties contained in this Agreement or the inclusion of any specific item in the Company Disclosure Letter and Parent Disclosure Letter is not intended to imply that such amounts (or higher or lower amounts) are or are not material, and no Party shall use the fact of the setting of such amounts or the fact of the inclusion of any such item in the Company Disclosure Letter or Parent Disclosure Letter in any dispute or controversy between the Parties as to whether any obligation, item, or matter not described herein or included in Company Disclosure Letter or the Parent Disclosure Letter is or is not material for purposes of this Agreement. The inclusion of any item in the Company Disclosure Letter or Parent Disclosure Letter shall not be deemed to constitute an acknowledgment by the Company or Parent, as applicable, that the matter is required to be disclosed by the terms of this Agreement, nor shall such disclosure be deemed (a) an admission of any breach or violation of any Contract or Legal Requirement, (b) an admission of any liability or obligation to any third party, or (c) to establish a standard of materiality. The disclosure of any items or information that is not required by this Agreement to be so included is solely for informational purposes and the convenience of Parent and Merger Sub or the Company, as applicable. In addition, under no circumstances shall the disclosure of any matter in this Company Disclosure Letter or Parent Disclosure Letter, where a representation or warranty of the Company or Parent, as applicable, is limited or qualified by the materiality of the matters to which the representation or warranty is given or by Company Material Adverse Effect, imply that any other undisclosed matter having a greater value or other significance is material or would have a Company Material Adverse Effect. Neither the Company nor Parent shall be prejudiced in any manner whatsoever, and no presumptions shall be created, by virtue of the disclosure of any matter in the Company Disclosure Letter or Parent Disclosure Letter, as applicable, which otherwise is not required to be disclosed by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this Agreement to be executed as of the date first written above.</w:t>
      </w:r>
    </w:p>
    <w:p>
      <w:pPr>
        <w:spacing w:after="0" w:line="23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Eli Casdin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 Chief Executive Officer</w:t>
      </w:r>
    </w:p>
    <w:p>
      <w:pPr>
        <w:spacing w:after="0" w:line="218"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S-IV SUB, INC.</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Eli Casdin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 Chief Executive Officer</w:t>
      </w:r>
    </w:p>
    <w:p>
      <w:pPr>
        <w:spacing w:after="0" w:line="22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[SIGNATURE PAGE TO AGREEMENT AND PLAN OF MERGER]</w:t>
      </w:r>
    </w:p>
    <w:p>
      <w:pPr>
        <w:spacing w:after="0" w:line="200" w:lineRule="exact"/>
        <w:rPr>
          <w:sz w:val="20"/>
          <w:szCs w:val="20"/>
          <w:color w:val="auto"/>
        </w:rPr>
      </w:pPr>
    </w:p>
    <w:p>
      <w:pPr>
        <w:spacing w:after="0" w:line="234"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79" w:name="page80"/>
    <w:bookmarkEnd w:id="79"/>
    <w:p>
      <w:pPr>
        <w:ind w:left="5640"/>
        <w:spacing w:after="0"/>
        <w:rPr>
          <w:sz w:val="20"/>
          <w:szCs w:val="20"/>
          <w:color w:val="auto"/>
        </w:rPr>
      </w:pPr>
      <w:r>
        <w:rPr>
          <w:rFonts w:ascii="Arial" w:cs="Arial" w:eastAsia="Arial" w:hAnsi="Arial"/>
          <w:sz w:val="18"/>
          <w:szCs w:val="18"/>
          <w:b w:val="1"/>
          <w:bCs w:val="1"/>
          <w:color w:val="auto"/>
        </w:rPr>
        <w:t>MOUNT SINAI GENOMICS,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Dr.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Dr. Eric Schadt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Terms defined in this Agreement are organized alphabetically as follows, together with the Section and, where applicable, paragraph, number in which definition of each such term is located: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gridSpan w:val="20"/>
          </w:tcPr>
          <w:p>
            <w:pPr>
              <w:spacing w:after="0"/>
              <w:rPr>
                <w:sz w:val="20"/>
                <w:szCs w:val="20"/>
                <w:color w:val="auto"/>
              </w:rPr>
            </w:pPr>
            <w:r>
              <w:rPr>
                <w:rFonts w:ascii="Arial" w:cs="Arial" w:eastAsia="Arial" w:hAnsi="Arial"/>
                <w:sz w:val="18"/>
                <w:szCs w:val="18"/>
                <w:color w:val="auto"/>
              </w:rPr>
              <w:t>“A&amp;R Registration Rights Agreement”</w:t>
            </w:r>
          </w:p>
        </w:tc>
        <w:tc>
          <w:tcPr>
            <w:tcW w:w="2940" w:type="dxa"/>
            <w:vAlign w:val="bottom"/>
          </w:tcPr>
          <w:p>
            <w:pPr>
              <w:spacing w:after="0"/>
              <w:rPr>
                <w:sz w:val="17"/>
                <w:szCs w:val="17"/>
                <w:color w:val="auto"/>
              </w:rPr>
            </w:pPr>
          </w:p>
        </w:tc>
        <w:tc>
          <w:tcPr>
            <w:tcW w:w="4380" w:type="dxa"/>
            <w:vAlign w:val="bottom"/>
            <w:gridSpan w:val="6"/>
          </w:tcPr>
          <w:p>
            <w:pPr>
              <w:spacing w:after="0"/>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“Acceleration Event”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3.2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“Additional Parent SEC Reports”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5.7(a)</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“Affiliate”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“Agreement”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“Antitrust Laws”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“Applicable Legal Requirements”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tcBorders>
              <w:left w:val="single" w:sz="8" w:color="auto"/>
            </w:tcBorders>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“Approvals”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4.6(b)</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“Audited Financial Statements”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4.8(a)</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“Base Value”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“Business Day”</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“Cash Pro Rata Share”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“Certificate”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“Certificate of Merger”</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1.4(c)</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“Certifications”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5.7(a)</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“Change in Recommendation”</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7.1(b)</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“Change of Control”</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“Charter Documents”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4.1</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“Class A Common Stock”</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“Class B Common Stock”</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“Closing”</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1.1</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“Closing Cash Payment Amount”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640" w:type="dxa"/>
            <w:vAlign w:val="bottom"/>
            <w:tcBorders>
              <w:right w:val="single" w:sz="8" w:color="auto"/>
            </w:tcBorders>
            <w:gridSpan w:val="4"/>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“Closing Consideration”</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2.8(a)</w:t>
            </w:r>
          </w:p>
        </w:tc>
      </w:tr>
      <w:tr>
        <w:trPr>
          <w:trHeight w:val="20"/>
        </w:trPr>
        <w:tc>
          <w:tcPr>
            <w:tcW w:w="8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“Closing Date”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1.1</w:t>
            </w:r>
          </w:p>
        </w:tc>
      </w:tr>
      <w:tr>
        <w:trPr>
          <w:trHeight w:val="20"/>
        </w:trPr>
        <w:tc>
          <w:tcPr>
            <w:tcW w:w="8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“Closing Form 8-K”</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7.3(c)</w:t>
            </w:r>
          </w:p>
        </w:tc>
      </w:tr>
      <w:tr>
        <w:trPr>
          <w:trHeight w:val="20"/>
        </w:trPr>
        <w:tc>
          <w:tcPr>
            <w:tcW w:w="80" w:type="dxa"/>
            <w:vAlign w:val="bottom"/>
          </w:tcPr>
          <w:p>
            <w:pPr>
              <w:spacing w:after="0" w:line="20" w:lineRule="exact"/>
              <w:rPr>
                <w:sz w:val="1"/>
                <w:szCs w:val="1"/>
                <w:color w:val="auto"/>
              </w:rPr>
            </w:pPr>
          </w:p>
        </w:tc>
        <w:tc>
          <w:tcPr>
            <w:tcW w:w="1320" w:type="dxa"/>
            <w:vAlign w:val="bottom"/>
            <w:gridSpan w:val="8"/>
            <w:shd w:val="clear" w:color="auto" w:fill="000000"/>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r>
      <w:tr>
        <w:trPr>
          <w:trHeight w:val="216"/>
        </w:trPr>
        <w:tc>
          <w:tcPr>
            <w:tcW w:w="3920" w:type="dxa"/>
            <w:vAlign w:val="bottom"/>
            <w:gridSpan w:val="20"/>
          </w:tcPr>
          <w:p>
            <w:pPr>
              <w:spacing w:after="0" w:line="196" w:lineRule="exact"/>
              <w:rPr>
                <w:sz w:val="20"/>
                <w:szCs w:val="20"/>
                <w:color w:val="auto"/>
              </w:rPr>
            </w:pPr>
            <w:r>
              <w:rPr>
                <w:rFonts w:ascii="Arial" w:cs="Arial" w:eastAsia="Arial" w:hAnsi="Arial"/>
                <w:sz w:val="18"/>
                <w:szCs w:val="18"/>
                <w:color w:val="auto"/>
              </w:rPr>
              <w:t>“Closing Merger Consideration”</w:t>
            </w:r>
          </w:p>
        </w:tc>
        <w:tc>
          <w:tcPr>
            <w:tcW w:w="2940" w:type="dxa"/>
            <w:vAlign w:val="bottom"/>
          </w:tcPr>
          <w:p>
            <w:pPr>
              <w:spacing w:after="0"/>
              <w:rPr>
                <w:sz w:val="18"/>
                <w:szCs w:val="18"/>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683"/>
        </w:trPr>
        <w:tc>
          <w:tcPr>
            <w:tcW w:w="8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SCHEDULE A-1</w:t>
            </w: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gridSpan w:val="3"/>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gridSpan w:val="21"/>
          </w:tcPr>
          <w:p>
            <w:pPr>
              <w:spacing w:after="0"/>
              <w:rPr>
                <w:sz w:val="20"/>
                <w:szCs w:val="20"/>
                <w:color w:val="auto"/>
              </w:rPr>
            </w:pPr>
            <w:r>
              <w:rPr>
                <w:rFonts w:ascii="Arial" w:cs="Arial" w:eastAsia="Arial" w:hAnsi="Arial"/>
                <w:sz w:val="18"/>
                <w:szCs w:val="18"/>
                <w:color w:val="auto"/>
              </w:rPr>
              <w:t>“Closing Number of Securities”</w:t>
            </w:r>
          </w:p>
        </w:tc>
        <w:tc>
          <w:tcPr>
            <w:tcW w:w="2940" w:type="dxa"/>
            <w:vAlign w:val="bottom"/>
          </w:tcPr>
          <w:p>
            <w:pPr>
              <w:spacing w:after="0"/>
              <w:rPr>
                <w:sz w:val="17"/>
                <w:szCs w:val="17"/>
                <w:color w:val="auto"/>
              </w:rPr>
            </w:pPr>
          </w:p>
        </w:tc>
        <w:tc>
          <w:tcPr>
            <w:tcW w:w="4380" w:type="dxa"/>
            <w:vAlign w:val="bottom"/>
            <w:gridSpan w:val="6"/>
          </w:tcPr>
          <w:p>
            <w:pPr>
              <w:spacing w:after="0"/>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“Closing Press Release”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7.3(c)</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“Closing Securities Payment Amount”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“Code”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“Common Share Price”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Benefit Plan”</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4.12(a)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Business Combination”</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7.10(a)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Common Stock”</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Disclosure Letter”</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Article IV, Preamble</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Organizational Documents”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Material Adverse Effect”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Material Contract”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4.20(a)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Stockholder”</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Stockholder Approval”</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Subsidiaries”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4.2(a)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Borders>
              <w:right w:val="single" w:sz="8" w:color="auto"/>
            </w:tcBorders>
            <w:gridSpan w:val="3"/>
            <w:shd w:val="clear" w:color="auto" w:fill="000000"/>
          </w:tcPr>
          <w:p>
            <w:pPr>
              <w:spacing w:after="0" w:line="20" w:lineRule="exact"/>
              <w:rPr>
                <w:sz w:val="1"/>
                <w:szCs w:val="1"/>
                <w:color w:val="auto"/>
              </w:rPr>
            </w:pPr>
          </w:p>
        </w:tc>
        <w:tc>
          <w:tcPr>
            <w:tcW w:w="3400" w:type="dxa"/>
            <w:vAlign w:val="bottom"/>
            <w:tcBorders>
              <w:left w:val="single" w:sz="8" w:color="auto"/>
            </w:tcBorders>
            <w:gridSpan w:val="3"/>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Transaction Costs”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“Company’s Required Funds”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“Company Waiving Parties”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Borders>
              <w:right w:val="single" w:sz="8" w:color="auto"/>
            </w:tcBorders>
            <w:gridSpan w:val="3"/>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“Confidentiality Agreement”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“Continental”</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5.14(a)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“Contract”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“Copyright”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“Current Government Contract”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400" w:type="dxa"/>
            <w:vAlign w:val="bottom"/>
            <w:gridSpan w:val="5"/>
            <w:shd w:val="clear" w:color="auto" w:fill="000000"/>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“D&amp;O Indemnified Party”</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7.12(a)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“D&amp;O Tail”</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7.12(b)</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40" w:type="dxa"/>
            <w:vAlign w:val="bottom"/>
            <w:gridSpan w:val="1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“DGCL”</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640" w:type="dxa"/>
            <w:vAlign w:val="bottom"/>
            <w:gridSpan w:val="1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“EAR”</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Definition of Specified Business Conduct Laws</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640" w:type="dxa"/>
            <w:vAlign w:val="bottom"/>
            <w:gridSpan w:val="1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Arial" w:cs="Arial" w:eastAsia="Arial" w:hAnsi="Arial"/>
                <w:sz w:val="18"/>
                <w:szCs w:val="18"/>
                <w:color w:val="auto"/>
              </w:rPr>
              <w:t>“Earn-Out Period”</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703"/>
        </w:trPr>
        <w:tc>
          <w:tcPr>
            <w:tcW w:w="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SCHEDULE A-2</w:t>
            </w:r>
          </w:p>
        </w:tc>
        <w:tc>
          <w:tcPr>
            <w:tcW w:w="840" w:type="dxa"/>
            <w:vAlign w:val="bottom"/>
            <w:tcBorders>
              <w:top w:val="single" w:sz="8" w:color="auto"/>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gridSpan w:val="2"/>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gridSpan w:val="18"/>
          </w:tcPr>
          <w:p>
            <w:pPr>
              <w:spacing w:after="0"/>
              <w:rPr>
                <w:sz w:val="20"/>
                <w:szCs w:val="20"/>
                <w:color w:val="auto"/>
              </w:rPr>
            </w:pPr>
            <w:r>
              <w:rPr>
                <w:rFonts w:ascii="Arial" w:cs="Arial" w:eastAsia="Arial" w:hAnsi="Arial"/>
                <w:sz w:val="18"/>
                <w:szCs w:val="18"/>
                <w:color w:val="auto"/>
              </w:rPr>
              <w:t>“Earn-Out Pro Rata Share”</w:t>
            </w:r>
          </w:p>
        </w:tc>
        <w:tc>
          <w:tcPr>
            <w:tcW w:w="3000" w:type="dxa"/>
            <w:vAlign w:val="bottom"/>
          </w:tcPr>
          <w:p>
            <w:pPr>
              <w:spacing w:after="0"/>
              <w:rPr>
                <w:sz w:val="17"/>
                <w:szCs w:val="17"/>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Schedule A</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“Earn-Out Shares”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3.1(a)</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“Effective Time”</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2.1</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“Environmental Law”</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“ERISA”</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“ERISA Affiliate”</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“Equity Financing Agreement”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5.13</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“Equity Financing Amount”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5.13</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“Equity Financing Investors”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5.13</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“ESPP”</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“Exchange Act”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“Exchange Agent”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2.8(a)</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“Exchange Fund”</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2.8(c)</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“Excluded Share”</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2.7(d)</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“Financial Statements”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4.8(a)</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“Fully Diluted Company Shares”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“Fundamental Representations”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“GAAP”</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“Governmental Entity”</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“Government Grants”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4.25</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“Group Companies”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“Group Companies’ Privacy Notices”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4.19(a)</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“Hazardous Material”</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“HSR Act”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4.5(b)</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“Indebtedness”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“Insider”</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4.22</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“Intended Tax Treatment”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132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“Insurance Policies”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4.21</w:t>
            </w:r>
          </w:p>
        </w:tc>
      </w:tr>
      <w:tr>
        <w:trPr>
          <w:trHeight w:val="20"/>
        </w:trPr>
        <w:tc>
          <w:tcPr>
            <w:tcW w:w="80" w:type="dxa"/>
            <w:vAlign w:val="bottom"/>
          </w:tcPr>
          <w:p>
            <w:pPr>
              <w:spacing w:after="0" w:line="20" w:lineRule="exact"/>
              <w:rPr>
                <w:sz w:val="1"/>
                <w:szCs w:val="1"/>
                <w:color w:val="auto"/>
              </w:rPr>
            </w:pPr>
          </w:p>
        </w:tc>
        <w:tc>
          <w:tcPr>
            <w:tcW w:w="1320" w:type="dxa"/>
            <w:vAlign w:val="bottom"/>
            <w:gridSpan w:val="7"/>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r>
      <w:tr>
        <w:trPr>
          <w:trHeight w:val="216"/>
        </w:trPr>
        <w:tc>
          <w:tcPr>
            <w:tcW w:w="3860" w:type="dxa"/>
            <w:vAlign w:val="bottom"/>
            <w:gridSpan w:val="18"/>
          </w:tcPr>
          <w:p>
            <w:pPr>
              <w:spacing w:after="0" w:line="196" w:lineRule="exact"/>
              <w:rPr>
                <w:sz w:val="20"/>
                <w:szCs w:val="20"/>
                <w:color w:val="auto"/>
              </w:rPr>
            </w:pPr>
            <w:r>
              <w:rPr>
                <w:rFonts w:ascii="Arial" w:cs="Arial" w:eastAsia="Arial" w:hAnsi="Arial"/>
                <w:sz w:val="18"/>
                <w:szCs w:val="18"/>
                <w:color w:val="auto"/>
              </w:rPr>
              <w:t>“Intellectual Property”</w:t>
            </w:r>
          </w:p>
        </w:tc>
        <w:tc>
          <w:tcPr>
            <w:tcW w:w="3000" w:type="dxa"/>
            <w:vAlign w:val="bottom"/>
          </w:tcPr>
          <w:p>
            <w:pPr>
              <w:spacing w:after="0"/>
              <w:rPr>
                <w:sz w:val="18"/>
                <w:szCs w:val="18"/>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683"/>
        </w:trPr>
        <w:tc>
          <w:tcPr>
            <w:tcW w:w="8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SCHEDULE A-3</w:t>
            </w: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800" w:type="dxa"/>
            <w:vAlign w:val="bottom"/>
            <w:tcBorders>
              <w:top w:val="single" w:sz="8" w:color="auto"/>
              <w:bottom w:val="single" w:sz="8" w:color="auto"/>
            </w:tcBorders>
            <w:gridSpan w:val="3"/>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25"/>
          </w:tcPr>
          <w:p>
            <w:pPr>
              <w:spacing w:after="0"/>
              <w:rPr>
                <w:sz w:val="20"/>
                <w:szCs w:val="20"/>
                <w:color w:val="auto"/>
              </w:rPr>
            </w:pPr>
            <w:r>
              <w:rPr>
                <w:rFonts w:ascii="Arial" w:cs="Arial" w:eastAsia="Arial" w:hAnsi="Arial"/>
                <w:sz w:val="18"/>
                <w:szCs w:val="18"/>
                <w:color w:val="auto"/>
              </w:rPr>
              <w:t>“Interim Financial Statements”</w:t>
            </w:r>
          </w:p>
        </w:tc>
        <w:tc>
          <w:tcPr>
            <w:tcW w:w="2880" w:type="dxa"/>
            <w:vAlign w:val="bottom"/>
          </w:tcPr>
          <w:p>
            <w:pPr>
              <w:spacing w:after="0"/>
              <w:rPr>
                <w:sz w:val="17"/>
                <w:szCs w:val="17"/>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Section 4.8(a)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“Knowledge”</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“Leased Real Property”</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4.14(b)</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80" w:type="dxa"/>
            <w:vAlign w:val="bottom"/>
            <w:tcBorders>
              <w:left w:val="single" w:sz="8" w:color="auto"/>
            </w:tcBorders>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“Legal Proceeding”</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“Legal Requirements”</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“Lien”</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“Losses”</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“LTIP”</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“Material Current Government Contract”</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4.7</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“Merger”</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“Merger Sub”</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“Merger Sub Common Stock”</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5.3(b)</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“Nasdaq”</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5.12</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“OFAC”</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“Order”</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“Outside Date”</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9.1(b)</w:t>
            </w:r>
          </w:p>
        </w:tc>
      </w:tr>
      <w:tr>
        <w:trPr>
          <w:trHeight w:val="20"/>
        </w:trPr>
        <w:tc>
          <w:tcPr>
            <w:tcW w:w="8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“Owned Real Property”</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4.14(a)</w:t>
            </w:r>
          </w:p>
        </w:tc>
      </w:tr>
      <w:tr>
        <w:trPr>
          <w:trHeight w:val="20"/>
        </w:trPr>
        <w:tc>
          <w:tcPr>
            <w:tcW w:w="8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A&amp;R Bylaws”</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A&amp;R Charter”</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Business Combination”</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7.10(b)</w:t>
            </w:r>
          </w:p>
        </w:tc>
      </w:tr>
      <w:tr>
        <w:trPr>
          <w:trHeight w:val="20"/>
        </w:trPr>
        <w:tc>
          <w:tcPr>
            <w:tcW w:w="8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Cash”</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Class A Stock”</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Class B Stock”</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Charter”</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Disclosure Letter”</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Article V</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780" w:type="dxa"/>
            <w:vAlign w:val="bottom"/>
            <w:gridSpan w:val="8"/>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Group”</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80" w:type="dxa"/>
            <w:vAlign w:val="bottom"/>
            <w:tcBorders>
              <w:right w:val="single" w:sz="8" w:color="auto"/>
            </w:tcBorders>
            <w:gridSpan w:val="4"/>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Group”</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80" w:type="dxa"/>
            <w:vAlign w:val="bottom"/>
            <w:tcBorders>
              <w:right w:val="single" w:sz="8" w:color="auto"/>
            </w:tcBorders>
            <w:gridSpan w:val="4"/>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Arial" w:cs="Arial" w:eastAsia="Arial" w:hAnsi="Arial"/>
                <w:sz w:val="18"/>
                <w:szCs w:val="18"/>
                <w:color w:val="auto"/>
              </w:rPr>
              <w:t>“Parent Material Adverse Effect”</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703"/>
        </w:trPr>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SCHEDULE A-4</w:t>
            </w:r>
          </w:p>
        </w:tc>
        <w:tc>
          <w:tcPr>
            <w:tcW w:w="820" w:type="dxa"/>
            <w:vAlign w:val="bottom"/>
            <w:tcBorders>
              <w:top w:val="single" w:sz="8" w:color="auto"/>
              <w:bottom w:val="single" w:sz="8" w:color="auto"/>
            </w:tcBorders>
            <w:gridSpan w:val="2"/>
          </w:tcPr>
          <w:p>
            <w:pPr>
              <w:spacing w:after="0"/>
              <w:rPr>
                <w:sz w:val="24"/>
                <w:szCs w:val="24"/>
                <w:color w:val="auto"/>
              </w:rPr>
            </w:pPr>
          </w:p>
        </w:tc>
        <w:tc>
          <w:tcPr>
            <w:tcW w:w="160" w:type="dxa"/>
            <w:vAlign w:val="bottom"/>
            <w:tcBorders>
              <w:bottom w:val="single" w:sz="8" w:color="auto"/>
            </w:tcBorders>
            <w:gridSpan w:val="2"/>
          </w:tcPr>
          <w:p>
            <w:pPr>
              <w:spacing w:after="0"/>
              <w:rPr>
                <w:sz w:val="24"/>
                <w:szCs w:val="24"/>
                <w:color w:val="auto"/>
              </w:rPr>
            </w:pPr>
          </w:p>
        </w:tc>
        <w:tc>
          <w:tcPr>
            <w:tcW w:w="760" w:type="dxa"/>
            <w:vAlign w:val="bottom"/>
            <w:tcBorders>
              <w:top w:val="single" w:sz="8" w:color="auto"/>
              <w:bottom w:val="single" w:sz="8" w:color="auto"/>
            </w:tcBorders>
            <w:gridSpan w:val="2"/>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21"/>
          </w:tcPr>
          <w:p>
            <w:pPr>
              <w:spacing w:after="0"/>
              <w:rPr>
                <w:sz w:val="20"/>
                <w:szCs w:val="20"/>
                <w:color w:val="auto"/>
              </w:rPr>
            </w:pPr>
            <w:r>
              <w:rPr>
                <w:rFonts w:ascii="Arial" w:cs="Arial" w:eastAsia="Arial" w:hAnsi="Arial"/>
                <w:sz w:val="18"/>
                <w:szCs w:val="18"/>
                <w:color w:val="auto"/>
              </w:rPr>
              <w:t>“Parent Material Contracts”</w:t>
            </w:r>
          </w:p>
        </w:tc>
        <w:tc>
          <w:tcPr>
            <w:tcW w:w="3020" w:type="dxa"/>
            <w:vAlign w:val="bottom"/>
          </w:tcPr>
          <w:p>
            <w:pPr>
              <w:spacing w:after="0"/>
              <w:rPr>
                <w:sz w:val="17"/>
                <w:szCs w:val="17"/>
                <w:color w:val="auto"/>
              </w:rPr>
            </w:pPr>
          </w:p>
        </w:tc>
        <w:tc>
          <w:tcPr>
            <w:tcW w:w="4380" w:type="dxa"/>
            <w:vAlign w:val="bottom"/>
            <w:gridSpan w:val="8"/>
          </w:tcPr>
          <w:p>
            <w:pPr>
              <w:spacing w:after="0"/>
              <w:rPr>
                <w:sz w:val="20"/>
                <w:szCs w:val="20"/>
                <w:color w:val="auto"/>
              </w:rPr>
            </w:pPr>
            <w:r>
              <w:rPr>
                <w:rFonts w:ascii="Arial" w:cs="Arial" w:eastAsia="Arial" w:hAnsi="Arial"/>
                <w:sz w:val="18"/>
                <w:szCs w:val="18"/>
                <w:color w:val="auto"/>
              </w:rPr>
              <w:t>Section 5.11</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Option”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2.12(a)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Organizational Documents”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Privileged Communications”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Recommendation”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SEC Reports”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5.7(a)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Shares”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Stockholder Matters”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7.1(a)(i)</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Stockholder Redemption”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7.1(a)(i)</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Transaction Costs”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Units”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Waiving Parties”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“Parent Warrants”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“Parties”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“Patent”</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“PCAOB Financial Statements”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7.1(a)(ii)</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5"/>
            <w:shd w:val="clear" w:color="auto" w:fill="000000"/>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“Permitted Lien”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“Person”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“Private Placement Warrants”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0" w:type="dxa"/>
            <w:vAlign w:val="bottom"/>
            <w:tcBorders>
              <w:left w:val="single" w:sz="8" w:color="auto"/>
            </w:tcBorders>
            <w:gridSpan w:val="5"/>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“Proxy Clearance Date”</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7.1(a)(i)</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“Proxy Statement”</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7.1(a)(i)</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“Public Warrants”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0" w:type="dxa"/>
            <w:vAlign w:val="bottom"/>
            <w:tcBorders>
              <w:left w:val="single" w:sz="8" w:color="auto"/>
            </w:tcBorders>
            <w:gridSpan w:val="5"/>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“Related Parties”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“Released Claims”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7.7(a)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0" w:type="dxa"/>
            <w:vAlign w:val="bottom"/>
            <w:tcBorders>
              <w:left w:val="single" w:sz="8" w:color="auto"/>
            </w:tcBorders>
            <w:gridSpan w:val="5"/>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“Remedies Exception”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4.4</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“Representatives”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Section 7.10(a)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2620" w:type="dxa"/>
            <w:vAlign w:val="bottom"/>
            <w:gridSpan w:val="1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“Restricted Cash”</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2620" w:type="dxa"/>
            <w:vAlign w:val="bottom"/>
            <w:gridSpan w:val="1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“SEC”</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760" w:type="dxa"/>
            <w:vAlign w:val="bottom"/>
            <w:gridSpan w:val="16"/>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Arial" w:cs="Arial" w:eastAsia="Arial" w:hAnsi="Arial"/>
                <w:sz w:val="18"/>
                <w:szCs w:val="18"/>
                <w:color w:val="auto"/>
              </w:rPr>
              <w:t>“Securities Act”</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703"/>
        </w:trPr>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SCHEDULE A-5</w:t>
            </w:r>
          </w:p>
        </w:tc>
        <w:tc>
          <w:tcPr>
            <w:tcW w:w="8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gridSpan w:val="2"/>
          </w:tcPr>
          <w:p>
            <w:pPr>
              <w:spacing w:after="0"/>
              <w:rPr>
                <w:sz w:val="24"/>
                <w:szCs w:val="24"/>
                <w:color w:val="auto"/>
              </w:rPr>
            </w:pPr>
          </w:p>
        </w:tc>
        <w:tc>
          <w:tcPr>
            <w:tcW w:w="760" w:type="dxa"/>
            <w:vAlign w:val="bottom"/>
            <w:tcBorders>
              <w:top w:val="single" w:sz="8" w:color="auto"/>
              <w:bottom w:val="single" w:sz="8" w:color="auto"/>
            </w:tcBorders>
            <w:gridSpan w:val="4"/>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26"/>
          </w:tcPr>
          <w:p>
            <w:pPr>
              <w:spacing w:after="0"/>
              <w:rPr>
                <w:sz w:val="20"/>
                <w:szCs w:val="20"/>
                <w:color w:val="auto"/>
              </w:rPr>
            </w:pPr>
            <w:r>
              <w:rPr>
                <w:rFonts w:ascii="Arial" w:cs="Arial" w:eastAsia="Arial" w:hAnsi="Arial"/>
                <w:sz w:val="18"/>
                <w:szCs w:val="18"/>
                <w:color w:val="auto"/>
              </w:rPr>
              <w:t>“Special Meeting”</w:t>
            </w:r>
          </w:p>
        </w:tc>
        <w:tc>
          <w:tcPr>
            <w:tcW w:w="2820" w:type="dxa"/>
            <w:vAlign w:val="bottom"/>
          </w:tcPr>
          <w:p>
            <w:pPr>
              <w:spacing w:after="0"/>
              <w:rPr>
                <w:sz w:val="17"/>
                <w:szCs w:val="17"/>
                <w:color w:val="auto"/>
              </w:rPr>
            </w:pPr>
          </w:p>
        </w:tc>
        <w:tc>
          <w:tcPr>
            <w:tcW w:w="4380" w:type="dxa"/>
            <w:vAlign w:val="bottom"/>
            <w:gridSpan w:val="6"/>
          </w:tcPr>
          <w:p>
            <w:pPr>
              <w:spacing w:after="0"/>
              <w:rPr>
                <w:sz w:val="20"/>
                <w:szCs w:val="20"/>
                <w:color w:val="auto"/>
              </w:rPr>
            </w:pPr>
            <w:r>
              <w:rPr>
                <w:rFonts w:ascii="Arial" w:cs="Arial" w:eastAsia="Arial" w:hAnsi="Arial"/>
                <w:sz w:val="18"/>
                <w:szCs w:val="18"/>
                <w:color w:val="auto"/>
              </w:rPr>
              <w:t>Section 7.1(b)</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“Specified Business Conduct Laws”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“Sponsor”</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“Stockholder Consent and Joinder”</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“Stockholder Group”</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“Stockholder Privileged Communications”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“Subsidiary”</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“Surrender Documentation”</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2.8(d)</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“Surviving Corporation”</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“Tax Return”</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“Tax/Taxes”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“Top Customer”</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4.27(a)</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“Top Supplier”</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4.27(b)</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“Total Consideration”</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2.6(a)</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“Transaction Agreements”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“Transaction Tax Benefits”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7.15(a)</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“Transaction Tax Deductions”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“Transactions”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“Trademarks”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“Trade Secrets”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“Treasury Regulations”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“Triggering Event I”</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“Triggering Event II”</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“Triggering Event III”</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“Triggering Event IV”</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“Triggering Events”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“Trust Agreement”</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5.14(a)</w:t>
            </w:r>
          </w:p>
        </w:tc>
      </w:tr>
      <w:tr>
        <w:trPr>
          <w:trHeight w:val="20"/>
        </w:trPr>
        <w:tc>
          <w:tcPr>
            <w:tcW w:w="8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“Trust Account”</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5.14(a)</w:t>
            </w:r>
          </w:p>
        </w:tc>
      </w:tr>
      <w:tr>
        <w:trPr>
          <w:trHeight w:val="20"/>
        </w:trPr>
        <w:tc>
          <w:tcPr>
            <w:tcW w:w="80" w:type="dxa"/>
            <w:vAlign w:val="bottom"/>
          </w:tcPr>
          <w:p>
            <w:pPr>
              <w:spacing w:after="0" w:line="20" w:lineRule="exact"/>
              <w:rPr>
                <w:sz w:val="1"/>
                <w:szCs w:val="1"/>
                <w:color w:val="auto"/>
              </w:rPr>
            </w:pPr>
          </w:p>
        </w:tc>
        <w:tc>
          <w:tcPr>
            <w:tcW w:w="1780" w:type="dxa"/>
            <w:vAlign w:val="bottom"/>
            <w:gridSpan w:val="19"/>
            <w:shd w:val="clear" w:color="auto" w:fill="000000"/>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Arial" w:cs="Arial" w:eastAsia="Arial" w:hAnsi="Arial"/>
                <w:sz w:val="18"/>
                <w:szCs w:val="18"/>
                <w:color w:val="auto"/>
              </w:rPr>
              <w:t>“Trust Termination Letter”</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Arial" w:cs="Arial" w:eastAsia="Arial" w:hAnsi="Arial"/>
                <w:sz w:val="18"/>
                <w:szCs w:val="18"/>
                <w:color w:val="auto"/>
              </w:rPr>
              <w:t>Section 7.5</w:t>
            </w:r>
          </w:p>
        </w:tc>
      </w:tr>
      <w:tr>
        <w:trPr>
          <w:trHeight w:val="702"/>
        </w:trPr>
        <w:tc>
          <w:tcPr>
            <w:tcW w:w="8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SCHEDULE A-6</w:t>
            </w:r>
          </w:p>
        </w:tc>
        <w:tc>
          <w:tcPr>
            <w:tcW w:w="840" w:type="dxa"/>
            <w:vAlign w:val="bottom"/>
            <w:tcBorders>
              <w:top w:val="single" w:sz="8" w:color="auto"/>
              <w:bottom w:val="single" w:sz="8" w:color="auto"/>
            </w:tcBorders>
          </w:tcPr>
          <w:p>
            <w:pPr>
              <w:spacing w:after="0"/>
              <w:rPr>
                <w:sz w:val="24"/>
                <w:szCs w:val="24"/>
                <w:color w:val="auto"/>
              </w:rPr>
            </w:pPr>
          </w:p>
        </w:tc>
        <w:tc>
          <w:tcPr>
            <w:tcW w:w="3540" w:type="dxa"/>
            <w:vAlign w:val="bottom"/>
            <w:tcBorders>
              <w:bottom w:val="single" w:sz="8" w:color="auto"/>
            </w:tcBorders>
            <w:gridSpan w:val="5"/>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5"/>
          </w:tcPr>
          <w:p>
            <w:pPr>
              <w:spacing w:after="0"/>
              <w:rPr>
                <w:sz w:val="20"/>
                <w:szCs w:val="20"/>
                <w:color w:val="auto"/>
              </w:rPr>
            </w:pPr>
            <w:r>
              <w:rPr>
                <w:rFonts w:ascii="Arial" w:cs="Arial" w:eastAsia="Arial" w:hAnsi="Arial"/>
                <w:sz w:val="18"/>
                <w:szCs w:val="18"/>
                <w:color w:val="auto"/>
              </w:rPr>
              <w:t>“Upper Band Amount”</w:t>
            </w:r>
          </w:p>
        </w:tc>
        <w:tc>
          <w:tcPr>
            <w:tcW w:w="1740" w:type="dxa"/>
            <w:vAlign w:val="bottom"/>
            <w:gridSpan w:val="4"/>
          </w:tcPr>
          <w:p>
            <w:pPr>
              <w:spacing w:after="0"/>
              <w:rPr>
                <w:sz w:val="20"/>
                <w:szCs w:val="20"/>
                <w:color w:val="auto"/>
              </w:rPr>
            </w:pPr>
            <w:r>
              <w:rPr>
                <w:rFonts w:ascii="Arial" w:cs="Arial" w:eastAsia="Arial" w:hAnsi="Arial"/>
                <w:sz w:val="18"/>
                <w:szCs w:val="18"/>
                <w:color w:val="auto"/>
                <w:w w:val="89"/>
              </w:rPr>
              <w:t>Schedule A, Section 1.2</w:t>
            </w:r>
          </w:p>
        </w:tc>
      </w:tr>
      <w:tr>
        <w:trPr>
          <w:trHeight w:val="20"/>
        </w:trPr>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6"/>
        </w:trPr>
        <w:tc>
          <w:tcPr>
            <w:tcW w:w="6860" w:type="dxa"/>
            <w:vAlign w:val="bottom"/>
            <w:gridSpan w:val="5"/>
          </w:tcPr>
          <w:p>
            <w:pPr>
              <w:spacing w:after="0" w:line="196" w:lineRule="exact"/>
              <w:rPr>
                <w:sz w:val="20"/>
                <w:szCs w:val="20"/>
                <w:color w:val="auto"/>
              </w:rPr>
            </w:pPr>
            <w:r>
              <w:rPr>
                <w:rFonts w:ascii="Arial" w:cs="Arial" w:eastAsia="Arial" w:hAnsi="Arial"/>
                <w:sz w:val="18"/>
                <w:szCs w:val="18"/>
                <w:color w:val="auto"/>
              </w:rPr>
              <w:t>“WARN”</w:t>
            </w:r>
          </w:p>
        </w:tc>
        <w:tc>
          <w:tcPr>
            <w:tcW w:w="1740" w:type="dxa"/>
            <w:vAlign w:val="bottom"/>
            <w:gridSpan w:val="4"/>
          </w:tcPr>
          <w:p>
            <w:pPr>
              <w:spacing w:after="0" w:line="196" w:lineRule="exact"/>
              <w:rPr>
                <w:sz w:val="20"/>
                <w:szCs w:val="20"/>
                <w:color w:val="auto"/>
              </w:rPr>
            </w:pPr>
            <w:r>
              <w:rPr>
                <w:rFonts w:ascii="Arial" w:cs="Arial" w:eastAsia="Arial" w:hAnsi="Arial"/>
                <w:sz w:val="18"/>
                <w:szCs w:val="18"/>
                <w:color w:val="auto"/>
              </w:rPr>
              <w:t>Section 4.13(e)</w:t>
            </w:r>
          </w:p>
        </w:tc>
      </w:tr>
      <w:tr>
        <w:trPr>
          <w:trHeight w:val="20"/>
        </w:trPr>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860" w:type="dxa"/>
            <w:vAlign w:val="bottom"/>
            <w:gridSpan w:val="5"/>
          </w:tcPr>
          <w:p>
            <w:pPr>
              <w:spacing w:after="0" w:line="196" w:lineRule="exact"/>
              <w:rPr>
                <w:sz w:val="20"/>
                <w:szCs w:val="20"/>
                <w:color w:val="auto"/>
              </w:rPr>
            </w:pPr>
            <w:r>
              <w:rPr>
                <w:rFonts w:ascii="Arial" w:cs="Arial" w:eastAsia="Arial" w:hAnsi="Arial"/>
                <w:sz w:val="18"/>
                <w:szCs w:val="18"/>
                <w:color w:val="auto"/>
              </w:rPr>
              <w:t>“Within the Band Amount”</w:t>
            </w:r>
          </w:p>
        </w:tc>
        <w:tc>
          <w:tcPr>
            <w:tcW w:w="1740" w:type="dxa"/>
            <w:vAlign w:val="bottom"/>
            <w:gridSpan w:val="4"/>
          </w:tcPr>
          <w:p>
            <w:pPr>
              <w:spacing w:after="0" w:line="196" w:lineRule="exact"/>
              <w:rPr>
                <w:sz w:val="20"/>
                <w:szCs w:val="20"/>
                <w:color w:val="auto"/>
              </w:rPr>
            </w:pPr>
            <w:r>
              <w:rPr>
                <w:rFonts w:ascii="Arial" w:cs="Arial" w:eastAsia="Arial" w:hAnsi="Arial"/>
                <w:sz w:val="18"/>
                <w:szCs w:val="18"/>
                <w:color w:val="auto"/>
                <w:w w:val="89"/>
              </w:rPr>
              <w:t>Schedule A, Section 1.2</w:t>
            </w:r>
          </w:p>
        </w:tc>
      </w:tr>
      <w:tr>
        <w:trPr>
          <w:trHeight w:val="20"/>
        </w:trPr>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Additional Terms</w:t>
      </w:r>
      <w:r>
        <w:rPr>
          <w:rFonts w:ascii="Arial" w:cs="Arial" w:eastAsia="Arial" w:hAnsi="Arial"/>
          <w:sz w:val="18"/>
          <w:szCs w:val="18"/>
          <w:color w:val="auto"/>
        </w:rPr>
        <w:t>. For purposes of this Agreement, the following capitalized terms have the following meanings: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 Notwithstanding the foregoing, the Parties acknowledge and agree that neither ISMMS nor any other MSHS Entity shall be deemed to be an Affiliate of a Group Company for any purpose in this Agreement.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Company Share Amount</w:t>
      </w:r>
      <w:r>
        <w:rPr>
          <w:rFonts w:ascii="Arial" w:cs="Arial" w:eastAsia="Arial" w:hAnsi="Arial"/>
          <w:sz w:val="17"/>
          <w:szCs w:val="17"/>
          <w:color w:val="auto"/>
        </w:rPr>
        <w:t xml:space="preserve">” shall mean the sum, without duplication, of (a) the aggregate number of shares of Company Common Stock that are issued and outstanding immediately prior to the Effective Time, (b) the aggregate number of shares of Company Common Stock that are issuable upon the exercise of Company Options or vesting of Company RSUs or other direct or indirect rights to acquire shares of Company Common Stock that are issued and outstanding immediately prior to the Effective Time (and in the case of Company SARs, the aggregate number of shares of Company Common Stock on which the value of such Company SARs is based), in each case calculated on a treasury stock basis and after giving effect to the conversion of the Class B Common Stock pursuant to the Mandatory Conversion Notice under the Company Organizational Documents, and (c) the aggregate number of shares of Company Common Stock that would be issuable upon the conversion all shares of Company Preferred Stock into shares of Company Common Stock pursuant to the Company Organizational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Earnout RSUs shall be disregarded for the purpose of the Aggregate Company Share Amount.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mean the HSR Act and any federal, state or foreign law, regulation or decree designed to prohibit, restrict or regulate actions for the purpose or effect of monopolization or restraint of trade or the significant impediment of effective competition, including merger control procedures.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Value</w:t>
      </w:r>
      <w:r>
        <w:rPr>
          <w:rFonts w:ascii="Arial" w:cs="Arial" w:eastAsia="Arial" w:hAnsi="Arial"/>
          <w:sz w:val="18"/>
          <w:szCs w:val="18"/>
          <w:color w:val="auto"/>
        </w:rPr>
        <w:t>” shall mean an amount equal to $2,000,000,000.00.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other day on which commercial banks in New York, New York are authorized or required by Legal Requirements to close.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Cap</w:t>
      </w:r>
      <w:r>
        <w:rPr>
          <w:rFonts w:ascii="Arial" w:cs="Arial" w:eastAsia="Arial" w:hAnsi="Arial"/>
          <w:sz w:val="18"/>
          <w:szCs w:val="18"/>
          <w:color w:val="auto"/>
        </w:rPr>
        <w:t xml:space="preserve">” means the amount, if any, specified by such Company Stockholder in its Cash Election as the maximum amount of Closing Available Cash elected by such Company Stockholder;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shall not exceed such Company Stockholder’s Cash Pro Rata Share of $343,000,000.</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Election</w:t>
      </w:r>
      <w:r>
        <w:rPr>
          <w:rFonts w:ascii="Arial" w:cs="Arial" w:eastAsia="Arial" w:hAnsi="Arial"/>
          <w:sz w:val="16"/>
          <w:szCs w:val="16"/>
          <w:color w:val="auto"/>
        </w:rPr>
        <w:t>” shall mean an affirmative election by a Company Stockholder to receive its Cash Pro Rata Share of the Closing Available Cash and, if applicable, Cash Pro Rata Share Excess Amount of the Closing Available Excess Cash, in a form acceptable to the Company, duly executed by the</w:t>
      </w:r>
    </w:p>
    <w:p>
      <w:pPr>
        <w:jc w:val="both"/>
        <w:spacing w:after="0" w:line="221" w:lineRule="auto"/>
        <w:rPr>
          <w:sz w:val="20"/>
          <w:szCs w:val="20"/>
          <w:color w:val="auto"/>
        </w:rPr>
      </w:pPr>
      <w:r>
        <w:rPr>
          <w:rFonts w:ascii="Arial" w:cs="Arial" w:eastAsia="Arial" w:hAnsi="Arial"/>
          <w:sz w:val="18"/>
          <w:szCs w:val="18"/>
          <w:color w:val="auto"/>
        </w:rPr>
        <w:t>Company Stockholder and delivered to the Company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prior to the Effective Time. For clarity, a Company Stockholder’s Cash Election may be set forth in its duly executed Stockholder Consent and Joinder, but may also be in such other form as the Company deems acceptable.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7" w:name="page88"/>
    <w:bookmarkEnd w:id="87"/>
    <w:p>
      <w:pPr>
        <w:jc w:val="both"/>
        <w:ind w:firstLine="648"/>
        <w:spacing w:after="0" w:line="24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Pro Rata Share</w:t>
      </w:r>
      <w:r>
        <w:rPr>
          <w:rFonts w:ascii="Arial" w:cs="Arial" w:eastAsia="Arial" w:hAnsi="Arial"/>
          <w:sz w:val="17"/>
          <w:szCs w:val="17"/>
          <w:color w:val="auto"/>
        </w:rPr>
        <w:t>” shall mean, for each Company Stockholder that has submitted a Cash Election on or before the fifth (5</w:t>
      </w:r>
      <w:r>
        <w:rPr>
          <w:rFonts w:ascii="Arial" w:cs="Arial" w:eastAsia="Arial" w:hAnsi="Arial"/>
          <w:sz w:val="28"/>
          <w:szCs w:val="28"/>
          <w:color w:val="auto"/>
          <w:vertAlign w:val="superscript"/>
        </w:rPr>
        <w:t>th</w:t>
      </w:r>
      <w:r>
        <w:rPr>
          <w:rFonts w:ascii="Arial" w:cs="Arial" w:eastAsia="Arial" w:hAnsi="Arial"/>
          <w:sz w:val="17"/>
          <w:szCs w:val="17"/>
          <w:color w:val="auto"/>
        </w:rPr>
        <w:t>) Business Day prior to the Effective Date, a ratio, (a) the numerator of which is such Company Stockholder’s Total Stockholder Outstanding Shares and (b) the denominator of which is the Total Outstanding Company Shares. The Cash Pro Rata Share of each Company Stockholder that has not submitted a Cash Election and/or has confirmed in writing to the Company that it does not wish to make a Cash Election shall be deemed to be equal to zero (0).</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Pro Rata Share Excess Amount</w:t>
      </w:r>
      <w:r>
        <w:rPr>
          <w:rFonts w:ascii="Arial" w:cs="Arial" w:eastAsia="Arial" w:hAnsi="Arial"/>
          <w:sz w:val="16"/>
          <w:szCs w:val="16"/>
          <w:color w:val="auto"/>
        </w:rPr>
        <w:t>” shall mean, for each Company Stockholder that has submitted a Cash Election to receive a portion of the Closing Available Excess Cash on or before the fifth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prior to the Effective Date, a portion of such Closing Available Excess Cash equal to: (a) such Company’s Stockholder’s Cash Pro Rata Share Excess Percentage of the Closing Available Excess Cash or (b) if such Company Stockholder has specified a Cash Cap, the </w:t>
      </w:r>
      <w:r>
        <w:rPr>
          <w:rFonts w:ascii="Arial" w:cs="Arial" w:eastAsia="Arial" w:hAnsi="Arial"/>
          <w:sz w:val="16"/>
          <w:szCs w:val="16"/>
          <w:u w:val="single" w:color="auto"/>
          <w:color w:val="auto"/>
        </w:rPr>
        <w:t>lesser</w:t>
      </w:r>
      <w:r>
        <w:rPr>
          <w:rFonts w:ascii="Arial" w:cs="Arial" w:eastAsia="Arial" w:hAnsi="Arial"/>
          <w:sz w:val="16"/>
          <w:szCs w:val="16"/>
          <w:color w:val="auto"/>
        </w:rPr>
        <w:t xml:space="preserve"> of such Company’s Stockholder’s (i) Cash Pro Rata Share Excess Percentage of the Closing Available Excess Cash and</w:t>
      </w:r>
    </w:p>
    <w:p>
      <w:pPr>
        <w:spacing w:after="0" w:line="1" w:lineRule="exact"/>
        <w:rPr>
          <w:sz w:val="20"/>
          <w:szCs w:val="20"/>
          <w:color w:val="auto"/>
        </w:rPr>
      </w:pPr>
    </w:p>
    <w:p>
      <w:pPr>
        <w:jc w:val="both"/>
        <w:ind w:firstLine="8"/>
        <w:spacing w:after="0" w:line="253" w:lineRule="auto"/>
        <w:tabs>
          <w:tab w:leader="none" w:pos="26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amount as would result in the Company Stockholder receiving a portion of all Closing Available Cash equal to such Company Stockholder’s Cash Cap. To the extent a Company Stockholder has specified a Cash Cap, the portion of the Closing Available Excess Cash that would otherwise be distributed to such Company Stockholder in the absence of such Cash Cap shall be treated as Closing Available Cash in computing the Cash Pro Rata Share Excess Amounts of Company Stockholders who have not specified a Cash Cap.</w:t>
      </w:r>
    </w:p>
    <w:p>
      <w:pPr>
        <w:spacing w:after="0" w:line="19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Pro Rata Share Excess Percentage</w:t>
      </w:r>
      <w:r>
        <w:rPr>
          <w:rFonts w:ascii="Arial" w:cs="Arial" w:eastAsia="Arial" w:hAnsi="Arial"/>
          <w:sz w:val="16"/>
          <w:szCs w:val="16"/>
          <w:color w:val="auto"/>
        </w:rPr>
        <w:t>” means the quotient, expressed as a percentage, obtained by dividing (a) the Cash Pro Rata Share of such Company Stockholder by (b) the aggregate Cash Pro Rata Shares of all Company Stockholders that have submitted a Cash Election to receive a Cash Pro Rata Share Excess Amount of the Closing Available Excess Cash on or before the 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prior to the Effective Date.</w:t>
      </w:r>
    </w:p>
    <w:p>
      <w:pPr>
        <w:spacing w:after="0" w:line="2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any transaction or series of transactions the result of which is: (a) the acquisition by any Person or “group” (as defined in the Exchange Act) of Persons of direct or indirect beneficial ownership of securities representing 50% or more of the combined voting power of the then outstanding securities of Parent; (b) a merger, consolidation, reorganization or other business combination, however effected, resulting in any Person or “group” (as defined in the Exchange Act) acquiring at least 50% of the combined voting power of the then outstanding securities of Parent or the surviving Person outstanding immediately after such combination; or (c) a sale of all or substantially all of the assets of Parent.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shall mean the shares of Class A Common Stock, par value $0.00001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shall mean the shares of Class B Common Stock, par value $0.00001 per share, of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Available Cash</w:t>
      </w:r>
      <w:r>
        <w:rPr>
          <w:rFonts w:ascii="Arial" w:cs="Arial" w:eastAsia="Arial" w:hAnsi="Arial"/>
          <w:sz w:val="18"/>
          <w:szCs w:val="18"/>
          <w:color w:val="auto"/>
        </w:rPr>
        <w:t xml:space="preserve">” shall mean an amount equal to the excess of (a) the sum of (i) the funds contained in the Trust Account as of the Closing and the Equity Financing Amount received at the Closing, following payment of the Trust Redemption Amount and payment of all Company Transaction Costs and Parent Transaction Costs and (ii) the Company Closing Cash over (b) $500,000,000;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Closing Cash Payment Amount exceed $343,000,000.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Available Excess Cash</w:t>
      </w:r>
      <w:r>
        <w:rPr>
          <w:rFonts w:ascii="Arial" w:cs="Arial" w:eastAsia="Arial" w:hAnsi="Arial"/>
          <w:sz w:val="18"/>
          <w:szCs w:val="18"/>
          <w:color w:val="auto"/>
        </w:rPr>
        <w:t>” means the excess, if any, of (a) the Closing Available Cash over (b) the product of (i) the aggregate Cash Pro Rata Shares of all Company Stockholders that have made a Cash Election multiplied by (ii) the Closing Available Cash.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 Payment Amount</w:t>
      </w:r>
      <w:r>
        <w:rPr>
          <w:rFonts w:ascii="Arial" w:cs="Arial" w:eastAsia="Arial" w:hAnsi="Arial"/>
          <w:sz w:val="18"/>
          <w:szCs w:val="18"/>
          <w:color w:val="auto"/>
        </w:rPr>
        <w:t>” shall mean the aggregate amount of the Closing Available Cash payable to Company Stockholders that have made Cash Elections.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Merger Consideration</w:t>
      </w:r>
      <w:r>
        <w:rPr>
          <w:rFonts w:ascii="Arial" w:cs="Arial" w:eastAsia="Arial" w:hAnsi="Arial"/>
          <w:sz w:val="18"/>
          <w:szCs w:val="18"/>
          <w:color w:val="auto"/>
        </w:rPr>
        <w:t>” shall mean an amount equal to the Base Value.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Number of Securities</w:t>
      </w:r>
      <w:r>
        <w:rPr>
          <w:rFonts w:ascii="Arial" w:cs="Arial" w:eastAsia="Arial" w:hAnsi="Arial"/>
          <w:sz w:val="18"/>
          <w:szCs w:val="18"/>
          <w:color w:val="auto"/>
        </w:rPr>
        <w:t xml:space="preserve">” shall mean the number of shares of Parent Class A Stock equal to the quotient of (a) the Closing Securities 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Parent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Securities Payment Amount</w:t>
      </w:r>
      <w:r>
        <w:rPr>
          <w:rFonts w:ascii="Arial" w:cs="Arial" w:eastAsia="Arial" w:hAnsi="Arial"/>
          <w:sz w:val="16"/>
          <w:szCs w:val="16"/>
          <w:color w:val="auto"/>
        </w:rPr>
        <w:t xml:space="preserve">” shall mean an amount equal to: (a)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Closing Cash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 Price</w:t>
      </w:r>
      <w:r>
        <w:rPr>
          <w:rFonts w:ascii="Arial" w:cs="Arial" w:eastAsia="Arial" w:hAnsi="Arial"/>
          <w:sz w:val="17"/>
          <w:szCs w:val="17"/>
          <w:color w:val="auto"/>
        </w:rPr>
        <w:t>” shall mean the share price equal to the volume weighted average closing sale price of one share of Parent Class A Stock as reported on Nasdaq (or the exchange on which the shares of Parent Class A Stock are then listed) for a period of at least 20 days out of 30 consecutive trading days ending on the trading day immediately prior to the date of determination (as adjusted as appropriate to reflect any stock splits, reverse stock splits, stock dividends (including any dividend or distribution of securities convertible into Parent Class A Stock), extraordinary cash dividend (which adjustment shall be subject to the reasonable mutual agreement of Parent and the Company), reorganization, recapitalization, reclassification, combination, exchange of shares or other like change or transaction with respect to Parent Class A Stock).</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Closing Cash</w:t>
      </w:r>
      <w:r>
        <w:rPr>
          <w:rFonts w:ascii="Arial" w:cs="Arial" w:eastAsia="Arial" w:hAnsi="Arial"/>
          <w:sz w:val="17"/>
          <w:szCs w:val="17"/>
          <w:color w:val="auto"/>
        </w:rPr>
        <w:t>” shall mean the cash and cash equivalents of the Company as of immediately prior to the Closing, determined in accordance with GAAP. The Company Closing Cash shall be decreased by (i) any restricted cash (as determined in accordance with GAAP) and any checks, drafts and wires issued as of such time that have not yet cleared; and increased by any deposits in transit as of such time that have not yet cleared and (ii) any amounts owing by the Company in respect of the Specified Obligations as of the Closing.</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shall mean the Class A Common Stock (after giving effect to the conversion of the Class B Common Stock pursuant to a Mandatory Conversion Notice under the Company Organizational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Incentive Plan</w:t>
      </w:r>
      <w:r>
        <w:rPr>
          <w:rFonts w:ascii="Arial" w:cs="Arial" w:eastAsia="Arial" w:hAnsi="Arial"/>
          <w:sz w:val="18"/>
          <w:szCs w:val="18"/>
          <w:color w:val="auto"/>
        </w:rPr>
        <w:t>” shall mean the Company’s 2017 Stock Incentive Plan, as amended from time to time.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IP Contract</w:t>
      </w:r>
      <w:r>
        <w:rPr>
          <w:rFonts w:ascii="Arial" w:cs="Arial" w:eastAsia="Arial" w:hAnsi="Arial"/>
          <w:sz w:val="17"/>
          <w:szCs w:val="17"/>
          <w:color w:val="auto"/>
        </w:rPr>
        <w:t>” shall mean any Contract to which any Group Company is a party or by which any Group Company is bound or under which any Group Company has any obligation or under which any Group Company has any right or interest that (a) contains any assignment or license to any third party of any material Owned Intellectual Property, or any covenant not to assert or enforce, any material Owned Intellectual Property against any third party, in each case, except non-exclusive licenses or covenants not to assert or enforce any such Intellectual Property granted by any Group Company to any third parties (including customers, suppliers, consultants, and independent contractors) in the ordinary course of business, (b) contains a license to any Group Company under any Licensed Intellectual Property or (c) pursuant to which any material Owned Intellectual Property is or was developed by any third party for any Group Company (in each case excluding (i) non-exclusive licenses to “off the shelf” third party computer software that is licensed on generally available, standard commercial terms and (ii) licenses for open source software).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shall mean all computer systems, software, firmware, hardware, networks, interfaces, platforms, related systems, databases, websites and equipment owned, outsourced or licensed by any Group Company to process, store, maintain, backup or operate data, information and functions that are used in connection with the business of the Group Companies, but excluding, for the avoidance of doubt, any computer systems, software, firmware, hardware, networks, interfaces, platforms, related systems, databases, websites and equipment owned, outsourced or licensed by customers of any Group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shall mean any change, event, or occurrence, that, individually or when aggregated with other changes, events, or occurrences has had a materially adverse effect on the business, assets, financial condition or results of operations of the Group Companies,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change, event, occurrence or effect arising out of or related to any of the following, alone or in combination, shall be taken into account in determining whether a Company Material Adverse Effect has occurred: (i) acts of war, sabotage, civil unrest or terrorism, or any escalation or worsening of any such acts of war, sabotage, civil unrest or terrorism, or changes in global, national, regional, state or local political or social conditions; (ii) earthquakes, hurricanes, tornados, pandemics (including COVID-19), epidemics, disease outbreaks, or public health emergencies (as declared by the World Health Organization or the Health and Human Services Secretary of the United States) or other natural or man-made disasters, or any worsening thereof; (iii) changes attributable to the public announcement or pendency of the Transactions (including the impact thereof on relationships with customers, suppliers, employees or Governmental Entities); (iv) changes or proposed changes in Applicable Legal Requirements, regulations or interpretations thereof or decisions by courts or any Governmental Entity after the date of this Agreement (including Pandemic Measures); (v) changes or proposed changes in GAAP (or any interpretation thereof) after the date of this Agreement; (vi)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(vii) events or conditions generally affecting the industries and markets in which the Company operates; (viii) any failure to meet any projections, forecasts, guidance, estimates, milestones, budgets or financial or operating predictions of revenue, earnings, cash flow or cash 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(viii) shall not prevent a determination that any change, event, or occurrence underlying such failure has resulted in a Company Material Adverse Effect; or (ix) any actions required to be taken, or required not to be taken, pursuant to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change or effect related to clauses (iv) through</w:t>
      </w:r>
    </w:p>
    <w:p>
      <w:pPr>
        <w:spacing w:after="0" w:line="11" w:lineRule="exact"/>
        <w:rPr>
          <w:sz w:val="20"/>
          <w:szCs w:val="20"/>
          <w:color w:val="auto"/>
        </w:rPr>
      </w:pPr>
    </w:p>
    <w:p>
      <w:pPr>
        <w:ind w:firstLine="8"/>
        <w:spacing w:after="0" w:line="323" w:lineRule="auto"/>
        <w:tabs>
          <w:tab w:leader="none" w:pos="36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disproportionately adversely affects the Group Companies, taken as a whole, compared to other Persons operating in the same industry as the Group Companies, then such disproportionate impact may be taken into account in determining whether a Company Material Adverse Effect has occurred.</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shall mean an option to purchase shares of Class A Common Stock or Class B Common Stock granted under the Company Incentive Plan.</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shall mean the Sixth Amended and Restated Certificate of Incorporation of Company, dated as of July 27, 2020 and the Bylaws of Company dated August 2, 2019 and any other similar organization documents of Company, as each may be amended, modified or supplemented.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w:t>
      </w:r>
      <w:r>
        <w:rPr>
          <w:rFonts w:ascii="Arial" w:cs="Arial" w:eastAsia="Arial" w:hAnsi="Arial"/>
          <w:sz w:val="18"/>
          <w:szCs w:val="18"/>
          <w:color w:val="auto"/>
        </w:rPr>
        <w:t>” shall mean a restricted stock unit representing the opportunity to acquire shares of Class B Common Stock granted under the Company Incentive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SAR</w:t>
      </w:r>
      <w:r>
        <w:rPr>
          <w:rFonts w:ascii="Arial" w:cs="Arial" w:eastAsia="Arial" w:hAnsi="Arial"/>
          <w:sz w:val="16"/>
          <w:szCs w:val="16"/>
          <w:color w:val="auto"/>
        </w:rPr>
        <w:t>” shall mean a stock appreciation right with respect to shares of Company Common Stock granted under the Company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w:t>
      </w:r>
      <w:r>
        <w:rPr>
          <w:rFonts w:ascii="Arial" w:cs="Arial" w:eastAsia="Arial" w:hAnsi="Arial"/>
          <w:sz w:val="18"/>
          <w:szCs w:val="18"/>
          <w:color w:val="auto"/>
        </w:rPr>
        <w:t>” shall mean a holder of a share of Company Common Stock and Company Preferred Stock issued and outstanding immediately prior to the Effective Time.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Transaction Costs</w:t>
      </w:r>
      <w:r>
        <w:rPr>
          <w:rFonts w:ascii="Arial" w:cs="Arial" w:eastAsia="Arial" w:hAnsi="Arial"/>
          <w:sz w:val="16"/>
          <w:szCs w:val="16"/>
          <w:color w:val="auto"/>
        </w:rPr>
        <w:t>” shall mean all fees, costs and expenses of the Group Companies, in each case, incurred prior to and through the Closing Date in connection with the negotiation, preparation and execution of this Agreement, the other Transaction Agreements and the consummation of the Transactions, including: (a) all bonuses, change in control payments, retention or similar payments payable as a result of the consummation of the Transactions pursuant to arrangements (whether written or oral) entered into prior to the Closing Date whether payable before (to the extent unpaid), on or following the Closing Date (excluding any “double-trigger” payments), and the employer portion of payroll Taxes payable as a result of the foregoing amounts; (b) all severance payments, retirement payments or similar payments or success fees payable pursuant to arrangements (whether written or oral) entered into prior to the Closing Date and which are payable in connection with the consummation of the Transactions, whether payable before (to the extent unpaid), on or following the Closing Date (excluding any “double-trigger payments”), and the employer portion of payroll Taxes payable as a result of the foregoing amounts; (c) all transaction, deal, brokerage, financial advisory or any similar fees payable in connection with the consummation of the Transactions; and (d) all costs, fees and expenses related to the D&amp;O Tail; but excluding (i) any and all costs, fees and expenses incurred in connection with the preparation and filing of the Proxy Statement (and any registration statement filed with the SEC in connection therewith) and the review and/or approval thereof by the SEC, (ii) any and all costs, fees and expenses incurred in connection with the listing on Nasdaq of the shares of Parent Class A Stock issued in connection with the Transactions, (iii) any transfer, documentary, sales, use, stamp, registration, excise, recording, registration value added and other similar Taxes and fees (including any penalties or interest) payable in connection with the Transactions, and (iv) any other amounts payable by Parent hereunder. For the avoidance of doubt, Company Transaction Costs shall exclude any amounts owing by the Company in respect of any Company SARs that are deemed exercised in connection with the Closing.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Required Funds</w:t>
      </w:r>
      <w:r>
        <w:rPr>
          <w:rFonts w:ascii="Arial" w:cs="Arial" w:eastAsia="Arial" w:hAnsi="Arial"/>
          <w:sz w:val="18"/>
          <w:szCs w:val="18"/>
          <w:color w:val="auto"/>
        </w:rPr>
        <w:t>” shall mean an amount equal to $300,000,000.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that certain Confidentiality Agreement, dated April 9, 2020, by and between the Company and Casdin Capital LLC, as amended and joined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contract, subcontract, agreement, indenture, note, bond, loan or credit agreement, instrument, installment obligation, lease, mortgage, deed of trust, license, sublicense, commitment, power of attorney, guaranty or other legally binding commitment, arrangement, understanding or obligation, whether written or oral, in each case, as amended and supplemented from time to time and including all schedules, annexes and exhibits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the novel coronavirus, SARS-CoV-2 or COVID-19 or any mutation of the same, including any resulting epidemics, pandemics, disease outbreaks or public health emergencies.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Government Contract</w:t>
      </w:r>
      <w:r>
        <w:rPr>
          <w:rFonts w:ascii="Arial" w:cs="Arial" w:eastAsia="Arial" w:hAnsi="Arial"/>
          <w:sz w:val="16"/>
          <w:szCs w:val="16"/>
          <w:color w:val="auto"/>
        </w:rPr>
        <w:t>” shall mean any Government Contract the period of performance of which has not yet expired or been terminated.</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shall mean the time period beginning upon the expiration of the Founder Shares Lock-Up Period (as such term is defined in and pursuant to the terms of that certain Letter Agreement, dated September 1, 2020, entered into by and among Parent, Sponsor and certain of the Parent’s current and former officers and directors) and ending on the 2-year anniversary of the Closing Date.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Pro Rata Share</w:t>
      </w:r>
      <w:r>
        <w:rPr>
          <w:rFonts w:ascii="Arial" w:cs="Arial" w:eastAsia="Arial" w:hAnsi="Arial"/>
          <w:sz w:val="18"/>
          <w:szCs w:val="18"/>
          <w:color w:val="auto"/>
        </w:rPr>
        <w:t xml:space="preserve">” shall mean for each Company Stockholder and Earn-Out Service Provider, such amount determined in accordance with </w:t>
      </w:r>
      <w:r>
        <w:rPr>
          <w:rFonts w:ascii="Arial" w:cs="Arial" w:eastAsia="Arial" w:hAnsi="Arial"/>
          <w:sz w:val="18"/>
          <w:szCs w:val="18"/>
          <w:u w:val="single" w:color="auto"/>
          <w:color w:val="auto"/>
        </w:rPr>
        <w:t>Schedule 2.7</w:t>
      </w:r>
      <w:r>
        <w:rPr>
          <w:rFonts w:ascii="Arial" w:cs="Arial" w:eastAsia="Arial" w:hAnsi="Arial"/>
          <w:sz w:val="18"/>
          <w:szCs w:val="18"/>
          <w:color w:val="auto"/>
        </w:rPr>
        <w:t xml:space="preserve"> of the Company Disclosure Letter.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RSU</w:t>
      </w:r>
      <w:r>
        <w:rPr>
          <w:rFonts w:ascii="Arial" w:cs="Arial" w:eastAsia="Arial" w:hAnsi="Arial"/>
          <w:sz w:val="18"/>
          <w:szCs w:val="18"/>
          <w:color w:val="auto"/>
        </w:rPr>
        <w:t>” shall mean the award of restricted stock units in respect of the Earn-Out Shares granted to the Earn-Out Service Providers pursuant to the Earn-Out Award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“Earn-Out Service Provider</w:t>
      </w:r>
      <w:r>
        <w:rPr>
          <w:rFonts w:ascii="Arial" w:cs="Arial" w:eastAsia="Arial" w:hAnsi="Arial"/>
          <w:sz w:val="18"/>
          <w:szCs w:val="18"/>
          <w:color w:val="auto"/>
        </w:rPr>
        <w:t>” shall mean each (a) holder of a Company Option, Company RSU, Company SAR, other than any holder of a Company Option, Company RSU or Company SAR who is not employed by or providing services to the Company as of the Effective Time, and (b) each other employee or individual service provider of the Company, in each case whom the board of directors of the Company designates as an Earn-Out Service Provider prior to the Closing and who enters into an Earn-Out Award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Earn-Out Total Outstanding Shares</w:t>
      </w:r>
      <w:r>
        <w:rPr>
          <w:rFonts w:ascii="Arial" w:cs="Arial" w:eastAsia="Arial" w:hAnsi="Arial"/>
          <w:sz w:val="17"/>
          <w:szCs w:val="17"/>
          <w:color w:val="auto"/>
        </w:rPr>
        <w:t xml:space="preserve">” means the aggregate number of shares of Parent Class A Stock to which all Company Stockholders would be entitled pursuant to </w:t>
      </w:r>
      <w:r>
        <w:rPr>
          <w:rFonts w:ascii="Arial" w:cs="Arial" w:eastAsia="Arial" w:hAnsi="Arial"/>
          <w:sz w:val="17"/>
          <w:szCs w:val="17"/>
          <w:u w:val="single" w:color="auto"/>
          <w:color w:val="auto"/>
        </w:rPr>
        <w:t>Section 2.7(a)(ii)</w:t>
      </w:r>
      <w:r>
        <w:rPr>
          <w:rFonts w:ascii="Arial" w:cs="Arial" w:eastAsia="Arial" w:hAnsi="Arial"/>
          <w:sz w:val="17"/>
          <w:szCs w:val="17"/>
          <w:color w:val="auto"/>
        </w:rPr>
        <w:t xml:space="preserve"> if no Company Stockholder made a Cash Election and the Closing Cash Payment Amount was $0.00.</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any and all applicable Legal Requirements relating to pollution, Hazardous Materials, or the protection of the environment, natural resources, or human health and safety.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trade or business (whether or not incorporated) that, together with the Company or any of its Subsidiaries is treated as a single employer under Section 414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United States Securities Exchange Act of 1934, as amended, and the rules and regulations promulgated thereunder.</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xml:space="preserve">” shall mean: (a) in the case of the Company, the representations and warranties contained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Qualification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w:t>
      </w:r>
      <w:r>
        <w:rPr>
          <w:rFonts w:ascii="Arial" w:cs="Arial" w:eastAsia="Arial" w:hAnsi="Arial"/>
          <w:sz w:val="17"/>
          <w:szCs w:val="17"/>
          <w:i w:val="1"/>
          <w:iCs w:val="1"/>
          <w:color w:val="auto"/>
        </w:rPr>
        <w:t>Due Authorization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w:t>
      </w:r>
      <w:r>
        <w:rPr>
          <w:rFonts w:ascii="Arial" w:cs="Arial" w:eastAsia="Arial" w:hAnsi="Arial"/>
          <w:sz w:val="17"/>
          <w:szCs w:val="17"/>
          <w:i w:val="1"/>
          <w:iCs w:val="1"/>
          <w:color w:val="auto"/>
        </w:rPr>
        <w:t>Brokers; Third Party Expenses</w:t>
      </w:r>
      <w:r>
        <w:rPr>
          <w:rFonts w:ascii="Arial" w:cs="Arial" w:eastAsia="Arial" w:hAnsi="Arial"/>
          <w:sz w:val="17"/>
          <w:szCs w:val="17"/>
          <w:color w:val="auto"/>
        </w:rPr>
        <w:t xml:space="preserve">); and (b) in the case of Parent, the representations and warranties contained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Qualification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i w:val="1"/>
          <w:iCs w:val="1"/>
          <w:color w:val="auto"/>
        </w:rPr>
        <w:t>Parent 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w:t>
      </w:r>
      <w:r>
        <w:rPr>
          <w:rFonts w:ascii="Arial" w:cs="Arial" w:eastAsia="Arial" w:hAnsi="Arial"/>
          <w:sz w:val="17"/>
          <w:szCs w:val="17"/>
          <w:i w:val="1"/>
          <w:iCs w:val="1"/>
          <w:color w:val="auto"/>
        </w:rPr>
        <w:t>Authority Relative to this Agreement</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Activities</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 consistently applied.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shall mean any prime contract, subcontract, purchase order, task order, delivery order, basic ordering agreement, pricing agreement, letter contract or other similar written arrangement of any kind, including all amendments, modifications and options thereunder or relating thereto between the Company or a Company Subsidiary, on the one hand, and: (a) any Governmental Entity; (b) any prime contractor of a Governmental Entity in its capacity as a prime contractor; or (c) any subcontractor at any tier performing work that is directly charged to any contract of a type described in clauses (a) or (b) above, on the other hand. A purchase, task or delivery order, or any other ordering agreement, under a Government Contract shall not constitute a separate Government Contract, for purposes of this definition, but shall be part of the Government Contract to which it relates.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Companies</w:t>
      </w:r>
      <w:r>
        <w:rPr>
          <w:rFonts w:ascii="Arial" w:cs="Arial" w:eastAsia="Arial" w:hAnsi="Arial"/>
          <w:sz w:val="18"/>
          <w:szCs w:val="18"/>
          <w:color w:val="auto"/>
        </w:rPr>
        <w:t>” shall mean the Company and all of its direct and indirect Subsidiaries.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shall mean any substance, material or waste that is listed, classified, defined, characterized or otherwise regulated by a Governmental Entity as a “toxic substance,” “hazardous substance,” “hazardous material” or words of similar meaning or effect, including any radioactive materials.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mean the United State Health Insurance Portability and Accountability Act of 1996 (42 U.S.C. §§ 1320d through 1329d-8), as amended by the Health Information Technology for Economic and Clinical Health Act (Pub. L. No. 111-5), and all applicable implementing regulations, including its implementing regulations codified at 45 C.F.R. Parts 160, 162, and 164.</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mean any of the following: (a) any indebtedness for borrowed money; (b) any obligations evidenced by bonds, debentures, notes or other similar instruments; (c) any obligations to pay the deferred purchase price of property or services, except trade accounts payable and other current liabilities; (d) any obligations as lessee under capitalized leases; (e) any obligations, contingent or otherwise, under acceptance, letters of credit or similar facilities to the extent drawn; (f) any guaranty of any of the foregoing; (g) any accrued interest, fees and charges in respect of any of the foregoing; and (h) any prepayment premiums and penalties actually due and payable, and any other fees, expenses, indemnities and other amounts actually payable as a result of the prepayment or discharge of any of the foregoing.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all worldwide rights, title and interest in or relating to intellectual property, whether protected, created or arising under the laws of the United States or any other jurisdiction, including: (a) all patents and patent applications, including provisional patent applications and similar filings and any and all substitutions, divisions, continuations, continuations-in-part, divisions, reissues, renewals, extensions, reexaminations, patents of addition, supplementary protection certificates, utility models, inventors’ certificates, or the like and any foreign equivalents of the foregoing (including certificates of invention and any applications therefor)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(b) all trademarks, business marks, service marks, brand names, trade dress rights, logos, corporate names, and trade names, and other source or business identifiers and general intangibles of a like nature, together with the goodwill associated with any of the foregoing, along with all applications, registrations, intent-to-use registrations or similar reservations of marks, renewals and extensions thereof (collectively, “</w:t>
      </w:r>
      <w:r>
        <w:rPr>
          <w:rFonts w:ascii="Arial" w:cs="Arial" w:eastAsia="Arial" w:hAnsi="Arial"/>
          <w:sz w:val="16"/>
          <w:szCs w:val="16"/>
          <w:u w:val="single" w:color="auto"/>
          <w:color w:val="auto"/>
        </w:rPr>
        <w:t>Trademarks</w:t>
      </w:r>
      <w:r>
        <w:rPr>
          <w:rFonts w:ascii="Arial" w:cs="Arial" w:eastAsia="Arial" w:hAnsi="Arial"/>
          <w:sz w:val="16"/>
          <w:szCs w:val="16"/>
          <w:color w:val="auto"/>
        </w:rPr>
        <w:t>”); (c) all registered and unregistered copyrights and applications for registration of copyright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all internet domain names; (e) trade secrets, know-how,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(collectively “</w:t>
      </w:r>
      <w:r>
        <w:rPr>
          <w:rFonts w:ascii="Arial" w:cs="Arial" w:eastAsia="Arial" w:hAnsi="Arial"/>
          <w:sz w:val="16"/>
          <w:szCs w:val="16"/>
          <w:u w:val="single" w:color="auto"/>
          <w:color w:val="auto"/>
        </w:rPr>
        <w:t>Trade Secrets</w:t>
      </w:r>
      <w:r>
        <w:rPr>
          <w:rFonts w:ascii="Arial" w:cs="Arial" w:eastAsia="Arial" w:hAnsi="Arial"/>
          <w:sz w:val="16"/>
          <w:szCs w:val="16"/>
          <w:color w:val="auto"/>
        </w:rPr>
        <w:t>”); (f) databases; and (g) all other intellectual property, intellectual property rights, proprietary information and proprietary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ISMMS</w:t>
      </w:r>
      <w:r>
        <w:rPr>
          <w:rFonts w:ascii="Arial" w:cs="Arial" w:eastAsia="Arial" w:hAnsi="Arial"/>
          <w:sz w:val="17"/>
          <w:szCs w:val="17"/>
          <w:color w:val="auto"/>
        </w:rPr>
        <w:t>” shall mean the Icahn School of Medicine at Mount Sinai, an education corporation formed under the New York Education Law.</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shall mean the actual knowledge or awareness as to a specified fact or event of: (a) with respect to the Company, the individuals listed on </w:t>
      </w:r>
      <w:r>
        <w:rPr>
          <w:rFonts w:ascii="Arial" w:cs="Arial" w:eastAsia="Arial" w:hAnsi="Arial"/>
          <w:sz w:val="18"/>
          <w:szCs w:val="18"/>
          <w:u w:val="single" w:color="auto"/>
          <w:color w:val="auto"/>
        </w:rPr>
        <w:t>Schedule 1.2-A</w:t>
      </w:r>
      <w:r>
        <w:rPr>
          <w:rFonts w:ascii="Arial" w:cs="Arial" w:eastAsia="Arial" w:hAnsi="Arial"/>
          <w:sz w:val="18"/>
          <w:szCs w:val="18"/>
          <w:color w:val="auto"/>
        </w:rPr>
        <w:t xml:space="preserve"> of the Company Disclosure Letter; and (b) with respect to Parent or Merger Sub, the individuals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of the Parent Disclosure Letter.</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Legal Proceeding</w:t>
      </w:r>
      <w:r>
        <w:rPr>
          <w:rFonts w:ascii="Arial" w:cs="Arial" w:eastAsia="Arial" w:hAnsi="Arial"/>
          <w:sz w:val="17"/>
          <w:szCs w:val="17"/>
          <w:color w:val="auto"/>
        </w:rPr>
        <w:t>” shall mean any action, suit, hearing, claim, charge, audit, lawsuit, litigation, investigation (formal or informal), inquiry, arbitration or proceeding (in each case, whether civil, criminal or administrative or at law or in equity) by or before a Governmental Entity.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Requirements</w:t>
      </w:r>
      <w:r>
        <w:rPr>
          <w:rFonts w:ascii="Arial" w:cs="Arial" w:eastAsia="Arial" w:hAnsi="Arial"/>
          <w:sz w:val="18"/>
          <w:szCs w:val="18"/>
          <w:color w:val="auto"/>
        </w:rPr>
        <w:t>” shall mean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shall mean all Intellectual Property exclusively licensed to any of the Group Companies.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encumbrance, lien, restriction or charge of any kind (including, any conditional sale or other title retention agreement or lease in the nature thereof, any agreement to give any security interest and any restriction relating to use, quiet enjoyment, voting, transfer, receipt of income or exercise of any other attribute of ownership).</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mean any and all deficiencies, judgments, settlements, losses, damages, interest, fines, penalties, Taxes, costs and expenses (including reasonable legal, accounting and other costs and expenses of professionals incurred in connection with investigating, defending, settling or satisfying any and all demands, claims, actions, causes of action, suits, proceedings, assessments, judgments or appeals, and in seeking indemnification, compensation or reimbursement therefor).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MSHS Entity</w:t>
      </w:r>
      <w:r>
        <w:rPr>
          <w:rFonts w:ascii="Arial" w:cs="Arial" w:eastAsia="Arial" w:hAnsi="Arial"/>
          <w:sz w:val="18"/>
          <w:szCs w:val="18"/>
          <w:color w:val="auto"/>
        </w:rPr>
        <w:t>” shall mean any New York not-for-profit corporation or limited liability company of which Mount Sinai Health System is, directly or indirectly, the sole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Treasury Department Office of Foreign Assets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Exchange Ratio</w:t>
      </w:r>
      <w:r>
        <w:rPr>
          <w:rFonts w:ascii="Arial" w:cs="Arial" w:eastAsia="Arial" w:hAnsi="Arial"/>
          <w:sz w:val="18"/>
          <w:szCs w:val="18"/>
          <w:color w:val="auto"/>
        </w:rPr>
        <w:t>” shall mean:</w:t>
      </w:r>
    </w:p>
    <w:p>
      <w:pPr>
        <w:spacing w:after="0" w:line="225" w:lineRule="exact"/>
        <w:rPr>
          <w:sz w:val="20"/>
          <w:szCs w:val="20"/>
          <w:color w:val="auto"/>
        </w:rPr>
      </w:pPr>
    </w:p>
    <w:p>
      <w:pPr>
        <w:ind w:left="1300" w:hanging="320"/>
        <w:spacing w:after="0" w:line="277"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case of a Company Option to purchase Class A Common Stock, the quotient, rounded to the nearest one ten-thousandth, of (i) the Per Share Amount divided by (ii) the Parent Stock Price; and</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In the case of a Company Option to purchase Class B Common Stock, the quotient, rounded to the nearest one ten-thousandth, of (i) the quotient obtained by dividing (A) the Per Share Amount by (B) one hundred (100) (which, for clarity, is intended to account for the conversion of Class B Common Stock into Class A Common Stock contemplated by </w:t>
      </w:r>
      <w:r>
        <w:rPr>
          <w:rFonts w:ascii="Arial" w:cs="Arial" w:eastAsia="Arial" w:hAnsi="Arial"/>
          <w:sz w:val="18"/>
          <w:szCs w:val="18"/>
          <w:u w:val="single" w:color="auto"/>
          <w:color w:val="auto"/>
        </w:rPr>
        <w:t>Section 2.7(a)</w:t>
      </w:r>
      <w:r>
        <w:rPr>
          <w:rFonts w:ascii="Arial" w:cs="Arial" w:eastAsia="Arial" w:hAnsi="Arial"/>
          <w:sz w:val="18"/>
          <w:szCs w:val="18"/>
          <w:color w:val="auto"/>
        </w:rPr>
        <w:t>) divided by (ii) the Parent Stock Price.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shall mean any award, injunction, judgment, regulatory or supervisory mandate, order, writ, decree or ruling entered, issued, made, or rendered by any Governmental Entity that possesses competent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Owned Intellectual Property</w:t>
      </w:r>
      <w:r>
        <w:rPr>
          <w:rFonts w:ascii="Arial" w:cs="Arial" w:eastAsia="Arial" w:hAnsi="Arial"/>
          <w:sz w:val="17"/>
          <w:szCs w:val="17"/>
          <w:color w:val="auto"/>
        </w:rPr>
        <w:t>” shall mean all Intellectual Property which any of the Group Companies has (or purports to have) an ownership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Pandemic Measures</w:t>
      </w:r>
      <w:r>
        <w:rPr>
          <w:rFonts w:ascii="Arial" w:cs="Arial" w:eastAsia="Arial" w:hAnsi="Arial"/>
          <w:sz w:val="18"/>
          <w:szCs w:val="18"/>
          <w:color w:val="auto"/>
        </w:rPr>
        <w:t>” shall mean any quarantine, isolation, “shelter in place,” “stay at home,” workforce reduction, social distancing, shut down, closure, sequester or any other Legal Requirement, decree, judgment, injunction or other order, directive, guidelines or recommendations by any Governmental Entity or industry group in connection with or in response to COVID-19, including, the Coronavirus Aid, Relief, and Economic Security Act (CARES), or any other pandemic, epidemic, public health emergency or disease outbreak.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Cash</w:t>
      </w:r>
      <w:r>
        <w:rPr>
          <w:rFonts w:ascii="Arial" w:cs="Arial" w:eastAsia="Arial" w:hAnsi="Arial"/>
          <w:sz w:val="17"/>
          <w:szCs w:val="17"/>
          <w:color w:val="auto"/>
        </w:rPr>
        <w:t xml:space="preserve">” shall mean, as of the date of determination: (a) all amounts in the Trust Account;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Equity Financing Amount.</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Material Adverse Effect</w:t>
      </w:r>
      <w:r>
        <w:rPr>
          <w:rFonts w:ascii="Arial" w:cs="Arial" w:eastAsia="Arial" w:hAnsi="Arial"/>
          <w:sz w:val="17"/>
          <w:szCs w:val="17"/>
          <w:color w:val="auto"/>
        </w:rPr>
        <w:t xml:space="preserve">” shall mean any change, event, or occurrence, that, individually or when aggregated with other changes, events, or occurrences has had a materially adverse effect on the business, assets, financial condition or results of operations of Parent and Merger Sub,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change or effect related to any of the following, alone or in combination, shall be taken into account in determining whether a Parent Material Adverse Effect has occurred: (i) changes or proposed changes in Applicable Legal Requirements, regulations or interpretations thereof or decisions by courts or any Governmental Entity after the date of this Agreement; (ii) changes or proposed changes in GAAP (or any interpretation thereof) after the date of this Agreement; or (iii)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shall mean the Second Amended and Restated Certificate of Incorporation of Parent, dated as of September 1, 2020 (the “</w:t>
      </w:r>
      <w:r>
        <w:rPr>
          <w:rFonts w:ascii="Arial" w:cs="Arial" w:eastAsia="Arial" w:hAnsi="Arial"/>
          <w:sz w:val="18"/>
          <w:szCs w:val="18"/>
          <w:u w:val="single" w:color="auto"/>
          <w:color w:val="auto"/>
        </w:rPr>
        <w:t>Parent Charter</w:t>
      </w:r>
      <w:r>
        <w:rPr>
          <w:rFonts w:ascii="Arial" w:cs="Arial" w:eastAsia="Arial" w:hAnsi="Arial"/>
          <w:sz w:val="18"/>
          <w:szCs w:val="18"/>
          <w:color w:val="auto"/>
        </w:rPr>
        <w:t>”) and the Bylaws of Parent (the “</w:t>
      </w:r>
      <w:r>
        <w:rPr>
          <w:rFonts w:ascii="Arial" w:cs="Arial" w:eastAsia="Arial" w:hAnsi="Arial"/>
          <w:sz w:val="18"/>
          <w:szCs w:val="18"/>
          <w:u w:val="single" w:color="auto"/>
          <w:color w:val="auto"/>
        </w:rPr>
        <w:t>Parent Bylaws</w:t>
      </w:r>
      <w:r>
        <w:rPr>
          <w:rFonts w:ascii="Arial" w:cs="Arial" w:eastAsia="Arial" w:hAnsi="Arial"/>
          <w:sz w:val="18"/>
          <w:szCs w:val="18"/>
          <w:color w:val="auto"/>
        </w:rPr>
        <w:t>”) any other similar organization documents of Parent, as each may be amended, modified or supplemented.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 Price</w:t>
      </w:r>
      <w:r>
        <w:rPr>
          <w:rFonts w:ascii="Arial" w:cs="Arial" w:eastAsia="Arial" w:hAnsi="Arial"/>
          <w:sz w:val="18"/>
          <w:szCs w:val="18"/>
          <w:color w:val="auto"/>
        </w:rPr>
        <w:t>” shall mean $10.00.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Transaction Costs</w:t>
      </w:r>
      <w:r>
        <w:rPr>
          <w:rFonts w:ascii="Arial" w:cs="Arial" w:eastAsia="Arial" w:hAnsi="Arial"/>
          <w:sz w:val="18"/>
          <w:szCs w:val="18"/>
          <w:color w:val="auto"/>
        </w:rPr>
        <w:t>” shall mean: (a) all fees, costs and expenses of Parent incurred prior to and through the Closing Date in connection with the negotiation, preparation and execution of this Agreement, the other Transaction Agreements and the consummation of the Transactions, whether paid or unpaid prior to the Closing, including any and all professional or transaction related costs, fees and expenses of legal, accounting and financial advisors, consultants, auditors, accountants and brokers, including any deferred underwriting commissions being held in the Trust Account; and (b) any Indebtedness of Parent or its Subsidiaries owed to its Affiliates or stockholders.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Units</w:t>
      </w:r>
      <w:r>
        <w:rPr>
          <w:rFonts w:ascii="Arial" w:cs="Arial" w:eastAsia="Arial" w:hAnsi="Arial"/>
          <w:sz w:val="16"/>
          <w:szCs w:val="16"/>
          <w:color w:val="auto"/>
        </w:rPr>
        <w:t>” shall mean equity securities of Parent each consisting of one share of Parent Class A Stock and one-third of one Public Warrant.</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w:t>
      </w:r>
      <w:r>
        <w:rPr>
          <w:rFonts w:ascii="Arial" w:cs="Arial" w:eastAsia="Arial" w:hAnsi="Arial"/>
          <w:sz w:val="17"/>
          <w:szCs w:val="17"/>
          <w:color w:val="auto"/>
        </w:rPr>
        <w:t>” shall mean: (a) Liens for current period Taxes not yet delinquent or for Taxes that are being contested in good faith by appropriate proceedings and in each case that are sufficiently reserved for on the Financial Statements in accordance with GAAP; (b) statutory and contractual Liens of landlords with respect to leased real property; (c) Liens of carriers, warehousemen, mechanics, materialmen and repairmen incurred in the ordinary course and: (i) not yet delinquent; or (ii) that are being contested in good faith through appropriate proceedings; (d) in the case of leased real property, zoning, building, or other restrictions, variances, covenants, rights of way, encumbrances, easements and other irregularities in title, none of which, individually or in the aggregate, interfere in any material respect with the present use of or occupancy of the affected parcel by any of the Group Companies; (e) Liens securing the Indebtedness of any of the Group Companies; (f) in the case of Intellectual Property, non-exclusive licenses granted to third parties in the ordinary course; (g) Liens incurred in connection with capital lease obligations of any of the Group Companies; and (h) all exceptions, restrictions, easements, imperfections of title (including gaps in the chain of title evident from the records of the relevant Governmental Entity maintaining such records), charges, rights-of-way and other Liens of record that do not materially interfere with the present use of the assets of the Group Companies, taken as a whole.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Amount</w:t>
      </w:r>
      <w:r>
        <w:rPr>
          <w:rFonts w:ascii="Arial" w:cs="Arial" w:eastAsia="Arial" w:hAnsi="Arial"/>
          <w:sz w:val="18"/>
          <w:szCs w:val="18"/>
          <w:color w:val="auto"/>
        </w:rPr>
        <w:t>” shall mean the quotient, rounded to the nearest one-tenth of a cent, obtained by dividing (a) the Base Value by (b) the Aggregate Company Share Amount.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shall mean, in addition to any definition for any similar term (e.g., “personally identifiable information” or “PII”) provided by Applicable Legal Requirement, all information that identifies, could be used to identify or is otherwise associated with an individual person or device, whether or not such information is associated with an identifiable individual. Personal Information may relate to any individual, including a current, prospective, or former customer, end user or employee of any Person.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shall mean any and all Applicable Legal Requirements (including of any applicable foreign jurisdiction) relating to the receipt, collection, compilation, use, storage, transmission, transfer (including cross-border transfers), processing, privacy, sharing, safeguarding, security (both technical and physical), disposal, destruction, disclosure or transfer (including cross-border) of Personal Information, including, but not limited to, HIPAA, and the California Consumer Privacy Act (CCPA), and any and all Applicable Legal Requirements relating to breach notification in connection with Personal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shall mean, with respect to a Person, such Person’s former, current and future direct or indirect equityholders, controlling Persons, shareholders, optionholders, members, general or limited partners, Affiliates, Representatives, and each of their respective Affiliates, successors and assigns.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shall mean restricted cash as determined in accordance with GAAP.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RSU Exchange Ratio</w:t>
      </w:r>
      <w:r>
        <w:rPr>
          <w:rFonts w:ascii="Arial" w:cs="Arial" w:eastAsia="Arial" w:hAnsi="Arial"/>
          <w:sz w:val="18"/>
          <w:szCs w:val="18"/>
          <w:color w:val="auto"/>
        </w:rPr>
        <w:t>” shall mean the quotient, rounded to the nearest one ten-thousandth, of (i) the Per Share Amount divided by (ii) the Parent Stock Price;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Exchange Ratio</w:t>
      </w:r>
      <w:r>
        <w:rPr>
          <w:rFonts w:ascii="Arial" w:cs="Arial" w:eastAsia="Arial" w:hAnsi="Arial"/>
          <w:sz w:val="18"/>
          <w:szCs w:val="18"/>
          <w:color w:val="auto"/>
        </w:rPr>
        <w:t>” shall mean the quotient, rounded to the nearest one ten-thousandth, of (i) the Per Share Amount divided by (ii) the Parent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shall mean the United States Securities Act of 1933, as amended, and the rules and regulations promulgated thereunder.</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Business Conduct Laws</w:t>
      </w:r>
      <w:r>
        <w:rPr>
          <w:rFonts w:ascii="Arial" w:cs="Arial" w:eastAsia="Arial" w:hAnsi="Arial"/>
          <w:sz w:val="17"/>
          <w:szCs w:val="17"/>
          <w:color w:val="auto"/>
        </w:rPr>
        <w:t>” shall mean: (a) the U.S. Foreign Corrupt Practices Act of 1977, the UK Bribery Act, and other Applicable Legal Requirements relating to bribery or corruption; (b) all Legal Requirements imposing trade sanctions on any Person, including, all Legal Requirements administered by OFAC, all sanctions laws or embargos imposed or administered by the U.S. Department of State, the United Nations Security Council, Her Majesty’s Treasury or the European Union and all anti-boycott or anti-embargo laws; (c) all Legal Requirements relating to the import, export, re-export, transfer of information, data, goods, and technology, including the Export Administration Regulations (“</w:t>
      </w:r>
      <w:r>
        <w:rPr>
          <w:rFonts w:ascii="Arial" w:cs="Arial" w:eastAsia="Arial" w:hAnsi="Arial"/>
          <w:sz w:val="17"/>
          <w:szCs w:val="17"/>
          <w:u w:val="single" w:color="auto"/>
          <w:color w:val="auto"/>
        </w:rPr>
        <w:t>EAR</w:t>
      </w:r>
      <w:r>
        <w:rPr>
          <w:rFonts w:ascii="Arial" w:cs="Arial" w:eastAsia="Arial" w:hAnsi="Arial"/>
          <w:sz w:val="17"/>
          <w:szCs w:val="17"/>
          <w:color w:val="auto"/>
        </w:rPr>
        <w:t>”) administered by the U.S. Department of Commerce and the International Traffic in Arms Regulations administered by the U.S. Department of State; and (d) the Money Laundering Control Act, the Currency and Foreign Transactions Reporting Act, The Uniting and Strengthening America by Providing Appropriate Tools Required to Intercept and Obstruct Terrorism Act of 2001, and other Applicable Legal Requirements relating to money laundering.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shall mean CMLS Holdings LLC, a Delaware limited liability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Support Agreement</w:t>
      </w:r>
      <w:r>
        <w:rPr>
          <w:rFonts w:ascii="Arial" w:cs="Arial" w:eastAsia="Arial" w:hAnsi="Arial"/>
          <w:sz w:val="18"/>
          <w:szCs w:val="18"/>
          <w:color w:val="auto"/>
        </w:rPr>
        <w:t>” shall mean that certain Support Agreement, dated as of the date hereof, by and among the Sponsor, Parent and the Company, as amended or modified from time to time.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shall mean: (a) any and all federal, state, local and foreign taxes, including, without limitation, gross receipts, income, profits, license, sales, use, estimated, occupation, value added, ad valorem, transfer, franchise, withholding, payroll, recapture, net worth, employment, escheat and unclaimed property obligations, excise and property taxes, assessments, stamp, environmental, registration, governmental charges, duties, levies and other similar charges, in each case, imposed by a Governmental Entity, (whether disputed or not) together with all interest, penalties and additions imposed by a Governmental Entity with respect to any such amounts; and (b) any liability in respect of any items described in clause (a) payable by reason of Contract transferee liability, operation of law or Treasury Regulation Section 1.1502-6(a) (or any predecessor or successor thereof of any analogous or similar provision under law) or otherwise.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mean any return, declaration, report, claim for refund, or information return or statement relating to Taxes that is filed or required to be filed with a Governmental Entity, including any schedule or attachment thereto and any amendment thereof.</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 Company Shares</w:t>
      </w:r>
      <w:r>
        <w:rPr>
          <w:rFonts w:ascii="Arial" w:cs="Arial" w:eastAsia="Arial" w:hAnsi="Arial"/>
          <w:sz w:val="18"/>
          <w:szCs w:val="18"/>
          <w:color w:val="auto"/>
        </w:rPr>
        <w:t>” shall mean the sum, without duplication, of (a) the aggregate number of shares of Company Common Stock that are issued and outstanding immediately prior to the Effective Time and (b) the aggregate number of shares of Company Common Stock that would be issuable upon the conversion all shares of Company Preferred Stock that are issued and outstanding immediately prior to the Effective Time into shares of Company Common Stock pursuant to the Company Organizational Documents.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Stockholder Outstanding Shares</w:t>
      </w:r>
      <w:r>
        <w:rPr>
          <w:rFonts w:ascii="Arial" w:cs="Arial" w:eastAsia="Arial" w:hAnsi="Arial"/>
          <w:sz w:val="17"/>
          <w:szCs w:val="17"/>
          <w:color w:val="auto"/>
        </w:rPr>
        <w:t xml:space="preserve">” shall mean, with respect to a Company Stockholder, the sum of (a) the aggregate number of shares of Company Common Stock held by such Company Stockholder immediately prior to the Effective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aggregate number of shares of Company Common Stock that would be issuable upon the conversion all shares of Company Preferred Stock held by such Company Stockholder immediately prior to the Effective Time into shares of Company Common Stock pursuant to the Company Organizational Documents.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shall mean this Agreement, the A&amp;R Registration Rights Agreement, the Equity Financing Agreements, the Confidentiality Agreement, the Parent A&amp;R Charter, the Sponsor Support Agreement and all the agreements documents, instruments and certificates entered into in connection herewith or therewith and any and all exhibits and schedules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mean the transactions contemplated pursuant to this Agreement, including the Merger.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regulations promulgated by the U.S. Department of the Treasury pursuant to and in respect of provisions of the Code.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w:t>
      </w:r>
      <w:r>
        <w:rPr>
          <w:rFonts w:ascii="Arial" w:cs="Arial" w:eastAsia="Arial" w:hAnsi="Arial"/>
          <w:sz w:val="18"/>
          <w:szCs w:val="18"/>
          <w:color w:val="auto"/>
        </w:rPr>
        <w:t>” shall occur if, within the Earn-Out Period, the Common Share Price of Parent Class A Stock is greater than or equal to $13.00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w:t>
      </w:r>
      <w:r>
        <w:rPr>
          <w:rFonts w:ascii="Arial" w:cs="Arial" w:eastAsia="Arial" w:hAnsi="Arial"/>
          <w:sz w:val="18"/>
          <w:szCs w:val="18"/>
          <w:color w:val="auto"/>
        </w:rPr>
        <w:t>” shall occur if, within the Earn-Out Period, the Common Share Price of Parent Class A Stock is greater than or equal to $15.00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III</w:t>
      </w:r>
      <w:r>
        <w:rPr>
          <w:rFonts w:ascii="Arial" w:cs="Arial" w:eastAsia="Arial" w:hAnsi="Arial"/>
          <w:sz w:val="18"/>
          <w:szCs w:val="18"/>
          <w:color w:val="auto"/>
        </w:rPr>
        <w:t>” shall occur if, within the Earn-Out Period, the Common Share Price of Parent Class A Stock is greater than or equal to $18.00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Events</w:t>
      </w:r>
      <w:r>
        <w:rPr>
          <w:rFonts w:ascii="Arial" w:cs="Arial" w:eastAsia="Arial" w:hAnsi="Arial"/>
          <w:sz w:val="18"/>
          <w:szCs w:val="18"/>
          <w:color w:val="auto"/>
        </w:rPr>
        <w:t>” shall mean Triggering Event I, Triggering Event II and Triggering Event III, collectively.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Redemption Amount</w:t>
      </w:r>
      <w:r>
        <w:rPr>
          <w:rFonts w:ascii="Arial" w:cs="Arial" w:eastAsia="Arial" w:hAnsi="Arial"/>
          <w:sz w:val="18"/>
          <w:szCs w:val="18"/>
          <w:color w:val="auto"/>
        </w:rPr>
        <w:t>” shall mean all amounts payable from the Trust Account as of the Closing, including all amounts payable: (a) to stockholders who elect to have their Parent Class A Stock converted to cash in accordance with the provisions of Parent’s Charter Documents in respect of Parent Stockholder Redemptions; (b) for income tax or other tax obligations of Parent prior to Closing; and (c) as repayment of loans and reimbursement of expenses to directors, officers and stockholders of Parent (for clarity, excluding, any amounts payable in respect of Parent Transaction Costs or Company Transaction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Parent Amended and Restated Charter</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Parent Amended and Restated Bylaws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LTIP</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Employee Stock Purchase Plan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Amended and Restated Registration Rights Agreement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on February 9, 2021, by and between CM Life 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the subscriber party set forth on the signature page hereto (“</w:t>
      </w:r>
      <w:r>
        <w:rPr>
          <w:rFonts w:ascii="Arial" w:cs="Arial" w:eastAsia="Arial" w:hAnsi="Arial"/>
          <w:sz w:val="18"/>
          <w:szCs w:val="18"/>
          <w:u w:val="single" w:color="auto"/>
          <w:color w:val="auto"/>
        </w:rPr>
        <w:t>Subscriber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WHEREAS, the Issuer is concurrently with the execution and delivery hereof entering into that certain Agreement and Plan of Merger (as amended or modified,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capitalized terms used herein without definition shall have the meanings ascribed thereto in the Business Combination Agreement), by and among the Issuer, S-IV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and Mount Sinai Genomics, Inc. (d/b/a Sema4) (together with its direct and indirect subsidiaries, “</w:t>
      </w:r>
      <w:r>
        <w:rPr>
          <w:rFonts w:ascii="Arial" w:cs="Arial" w:eastAsia="Arial" w:hAnsi="Arial"/>
          <w:sz w:val="17"/>
          <w:szCs w:val="17"/>
          <w:u w:val="single" w:color="auto"/>
          <w:color w:val="auto"/>
        </w:rPr>
        <w:t>Target</w:t>
      </w:r>
      <w:r>
        <w:rPr>
          <w:rFonts w:ascii="Arial" w:cs="Arial" w:eastAsia="Arial" w:hAnsi="Arial"/>
          <w:sz w:val="17"/>
          <w:szCs w:val="17"/>
          <w:color w:val="auto"/>
        </w:rPr>
        <w:t>”), in substantially the same form provided to Subscriber prior to the date hereof, pursuant to which, among other transactions, Merger Sub is to merge with and into Target, with Target continuing on as the surviving entity and a wholly owned subsidiary of Issuer, on the terms and conditions set forth therein (the “</w:t>
      </w:r>
      <w:r>
        <w:rPr>
          <w:rFonts w:ascii="Arial" w:cs="Arial" w:eastAsia="Arial" w:hAnsi="Arial"/>
          <w:sz w:val="17"/>
          <w:szCs w:val="17"/>
          <w:u w:val="single" w:color="auto"/>
          <w:color w:val="auto"/>
        </w:rPr>
        <w:t>Transactions</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in connection with the Transactions, Subscriber desires to subscribe for and purchase from the Issuer that number of shares of the Issuer’s Class A common stock, par value $0.0001 per share (the “</w:t>
      </w:r>
      <w:r>
        <w:rPr>
          <w:rFonts w:ascii="Arial" w:cs="Arial" w:eastAsia="Arial" w:hAnsi="Arial"/>
          <w:sz w:val="18"/>
          <w:szCs w:val="18"/>
          <w:u w:val="single" w:color="auto"/>
          <w:color w:val="auto"/>
        </w:rPr>
        <w:t>Class A Shares</w:t>
      </w:r>
      <w:r>
        <w:rPr>
          <w:rFonts w:ascii="Arial" w:cs="Arial" w:eastAsia="Arial" w:hAnsi="Arial"/>
          <w:sz w:val="18"/>
          <w:szCs w:val="18"/>
          <w:color w:val="auto"/>
        </w:rPr>
        <w:t>”), as set forth on the signature page hereto (the “</w:t>
      </w:r>
      <w:r>
        <w:rPr>
          <w:rFonts w:ascii="Arial" w:cs="Arial" w:eastAsia="Arial" w:hAnsi="Arial"/>
          <w:sz w:val="18"/>
          <w:szCs w:val="18"/>
          <w:u w:val="single" w:color="auto"/>
          <w:color w:val="auto"/>
        </w:rPr>
        <w:t>Acquired Shares</w:t>
      </w:r>
      <w:r>
        <w:rPr>
          <w:rFonts w:ascii="Arial" w:cs="Arial" w:eastAsia="Arial" w:hAnsi="Arial"/>
          <w:sz w:val="18"/>
          <w:szCs w:val="18"/>
          <w:color w:val="auto"/>
        </w:rPr>
        <w:t>”), for a purchase price of $10.00 per share (the “</w:t>
      </w:r>
      <w:r>
        <w:rPr>
          <w:rFonts w:ascii="Arial" w:cs="Arial" w:eastAsia="Arial" w:hAnsi="Arial"/>
          <w:sz w:val="18"/>
          <w:szCs w:val="18"/>
          <w:u w:val="single" w:color="auto"/>
          <w:color w:val="auto"/>
        </w:rPr>
        <w:t>Per Share Price</w:t>
      </w:r>
      <w:r>
        <w:rPr>
          <w:rFonts w:ascii="Arial" w:cs="Arial" w:eastAsia="Arial" w:hAnsi="Arial"/>
          <w:sz w:val="18"/>
          <w:szCs w:val="18"/>
          <w:color w:val="auto"/>
        </w:rPr>
        <w:t>”) and an aggregate purchase price set forth on the signature page hereto (the “</w:t>
      </w:r>
      <w:r>
        <w:rPr>
          <w:rFonts w:ascii="Arial" w:cs="Arial" w:eastAsia="Arial" w:hAnsi="Arial"/>
          <w:sz w:val="18"/>
          <w:szCs w:val="18"/>
          <w:u w:val="single" w:color="auto"/>
          <w:color w:val="auto"/>
        </w:rPr>
        <w:t>Purchase Price</w:t>
      </w:r>
      <w:r>
        <w:rPr>
          <w:rFonts w:ascii="Arial" w:cs="Arial" w:eastAsia="Arial" w:hAnsi="Arial"/>
          <w:sz w:val="18"/>
          <w:szCs w:val="18"/>
          <w:color w:val="auto"/>
        </w:rPr>
        <w:t>”), and the Issuer desires to issue and sell to Subscriber the Acquired Shares in consideration of the payment of the Purchase Price by or on behalf of Subscriber to the Issuer on or prior to the Closing (as defined below);</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Issuer and Subscriber are executing and delivering this Subscription Agreement in reliance upon the exemption from securities registration afforded by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Arial" w:cs="Arial" w:eastAsia="Arial" w:hAnsi="Arial"/>
          <w:sz w:val="17"/>
          <w:szCs w:val="17"/>
          <w:u w:val="single" w:color="auto"/>
          <w:color w:val="auto"/>
        </w:rPr>
        <w:t>Other Subscriber</w:t>
      </w:r>
      <w:r>
        <w:rPr>
          <w:rFonts w:ascii="Arial" w:cs="Arial" w:eastAsia="Arial" w:hAnsi="Arial"/>
          <w:sz w:val="17"/>
          <w:szCs w:val="17"/>
          <w:color w:val="auto"/>
        </w:rPr>
        <w:t>”), have (severally and not jointly) entered into separate subscription agreements with the Issuer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pursuant to which such investors have agreed to purchase Class A Shares on the Closing Date (as defined below) at the Per Share Price (the “</w:t>
      </w:r>
      <w:r>
        <w:rPr>
          <w:rFonts w:ascii="Arial" w:cs="Arial" w:eastAsia="Arial" w:hAnsi="Arial"/>
          <w:sz w:val="17"/>
          <w:szCs w:val="17"/>
          <w:u w:val="single" w:color="auto"/>
          <w:color w:val="auto"/>
        </w:rPr>
        <w:t>Other Acquired Shares</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aggregate amount of Class A Shares to be sold by Issuer pursuant to this Subscription Agreement and the Other Subscription Agreements equals 35 million Class A Shares;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aggregate amount of proceeds to the Issuer in connection with the purchase and sale of the Acquired Shares and the Other Acquired Shares equals $350 million.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70" w:lineRule="exact"/>
        <w:rPr>
          <w:sz w:val="20"/>
          <w:szCs w:val="20"/>
          <w:color w:val="auto"/>
        </w:rPr>
      </w:pPr>
    </w:p>
    <w:p>
      <w:pPr>
        <w:ind w:firstLine="656"/>
        <w:spacing w:after="0" w:line="342" w:lineRule="auto"/>
        <w:tabs>
          <w:tab w:leader="none" w:pos="828"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Arial" w:cs="Arial" w:eastAsia="Arial" w:hAnsi="Arial"/>
          <w:sz w:val="16"/>
          <w:szCs w:val="16"/>
          <w:u w:val="single" w:color="auto"/>
          <w:color w:val="auto"/>
        </w:rPr>
        <w:t>Subscription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840" w:hanging="184"/>
        <w:spacing w:after="0"/>
        <w:tabs>
          <w:tab w:leader="none" w:pos="84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42" w:val="left"/>
        </w:tabs>
        <w:numPr>
          <w:ilvl w:val="2"/>
          <w:numId w:val="110"/>
        </w:numPr>
        <w:rPr>
          <w:rFonts w:ascii="Arial" w:cs="Arial" w:eastAsia="Arial" w:hAnsi="Arial"/>
          <w:sz w:val="16"/>
          <w:szCs w:val="16"/>
          <w:color w:val="auto"/>
        </w:rPr>
      </w:pPr>
      <w:r>
        <w:rPr>
          <w:rFonts w:ascii="Arial" w:cs="Arial" w:eastAsia="Arial" w:hAnsi="Arial"/>
          <w:sz w:val="16"/>
          <w:szCs w:val="16"/>
          <w:color w:val="auto"/>
        </w:rPr>
        <w:t>The closing of the Subscription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is contingent upon the substantially concurrent consummation of the Transactions and shall occur immediately prior thereto. Not less than five (5) business days prior to the scheduled closing date of the Transactions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Issuer shall provide written notice to Subscriber (the “</w:t>
      </w:r>
      <w:r>
        <w:rPr>
          <w:rFonts w:ascii="Arial" w:cs="Arial" w:eastAsia="Arial" w:hAnsi="Arial"/>
          <w:sz w:val="16"/>
          <w:szCs w:val="16"/>
          <w:u w:val="single" w:color="auto"/>
          <w:color w:val="auto"/>
        </w:rPr>
        <w:t>Closing Notice</w:t>
      </w:r>
      <w:r>
        <w:rPr>
          <w:rFonts w:ascii="Arial" w:cs="Arial" w:eastAsia="Arial" w:hAnsi="Arial"/>
          <w:sz w:val="16"/>
          <w:szCs w:val="16"/>
          <w:color w:val="auto"/>
        </w:rPr>
        <w:t>”) of such Closing Date. Subscriber shall deliver to the Issuer no later than one (1) business day before the Closing Date (as specified in the Closing Notice or such other date as otherwise agreed to by the Issuer and the Subscriber, the “</w:t>
      </w:r>
      <w:r>
        <w:rPr>
          <w:rFonts w:ascii="Arial" w:cs="Arial" w:eastAsia="Arial" w:hAnsi="Arial"/>
          <w:sz w:val="16"/>
          <w:szCs w:val="16"/>
          <w:u w:val="single" w:color="auto"/>
          <w:color w:val="auto"/>
        </w:rPr>
        <w:t>Purchase Price Payment Date</w:t>
      </w:r>
      <w:r>
        <w:rPr>
          <w:rFonts w:ascii="Arial" w:cs="Arial" w:eastAsia="Arial" w:hAnsi="Arial"/>
          <w:sz w:val="16"/>
          <w:szCs w:val="16"/>
          <w:color w:val="auto"/>
        </w:rPr>
        <w:t>”) the Purchase Price for the Acquired Shares by wire transfer of U.S. dollars in immediately available funds</w:t>
      </w:r>
    </w:p>
    <w:p>
      <w:pPr>
        <w:spacing w:after="0" w:line="1" w:lineRule="exact"/>
        <w:rPr>
          <w:rFonts w:ascii="Arial" w:cs="Arial" w:eastAsia="Arial" w:hAnsi="Arial"/>
          <w:sz w:val="16"/>
          <w:szCs w:val="16"/>
          <w:color w:val="auto"/>
        </w:rPr>
      </w:pPr>
    </w:p>
    <w:p>
      <w:pPr>
        <w:jc w:val="both"/>
        <w:ind w:firstLine="8"/>
        <w:spacing w:after="0" w:line="266" w:lineRule="auto"/>
        <w:tabs>
          <w:tab w:leader="none" w:pos="21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the account specified by the Issuer in the Closing Notice, to be held in a third-party escrow account (the “</w:t>
      </w:r>
      <w:r>
        <w:rPr>
          <w:rFonts w:ascii="Arial" w:cs="Arial" w:eastAsia="Arial" w:hAnsi="Arial"/>
          <w:sz w:val="17"/>
          <w:szCs w:val="17"/>
          <w:u w:val="single" w:color="auto"/>
          <w:color w:val="auto"/>
        </w:rPr>
        <w:t>Escrow Account</w:t>
      </w:r>
      <w:r>
        <w:rPr>
          <w:rFonts w:ascii="Arial" w:cs="Arial" w:eastAsia="Arial" w:hAnsi="Arial"/>
          <w:sz w:val="17"/>
          <w:szCs w:val="17"/>
          <w:color w:val="auto"/>
        </w:rPr>
        <w:t>”) designated by the Issuer prior to the Closing Date for the benefit of the Subscriber until the Closing Date or (ii) in the case of a Subscriber that is an “investment company” registered under the Investment Company Act of 1940, as amended, to an account specified by the Issuer otherwise mutually agreed by the Subscriber and the Issuer (“</w:t>
      </w:r>
      <w:r>
        <w:rPr>
          <w:rFonts w:ascii="Arial" w:cs="Arial" w:eastAsia="Arial" w:hAnsi="Arial"/>
          <w:sz w:val="17"/>
          <w:szCs w:val="17"/>
          <w:u w:val="single" w:color="auto"/>
          <w:color w:val="auto"/>
        </w:rPr>
        <w:t>Alternative Settlement Procedures</w:t>
      </w:r>
      <w:r>
        <w:rPr>
          <w:rFonts w:ascii="Arial" w:cs="Arial" w:eastAsia="Arial" w:hAnsi="Arial"/>
          <w:sz w:val="17"/>
          <w:szCs w:val="17"/>
          <w:color w:val="auto"/>
        </w:rPr>
        <w:t>”). For the avoidance of doubt, mutually agreeable Alternative Settlement Procedures shall include, without limitation, the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the Subscriber in writing in advance of the Closing, in certificated form, duly executed on behalf of the Issuer and countersigned by the Issuer’s transfer agent (the “</w:t>
      </w:r>
      <w:r>
        <w:rPr>
          <w:rFonts w:ascii="Arial" w:cs="Arial" w:eastAsia="Arial" w:hAnsi="Arial"/>
          <w:sz w:val="17"/>
          <w:szCs w:val="17"/>
          <w:u w:val="single" w:color="auto"/>
          <w:color w:val="auto"/>
        </w:rPr>
        <w:t>Transfer Agent</w:t>
      </w:r>
      <w:r>
        <w:rPr>
          <w:rFonts w:ascii="Arial" w:cs="Arial" w:eastAsia="Arial" w:hAnsi="Arial"/>
          <w:sz w:val="17"/>
          <w:szCs w:val="17"/>
          <w:color w:val="auto"/>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Arial" w:cs="Arial" w:eastAsia="Arial" w:hAnsi="Arial"/>
          <w:sz w:val="17"/>
          <w:szCs w:val="17"/>
          <w:u w:val="single" w:color="auto"/>
          <w:color w:val="auto"/>
        </w:rPr>
        <w:t>Subscriber’s Deliveries</w:t>
      </w:r>
      <w:r>
        <w:rPr>
          <w:rFonts w:ascii="Arial" w:cs="Arial" w:eastAsia="Arial" w:hAnsi="Arial"/>
          <w:sz w:val="17"/>
          <w:szCs w:val="17"/>
          <w:color w:val="auto"/>
        </w:rPr>
        <w:t>”). Unless otherwise provided pursuant to Alternative Settlement Procedures, upon the transfer of the Subscriber’s Deliveries by the Issuer to the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the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share certificates shall be deemed cancelled.</w:t>
      </w:r>
    </w:p>
    <w:p>
      <w:pPr>
        <w:spacing w:after="0" w:line="189" w:lineRule="exact"/>
        <w:rPr>
          <w:rFonts w:ascii="Arial" w:cs="Arial" w:eastAsia="Arial" w:hAnsi="Arial"/>
          <w:sz w:val="17"/>
          <w:szCs w:val="17"/>
          <w:color w:val="auto"/>
        </w:rPr>
      </w:pPr>
    </w:p>
    <w:p>
      <w:pPr>
        <w:ind w:left="1580" w:hanging="276"/>
        <w:spacing w:after="0"/>
        <w:tabs>
          <w:tab w:leader="none" w:pos="1580" w:val="left"/>
        </w:tabs>
        <w:numPr>
          <w:ilvl w:val="2"/>
          <w:numId w:val="111"/>
        </w:numPr>
        <w:rPr>
          <w:rFonts w:ascii="Arial" w:cs="Arial" w:eastAsia="Arial" w:hAnsi="Arial"/>
          <w:sz w:val="16"/>
          <w:szCs w:val="16"/>
          <w:color w:val="auto"/>
        </w:rPr>
      </w:pPr>
      <w:r>
        <w:rPr>
          <w:rFonts w:ascii="Arial" w:cs="Arial" w:eastAsia="Arial" w:hAnsi="Arial"/>
          <w:sz w:val="16"/>
          <w:szCs w:val="16"/>
          <w:color w:val="auto"/>
        </w:rPr>
        <w:t>The Closing shall be subject to the satisfaction, or valid waiver by each of the parties hereto, of the conditions that, on the Closing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jc w:val="both"/>
        <w:ind w:firstLine="1952"/>
        <w:spacing w:after="0" w:line="271" w:lineRule="auto"/>
        <w:tabs>
          <w:tab w:leader="none" w:pos="2173" w:val="left"/>
        </w:tabs>
        <w:numPr>
          <w:ilvl w:val="3"/>
          <w:numId w:val="111"/>
        </w:numPr>
        <w:rPr>
          <w:rFonts w:ascii="Arial" w:cs="Arial" w:eastAsia="Arial" w:hAnsi="Arial"/>
          <w:sz w:val="17"/>
          <w:szCs w:val="17"/>
          <w:color w:val="auto"/>
        </w:rPr>
      </w:pPr>
      <w:r>
        <w:rPr>
          <w:rFonts w:ascii="Arial" w:cs="Arial" w:eastAsia="Arial" w:hAnsi="Arial"/>
          <w:sz w:val="17"/>
          <w:szCs w:val="17"/>
          <w:color w:val="auto"/>
        </w:rPr>
        <w:t xml:space="preserve">solely with respect to Subscriber, the representations and warranties made by the Issuer (other than the representations and warranties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(as defined below), which shall be true and correct in all respects as of the Closing Date), after giving effect to the consummation of the Transactions, and the representations and warranties made by the Issuer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shall be true and correct in all respects as of the Closing Date (other than those representations and warranties expressly made as of an earlier date, which shall be true and correct in all respects as of such date), in each case without giving effect to the consummation of the Transactions;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firstLine="1952"/>
        <w:spacing w:after="0" w:line="257" w:lineRule="auto"/>
        <w:tabs>
          <w:tab w:leader="none" w:pos="221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solely with respect to the Issuer, the representations and warranties made by the Subscriber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spacing w:after="0" w:line="187" w:lineRule="exact"/>
        <w:rPr>
          <w:rFonts w:ascii="Arial" w:cs="Arial" w:eastAsia="Arial" w:hAnsi="Arial"/>
          <w:sz w:val="18"/>
          <w:szCs w:val="18"/>
          <w:color w:val="auto"/>
        </w:rPr>
      </w:pPr>
    </w:p>
    <w:p>
      <w:pPr>
        <w:ind w:left="2280" w:hanging="328"/>
        <w:spacing w:after="0"/>
        <w:tabs>
          <w:tab w:leader="none" w:pos="22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solely with respect to the Issuer, Subscriber shall have delivered the Purchase Price in compliance with the terms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Subscription Agreement;</w:t>
      </w:r>
    </w:p>
    <w:p>
      <w:pPr>
        <w:spacing w:after="0" w:line="210" w:lineRule="exact"/>
        <w:rPr>
          <w:rFonts w:ascii="Arial" w:cs="Arial" w:eastAsia="Arial" w:hAnsi="Arial"/>
          <w:sz w:val="16"/>
          <w:szCs w:val="16"/>
          <w:color w:val="auto"/>
        </w:rPr>
      </w:pPr>
    </w:p>
    <w:p>
      <w:pPr>
        <w:jc w:val="both"/>
        <w:ind w:firstLine="1952"/>
        <w:spacing w:after="0" w:line="286" w:lineRule="auto"/>
        <w:tabs>
          <w:tab w:leader="none" w:pos="2261" w:val="left"/>
        </w:tabs>
        <w:numPr>
          <w:ilvl w:val="1"/>
          <w:numId w:val="112"/>
        </w:numPr>
        <w:rPr>
          <w:rFonts w:ascii="Arial" w:cs="Arial" w:eastAsia="Arial" w:hAnsi="Arial"/>
          <w:sz w:val="17"/>
          <w:szCs w:val="17"/>
          <w:color w:val="auto"/>
        </w:rPr>
      </w:pPr>
      <w:r>
        <w:rPr>
          <w:rFonts w:ascii="Arial" w:cs="Arial" w:eastAsia="Arial" w:hAnsi="Arial"/>
          <w:sz w:val="17"/>
          <w:szCs w:val="17"/>
          <w:color w:val="auto"/>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spacing w:after="0" w:line="165" w:lineRule="exact"/>
        <w:rPr>
          <w:rFonts w:ascii="Arial" w:cs="Arial" w:eastAsia="Arial" w:hAnsi="Arial"/>
          <w:sz w:val="17"/>
          <w:szCs w:val="17"/>
          <w:color w:val="auto"/>
        </w:rPr>
      </w:pPr>
    </w:p>
    <w:p>
      <w:pPr>
        <w:jc w:val="both"/>
        <w:ind w:firstLine="1952"/>
        <w:spacing w:after="0" w:line="263" w:lineRule="auto"/>
        <w:tabs>
          <w:tab w:leader="none" w:pos="22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 suspension of the qualification of the Class A Shares for offering or sale or trading in any applicable jurisdiction, no suspension or removal from listing of the Acquired Shares on The Nasdaq Capital Market (“</w:t>
      </w:r>
      <w:r>
        <w:rPr>
          <w:rFonts w:ascii="Arial" w:cs="Arial" w:eastAsia="Arial" w:hAnsi="Arial"/>
          <w:sz w:val="18"/>
          <w:szCs w:val="18"/>
          <w:u w:val="single" w:color="auto"/>
          <w:color w:val="auto"/>
        </w:rPr>
        <w:t>Nasdaq</w:t>
      </w:r>
      <w:r>
        <w:rPr>
          <w:rFonts w:ascii="Arial" w:cs="Arial" w:eastAsia="Arial" w:hAnsi="Arial"/>
          <w:sz w:val="18"/>
          <w:szCs w:val="18"/>
          <w:color w:val="auto"/>
        </w:rPr>
        <w:t>”) and no initiation or threatening of any proceedings for any of such purposes or delisting, shall have occurred;</w:t>
      </w:r>
    </w:p>
    <w:p>
      <w:pPr>
        <w:spacing w:after="0" w:line="183" w:lineRule="exact"/>
        <w:rPr>
          <w:rFonts w:ascii="Arial" w:cs="Arial" w:eastAsia="Arial" w:hAnsi="Arial"/>
          <w:sz w:val="18"/>
          <w:szCs w:val="18"/>
          <w:color w:val="auto"/>
        </w:rPr>
      </w:pPr>
    </w:p>
    <w:p>
      <w:pPr>
        <w:ind w:left="2280" w:hanging="328"/>
        <w:spacing w:after="0"/>
        <w:tabs>
          <w:tab w:leader="none" w:pos="22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Issuer’s stockholders shall have approved the issuance of the Acquired Shares and Other Acquired Shares as and if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by Nasdaq rules;</w:t>
      </w:r>
    </w:p>
    <w:p>
      <w:pPr>
        <w:spacing w:after="0" w:line="210" w:lineRule="exact"/>
        <w:rPr>
          <w:rFonts w:ascii="Arial" w:cs="Arial" w:eastAsia="Arial" w:hAnsi="Arial"/>
          <w:sz w:val="16"/>
          <w:szCs w:val="16"/>
          <w:color w:val="auto"/>
        </w:rPr>
      </w:pPr>
    </w:p>
    <w:p>
      <w:pPr>
        <w:ind w:right="20" w:firstLine="1952"/>
        <w:spacing w:after="0" w:line="277" w:lineRule="auto"/>
        <w:tabs>
          <w:tab w:leader="none" w:pos="230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solely with respect to Subscriber, the Issuer shall have filed with Nasdaq a true and complete Notification Form: Listing of Additional Shares covering the Acquired Shares and Other Acquired Shares;</w:t>
      </w:r>
    </w:p>
    <w:p>
      <w:pPr>
        <w:spacing w:after="0" w:line="170" w:lineRule="exact"/>
        <w:rPr>
          <w:rFonts w:ascii="Arial" w:cs="Arial" w:eastAsia="Arial" w:hAnsi="Arial"/>
          <w:sz w:val="18"/>
          <w:szCs w:val="18"/>
          <w:color w:val="auto"/>
        </w:rPr>
      </w:pPr>
    </w:p>
    <w:p>
      <w:pPr>
        <w:jc w:val="both"/>
        <w:ind w:firstLine="1952"/>
        <w:spacing w:after="0" w:line="301" w:lineRule="auto"/>
        <w:tabs>
          <w:tab w:leader="none" w:pos="2366"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conditions precedent to the closing of the Transactions set forth in the Business Combination Agreement, shall have been satisfied or waived (as determined by the Business Combination Agreement and related documentation)(other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 and</w:t>
      </w:r>
    </w:p>
    <w:p>
      <w:pPr>
        <w:spacing w:after="0" w:line="157" w:lineRule="exact"/>
        <w:rPr>
          <w:rFonts w:ascii="Arial" w:cs="Arial" w:eastAsia="Arial" w:hAnsi="Arial"/>
          <w:sz w:val="16"/>
          <w:szCs w:val="16"/>
          <w:color w:val="auto"/>
        </w:rPr>
      </w:pPr>
    </w:p>
    <w:p>
      <w:pPr>
        <w:ind w:right="20" w:firstLine="1952"/>
        <w:spacing w:after="0" w:line="342" w:lineRule="auto"/>
        <w:tabs>
          <w:tab w:leader="none" w:pos="2252" w:val="left"/>
        </w:tabs>
        <w:numPr>
          <w:ilvl w:val="1"/>
          <w:numId w:val="112"/>
        </w:numPr>
        <w:rPr>
          <w:rFonts w:ascii="Arial" w:cs="Arial" w:eastAsia="Arial" w:hAnsi="Arial"/>
          <w:sz w:val="16"/>
          <w:szCs w:val="16"/>
          <w:color w:val="auto"/>
        </w:rPr>
      </w:pPr>
      <w:r>
        <w:rPr>
          <w:rFonts w:ascii="Arial" w:cs="Arial" w:eastAsia="Arial" w:hAnsi="Arial"/>
          <w:sz w:val="16"/>
          <w:szCs w:val="16"/>
          <w:color w:val="auto"/>
        </w:rPr>
        <w:t>solely with respect to the Subscriber, there shall have been no amendment, waiver or modification to the Other Subscription Agreements that materially benefits any Other Subscriber thereunder unless the Subscriber has been offered substantially the same benefits.</w:t>
      </w:r>
    </w:p>
    <w:p>
      <w:pPr>
        <w:spacing w:after="0" w:line="123" w:lineRule="exact"/>
        <w:rPr>
          <w:rFonts w:ascii="Arial" w:cs="Arial" w:eastAsia="Arial" w:hAnsi="Arial"/>
          <w:sz w:val="16"/>
          <w:szCs w:val="16"/>
          <w:color w:val="auto"/>
        </w:rPr>
      </w:pPr>
    </w:p>
    <w:p>
      <w:pPr>
        <w:ind w:right="20" w:firstLine="1304"/>
        <w:spacing w:after="0" w:line="277" w:lineRule="auto"/>
        <w:tabs>
          <w:tab w:leader="none" w:pos="15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In addition to the conditions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the obligation of Subscriber to consummate the Closing shall be subject to the satisfaction or valid waiver by Subscriber of the additional conditions that, on the Closing Date:</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Issuer shall have performed, satisfied and complied in all material respects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ind w:firstLine="1952"/>
        <w:spacing w:after="0" w:line="277" w:lineRule="auto"/>
        <w:tabs>
          <w:tab w:leader="none" w:pos="2229" w:val="left"/>
        </w:tabs>
        <w:numPr>
          <w:ilvl w:val="2"/>
          <w:numId w:val="114"/>
        </w:numPr>
        <w:rPr>
          <w:rFonts w:ascii="Arial" w:cs="Arial" w:eastAsia="Arial" w:hAnsi="Arial"/>
          <w:sz w:val="18"/>
          <w:szCs w:val="18"/>
          <w:color w:val="auto"/>
        </w:rPr>
      </w:pPr>
      <w:r>
        <w:rPr>
          <w:rFonts w:ascii="Arial" w:cs="Arial" w:eastAsia="Arial" w:hAnsi="Arial"/>
          <w:sz w:val="18"/>
          <w:szCs w:val="18"/>
          <w:color w:val="auto"/>
        </w:rPr>
        <w:t>since the date of this Subscription Agreement and as of the Closing Date, there has been no Company Material Adverse Effect (as such term is defined in the Business Combination Agreement)</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30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except to the extent consented to in writing by Subscriber, the Business Combination Agreement (as filed with the Commission on or immediately following the date hereof) shall not have been amended, modified, supplemented or waived in a manner that would reasonably be expected to materially and adversely affect the economic benefits that Subscriber would reasonably expect to receive under this Subscription Agreement; and</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9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Issuer Representations and Warranties</w:t>
      </w:r>
      <w:r>
        <w:rPr>
          <w:rFonts w:ascii="Arial" w:cs="Arial" w:eastAsia="Arial" w:hAnsi="Arial"/>
          <w:sz w:val="18"/>
          <w:szCs w:val="18"/>
          <w:color w:val="auto"/>
        </w:rPr>
        <w:t>. The Issuer represents and warrants to the Subscriber that: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7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 other restrictions except as otherwise stated herein and will not have been issued in violation of or subject to any preemptive or similar rights created under the Issuer’s certificate of incorporation and bylaws (each, as amended concurrently with the Closing) or under the laws of the State of Delaware or otherwise.</w:t>
      </w:r>
    </w:p>
    <w:p>
      <w:pPr>
        <w:spacing w:after="0" w:line="187" w:lineRule="exact"/>
        <w:rPr>
          <w:rFonts w:ascii="Arial" w:cs="Arial" w:eastAsia="Arial" w:hAnsi="Arial"/>
          <w:sz w:val="18"/>
          <w:szCs w:val="18"/>
          <w:color w:val="auto"/>
        </w:rPr>
      </w:pPr>
    </w:p>
    <w:p>
      <w:pPr>
        <w:jc w:val="both"/>
        <w:ind w:firstLine="1304"/>
        <w:spacing w:after="0" w:line="275" w:lineRule="auto"/>
        <w:tabs>
          <w:tab w:leader="none" w:pos="158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This Subscription Agreement, the Business Combination Agreement and the Other Subscription Agreements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76" w:lineRule="exact"/>
        <w:rPr>
          <w:rFonts w:ascii="Arial" w:cs="Arial" w:eastAsia="Arial" w:hAnsi="Arial"/>
          <w:sz w:val="17"/>
          <w:szCs w:val="17"/>
          <w:color w:val="auto"/>
        </w:rPr>
      </w:pPr>
    </w:p>
    <w:p>
      <w:pPr>
        <w:jc w:val="both"/>
        <w:ind w:firstLine="1304"/>
        <w:spacing w:after="0" w:line="286" w:lineRule="auto"/>
        <w:tabs>
          <w:tab w:leader="none" w:pos="1591"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is a party or by which the Issuer is bound or to which any of the property or assets of the Issuer is subject; (ii) the organizational documents of the Issuer; or (iii) any statute or any judgment, order, rule or regulation of any court or governmental agency, taxing authority or regulatory body, domestic or foreign, having jurisdiction over the Issuer or any of its properties, that, in the case of clause (i) or (iii), would reasonably be expected to have a Material Adverse Effect. For purposes of this Subscription Agreement, a “Material Adverse Effect” means an event, change, development, occurrence, condition or effect with respect to the Issuer and its subsidiaries, taken together as a whole (on a consolidated basis), that, individually or in the aggregate, would reasonably be expected to have a material adverse effect on the business, properties, financial condition, stockholders’ equity or results of operations of the Issuer or Target or their respective subsidiaries individually or taken as a whole and including the combined company after giving effect to the Transactions, or materially affects the Issuer’s ability to consummate the (i) transactions contemplated hereby, including the issuance and sale of the Acquired Shares or (ii) the Transactions.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1304"/>
        <w:spacing w:after="0" w:line="301" w:lineRule="auto"/>
        <w:tabs>
          <w:tab w:leader="none" w:pos="154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There are no securities or instruments issued by or to which the Issuer is a party containing anti-dilution or similar provisions that will be triggered by the issuance of (i) the Acquired Shares, (ii) the shares to be issued pursuant to any Other Subscription Agreement or (iii) the shares to be issued pursuant to the Transactions, in each case, that have not been or will not be validly waived on or prior to the Closing Date, including such provisions in the Issuer’s Class B common stock, par value $0.0001 per share (the “</w:t>
      </w:r>
      <w:r>
        <w:rPr>
          <w:rFonts w:ascii="Arial" w:cs="Arial" w:eastAsia="Arial" w:hAnsi="Arial"/>
          <w:sz w:val="16"/>
          <w:szCs w:val="16"/>
          <w:u w:val="single" w:color="auto"/>
          <w:color w:val="auto"/>
        </w:rPr>
        <w:t>Class B Shares</w:t>
      </w:r>
      <w:r>
        <w:rPr>
          <w:rFonts w:ascii="Arial" w:cs="Arial" w:eastAsia="Arial" w:hAnsi="Arial"/>
          <w:sz w:val="16"/>
          <w:szCs w:val="16"/>
          <w:color w:val="auto"/>
        </w:rPr>
        <w:t>”), pursuant to the terms of the Issuer’s certificate of incorporation.</w:t>
      </w:r>
    </w:p>
    <w:p>
      <w:pPr>
        <w:spacing w:after="0" w:line="157" w:lineRule="exact"/>
        <w:rPr>
          <w:rFonts w:ascii="Arial" w:cs="Arial" w:eastAsia="Arial" w:hAnsi="Arial"/>
          <w:sz w:val="16"/>
          <w:szCs w:val="16"/>
          <w:color w:val="auto"/>
        </w:rPr>
      </w:pPr>
    </w:p>
    <w:p>
      <w:pPr>
        <w:jc w:val="both"/>
        <w:ind w:firstLine="1304"/>
        <w:spacing w:after="0" w:line="285" w:lineRule="auto"/>
        <w:tabs>
          <w:tab w:leader="none" w:pos="152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Issuer is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is a party or by which the Issuer’s properties or assets are bound or (iii) any statute or any judgment, order, rule or regulation of any court or governmental agency, taxing authority or regulatory body, domestic or foreign, having jurisdiction over the Issuer or any of its properties, except, in the case of clauses</w:t>
      </w:r>
    </w:p>
    <w:p>
      <w:pPr>
        <w:spacing w:after="0" w:line="1" w:lineRule="exact"/>
        <w:rPr>
          <w:rFonts w:ascii="Arial" w:cs="Arial" w:eastAsia="Arial" w:hAnsi="Arial"/>
          <w:sz w:val="16"/>
          <w:szCs w:val="16"/>
          <w:color w:val="auto"/>
        </w:rPr>
      </w:pPr>
    </w:p>
    <w:p>
      <w:pPr>
        <w:ind w:right="20" w:firstLine="8"/>
        <w:spacing w:after="0" w:line="260" w:lineRule="auto"/>
        <w:tabs>
          <w:tab w:leader="none" w:pos="26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and (iii), for defaults or violations that have not had and would not reasonably be expected to have, individually or in the aggregate, a Material Adverse Effect.</w:t>
      </w:r>
    </w:p>
    <w:p>
      <w:pPr>
        <w:spacing w:after="0" w:line="185" w:lineRule="exact"/>
        <w:rPr>
          <w:rFonts w:ascii="Arial" w:cs="Arial" w:eastAsia="Arial" w:hAnsi="Arial"/>
          <w:sz w:val="18"/>
          <w:szCs w:val="18"/>
          <w:color w:val="auto"/>
        </w:rPr>
      </w:pPr>
    </w:p>
    <w:p>
      <w:pPr>
        <w:jc w:val="both"/>
        <w:ind w:firstLine="1304"/>
        <w:spacing w:after="0" w:line="270" w:lineRule="auto"/>
        <w:tabs>
          <w:tab w:leader="none" w:pos="158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the Registration Statement (as defined below), (ii) filings required by applicable state securities laws, (iii) the filing of notification under the Hart-Scott-Rodino Antitrust Improvements Act of 1976, if applicable; (iv) those required by Nasdaq, including with respect to obtaining approval of the Issuer’s stockholders; (v) those that will be obtained on or prior to the Closing, (vi) any filing, the failure of which to obtain would not reasonably be expected to have, individually or in the aggregate, a Material Adverse Effect; (vii) as set forth in the Business Combination Agreement; and (viii) the filing of a Notice of Exempt Offering of Securities on Form D with the Commission under Regulation D of the Securities Act.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firstLine="1304"/>
        <w:spacing w:after="0" w:line="286" w:lineRule="auto"/>
        <w:tabs>
          <w:tab w:leader="none" w:pos="156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As of the date of this Subscription Agreement and as of immediately prior to the Closing Date, the authorized capital stock of the Issuer consists of (i)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400,000,000 shares of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including (1) 380,000,000 Class A Shares and (2) 20,000,000 Class B Shares. As of the date of this Subscription Agreement, (i) no shares of Preferred Stock are issued and outstanding, (ii) 44,275,000 Class A Shares are issued and outstanding, (iii) 11,068,750 Class B Shares are issued and outstanding and (iv) 14,758,333 redeemable warrants and 7,236,667 private placement warrants are outstanding. All (i) issued and outstanding Class A Shares and Class B Shares have been duly authorized and validly issued, are fully paid and are non-assessable and are not subject to and were not issued in violation of any preemptive rights and (ii) outstanding warrants have been duly authorized and validly issued, are fully paid and are not subject to and were not issued in violation of any preemptive rights. Except as set forth above and pursuant to the Other Subscription Agreements and the Business Combination Agreement, there are no outstanding options, warrants or other rights to subscribe for, purchase or acquire from the Issuer any shares of Common Stock or other equity interests in the Issuer, or securities convertible into or exchangeable or exercisable for such equity interests. As of the date hereof, other than Merger Sub,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(i) as set forth in the SEC Reports and (ii) as contemplated by the Business Combination Agreement. Except as disclosed in the SEC Reports, as of the date hereof, the Issuer had no outstanding indebtedness and will not have any outstanding long-term indebtedness as of the Closing Date.</w:t>
      </w:r>
    </w:p>
    <w:p>
      <w:pPr>
        <w:spacing w:after="0" w:line="167" w:lineRule="exact"/>
        <w:rPr>
          <w:rFonts w:ascii="Arial" w:cs="Arial" w:eastAsia="Arial" w:hAnsi="Arial"/>
          <w:sz w:val="16"/>
          <w:szCs w:val="16"/>
          <w:color w:val="auto"/>
        </w:rPr>
      </w:pPr>
    </w:p>
    <w:p>
      <w:pPr>
        <w:jc w:val="both"/>
        <w:ind w:firstLine="1304"/>
        <w:spacing w:after="0" w:line="263" w:lineRule="auto"/>
        <w:tabs>
          <w:tab w:leader="none" w:pos="151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Issuer is in compliance with all applicable laws and has not received any written communication from a governmental entity that alleges that the Issuer is not in compliance with or is in default or violation of any applicable law, except where such non-compliance, default or violation would not, individually or in the aggregate, be reasonably likely to be material.</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issued and outstanding Class A Shares are registered pursuant to Section 12(b)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are listed for trading on Nasdaq under the symbol “CMLF” (it being understood that the trading symbol will be changed in connection with the Transaction).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continued listing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spacing w:after="0" w:line="191" w:lineRule="exact"/>
        <w:rPr>
          <w:rFonts w:ascii="Arial" w:cs="Arial" w:eastAsia="Arial" w:hAnsi="Arial"/>
          <w:sz w:val="18"/>
          <w:szCs w:val="18"/>
          <w:color w:val="auto"/>
        </w:rPr>
      </w:pPr>
    </w:p>
    <w:p>
      <w:pPr>
        <w:jc w:val="both"/>
        <w:ind w:firstLine="1304"/>
        <w:spacing w:after="0" w:line="273" w:lineRule="auto"/>
        <w:tabs>
          <w:tab w:leader="none" w:pos="155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Assuming the accuracy of Subscriber’s representations and warranties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firstLine="1304"/>
        <w:spacing w:after="0" w:line="267" w:lineRule="auto"/>
        <w:tabs>
          <w:tab w:leader="none" w:pos="155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Each report, statement and form (including exhibits and other information incorporated therein) filed by the Issuer with the Commission under Sections 13(a), 14(a) or 15(d) of the Exchange Act or filed pursuant to the Securities Act since its initial registration of the Class A Shares (the “</w:t>
      </w:r>
      <w:r>
        <w:rPr>
          <w:rFonts w:ascii="Arial" w:cs="Arial" w:eastAsia="Arial" w:hAnsi="Arial"/>
          <w:sz w:val="17"/>
          <w:szCs w:val="17"/>
          <w:u w:val="single" w:color="auto"/>
          <w:color w:val="auto"/>
        </w:rPr>
        <w:t>SEC Reports</w:t>
      </w:r>
      <w:r>
        <w:rPr>
          <w:rFonts w:ascii="Arial" w:cs="Arial" w:eastAsia="Arial" w:hAnsi="Arial"/>
          <w:sz w:val="17"/>
          <w:szCs w:val="17"/>
          <w:color w:val="auto"/>
        </w:rPr>
        <w:t>”) when filed complied in all material respects with the requirements of the Securities Act and the Exchange Act and the rules and 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the proxy statement to be filed by the Issuer with respect to the Transactions included in any SEC Report or filed as an exhibit thereto, the representation and warranty in this sentence is made to the Issuer’s knowledge. The Issuer has timely filed each SEC Report that the Issuer was required to file with the Commission since its inception.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its initial registration of the Class A Shares with the Commission.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as at the respective dates thereof and for the respective periods indicated therein.</w:t>
      </w:r>
    </w:p>
    <w:p>
      <w:pPr>
        <w:spacing w:after="0" w:line="189" w:lineRule="exact"/>
        <w:rPr>
          <w:rFonts w:ascii="Arial" w:cs="Arial" w:eastAsia="Arial" w:hAnsi="Arial"/>
          <w:sz w:val="17"/>
          <w:szCs w:val="17"/>
          <w:color w:val="auto"/>
        </w:rPr>
      </w:pPr>
    </w:p>
    <w:p>
      <w:pPr>
        <w:jc w:val="both"/>
        <w:ind w:firstLine="1304"/>
        <w:spacing w:after="0" w:line="259" w:lineRule="auto"/>
        <w:tabs>
          <w:tab w:leader="none" w:pos="161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the Issuer, threatened against the Issuer or Target or (ii) judgment, decree, injunction, ruling or order of any governmental entity outstanding against the Issuer or Target.</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55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Except for placement fees payable to the Placement Agent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the Subscriber. The Issuer is solely responsible for the payment of any fees, costs, expenses and commissions of the Placement Agent.</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55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spacing w:after="0" w:line="186" w:lineRule="exact"/>
        <w:rPr>
          <w:rFonts w:ascii="Arial" w:cs="Arial" w:eastAsia="Arial" w:hAnsi="Arial"/>
          <w:sz w:val="18"/>
          <w:szCs w:val="18"/>
          <w:color w:val="auto"/>
        </w:rPr>
      </w:pPr>
    </w:p>
    <w:p>
      <w:pPr>
        <w:jc w:val="both"/>
        <w:ind w:firstLine="1304"/>
        <w:spacing w:after="0" w:line="254" w:lineRule="auto"/>
        <w:tabs>
          <w:tab w:leader="none" w:pos="156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Issuer has not entered into any side letter or similar agreement with any Other Subscriber relating to such Other Subscriber’s purchase of its respective Other Acquired Shares other than the Other Subscription Agreements, the Registration Rights Agreement to the extent that a Subscriber is party thereto, or any side letter or similar agreement unrelated to such Other Acquired Shares or whose terms are not materially more advantageous to such Other Subscriber than the Subscriber hereunder. The Other Subscription Agreements (and any amendments thereto) reflect the same Per Share Price and other material terms with respect to the purchase of the Other Acquired Shares that are no more favorable to such Other Subscriber thereunder than the terms of this Subscription Agreement other than terms particular to the regulatory requirements of such subscriber or its affiliates or related funds.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firstLine="1304"/>
        <w:spacing w:after="0" w:line="277" w:lineRule="auto"/>
        <w:tabs>
          <w:tab w:leader="none" w:pos="152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Issuer is not, and immediately after receipt of payment for the Acquired Shares, and consummation of the Transactions, will not be, an “investment company” within the meaning of the Investment Company Act of 1940, as amended.</w:t>
      </w:r>
    </w:p>
    <w:p>
      <w:pPr>
        <w:spacing w:after="0" w:line="170" w:lineRule="exact"/>
        <w:rPr>
          <w:rFonts w:ascii="Arial" w:cs="Arial" w:eastAsia="Arial" w:hAnsi="Arial"/>
          <w:sz w:val="18"/>
          <w:szCs w:val="18"/>
          <w:color w:val="auto"/>
        </w:rPr>
      </w:pPr>
    </w:p>
    <w:p>
      <w:pPr>
        <w:jc w:val="both"/>
        <w:ind w:firstLine="1304"/>
        <w:spacing w:after="0" w:line="290" w:lineRule="auto"/>
        <w:tabs>
          <w:tab w:leader="none" w:pos="1567"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any applicable laws relating to corruption and bribery, including the U.S. Foreign Corrupt Practices Act of 1977 (as amended), the UK Bribery Act 2010, and any similar law that prohibits bribery or corruption.</w:t>
      </w:r>
    </w:p>
    <w:p>
      <w:pPr>
        <w:spacing w:after="0" w:line="165" w:lineRule="exact"/>
        <w:rPr>
          <w:rFonts w:ascii="Arial" w:cs="Arial" w:eastAsia="Arial" w:hAnsi="Arial"/>
          <w:sz w:val="16"/>
          <w:szCs w:val="16"/>
          <w:color w:val="auto"/>
        </w:rPr>
      </w:pPr>
    </w:p>
    <w:p>
      <w:pPr>
        <w:jc w:val="both"/>
        <w:ind w:firstLine="1304"/>
        <w:spacing w:after="0" w:line="263" w:lineRule="auto"/>
        <w:tabs>
          <w:tab w:leader="none" w:pos="151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Class A Shares are eligible for clearing through The Depository Trust Company (the “</w:t>
      </w:r>
      <w:r>
        <w:rPr>
          <w:rFonts w:ascii="Arial" w:cs="Arial" w:eastAsia="Arial" w:hAnsi="Arial"/>
          <w:sz w:val="18"/>
          <w:szCs w:val="18"/>
          <w:u w:val="single" w:color="auto"/>
          <w:color w:val="auto"/>
        </w:rPr>
        <w:t>DTC</w:t>
      </w:r>
      <w:r>
        <w:rPr>
          <w:rFonts w:ascii="Arial" w:cs="Arial" w:eastAsia="Arial" w:hAnsi="Arial"/>
          <w:sz w:val="18"/>
          <w:szCs w:val="18"/>
          <w:color w:val="auto"/>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554"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p>
    <w:p>
      <w:pPr>
        <w:spacing w:after="0" w:line="148" w:lineRule="exact"/>
        <w:rPr>
          <w:rFonts w:ascii="Arial" w:cs="Arial" w:eastAsia="Arial" w:hAnsi="Arial"/>
          <w:sz w:val="16"/>
          <w:szCs w:val="16"/>
          <w:color w:val="auto"/>
        </w:rPr>
      </w:pPr>
    </w:p>
    <w:p>
      <w:pPr>
        <w:jc w:val="both"/>
        <w:ind w:firstLine="1304"/>
        <w:spacing w:after="0" w:line="257" w:lineRule="auto"/>
        <w:tabs>
          <w:tab w:leader="none" w:pos="156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Following the Closing, the Acquired Shares will not be subject to any Transfer Restriction. The term “</w:t>
      </w:r>
      <w:r>
        <w:rPr>
          <w:rFonts w:ascii="Arial" w:cs="Arial" w:eastAsia="Arial" w:hAnsi="Arial"/>
          <w:sz w:val="18"/>
          <w:szCs w:val="18"/>
          <w:u w:val="single" w:color="auto"/>
          <w:color w:val="auto"/>
        </w:rPr>
        <w:t>Transfer Restriction</w:t>
      </w:r>
      <w:r>
        <w:rPr>
          <w:rFonts w:ascii="Arial" w:cs="Arial" w:eastAsia="Arial" w:hAnsi="Arial"/>
          <w:sz w:val="18"/>
          <w:szCs w:val="18"/>
          <w:color w:val="auto"/>
        </w:rPr>
        <w:t xml:space="preserve">” 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Arial" w:cs="Arial" w:eastAsia="Arial" w:hAnsi="Arial"/>
          <w:sz w:val="18"/>
          <w:szCs w:val="18"/>
          <w:u w:val="single" w:color="auto"/>
          <w:color w:val="auto"/>
        </w:rPr>
        <w:t>Section 4(f)</w:t>
      </w:r>
      <w:r>
        <w:rPr>
          <w:rFonts w:ascii="Arial" w:cs="Arial" w:eastAsia="Arial" w:hAnsi="Arial"/>
          <w:sz w:val="18"/>
          <w:szCs w:val="18"/>
          <w:color w:val="auto"/>
        </w:rPr>
        <w:t xml:space="preserve"> hereof with respect to the status of the Acquired Shares as “restricted securities” pending their registration for resale under the Securities Act in accordance with the terms of this Subscription Agreement or the Registration Rights Agreement.</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and Warranties</w:t>
      </w:r>
      <w:r>
        <w:rPr>
          <w:rFonts w:ascii="Arial" w:cs="Arial" w:eastAsia="Arial" w:hAnsi="Arial"/>
          <w:sz w:val="18"/>
          <w:szCs w:val="18"/>
          <w:color w:val="auto"/>
        </w:rPr>
        <w:t>. Subscriber represents and warrants that:</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154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148" w:lineRule="exact"/>
        <w:rPr>
          <w:rFonts w:ascii="Arial" w:cs="Arial" w:eastAsia="Arial" w:hAnsi="Arial"/>
          <w:sz w:val="16"/>
          <w:szCs w:val="16"/>
          <w:color w:val="auto"/>
        </w:rPr>
      </w:pPr>
    </w:p>
    <w:p>
      <w:pPr>
        <w:jc w:val="both"/>
        <w:ind w:firstLine="1304"/>
        <w:spacing w:after="0" w:line="257" w:lineRule="auto"/>
        <w:tabs>
          <w:tab w:leader="none" w:pos="156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1304"/>
        <w:spacing w:after="0" w:line="275" w:lineRule="auto"/>
        <w:tabs>
          <w:tab w:leader="none" w:pos="159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execution, delivery and performance by Subscriber of this Subscription Agreement, including the consummation of the transactions contemplated hereby, have been duly authorized and approved by all necessary action. Subscriber acknowledges that Subscriber shall be responsible for any of Subscriber’s tax liabilities that may arise as a result of the transactions contemplated by this Subscription Agreement, and that neither the Issuer nor Target nor any of their respective affiliates, have provided any tax advice or any other representation or guarantee, whether written or oral, regarding the tax consequences of the transactions contemplated by this Subscription Agreement.</w:t>
      </w:r>
    </w:p>
    <w:p>
      <w:pPr>
        <w:spacing w:after="0" w:line="176" w:lineRule="exact"/>
        <w:rPr>
          <w:rFonts w:ascii="Arial" w:cs="Arial" w:eastAsia="Arial" w:hAnsi="Arial"/>
          <w:sz w:val="17"/>
          <w:szCs w:val="17"/>
          <w:color w:val="auto"/>
        </w:rPr>
      </w:pPr>
    </w:p>
    <w:p>
      <w:pPr>
        <w:jc w:val="both"/>
        <w:ind w:firstLine="1304"/>
        <w:spacing w:after="0" w:line="289" w:lineRule="auto"/>
        <w:tabs>
          <w:tab w:leader="none" w:pos="159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spacing w:after="0" w:line="166" w:lineRule="exact"/>
        <w:rPr>
          <w:rFonts w:ascii="Arial" w:cs="Arial" w:eastAsia="Arial" w:hAnsi="Arial"/>
          <w:sz w:val="16"/>
          <w:szCs w:val="16"/>
          <w:color w:val="auto"/>
        </w:rPr>
      </w:pPr>
    </w:p>
    <w:p>
      <w:pPr>
        <w:jc w:val="both"/>
        <w:ind w:firstLine="1304"/>
        <w:spacing w:after="0" w:line="269" w:lineRule="auto"/>
        <w:tabs>
          <w:tab w:leader="none" w:pos="155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and agreements herein on behalf of each owner of each such account, and (iii)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spacing w:after="0" w:line="185" w:lineRule="exact"/>
        <w:rPr>
          <w:rFonts w:ascii="Arial" w:cs="Arial" w:eastAsia="Arial" w:hAnsi="Arial"/>
          <w:sz w:val="17"/>
          <w:szCs w:val="17"/>
          <w:color w:val="auto"/>
        </w:rPr>
      </w:pPr>
    </w:p>
    <w:p>
      <w:pPr>
        <w:jc w:val="both"/>
        <w:ind w:firstLine="1304"/>
        <w:spacing w:after="0" w:line="285" w:lineRule="auto"/>
        <w:tabs>
          <w:tab w:leader="none" w:pos="155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or any other jurisdiction. Subscriber understands that the Acquired Shares may not be resold, transferred, pledged or otherwise disposed of by Subscriber absent an effective registration statement under the Securities Act, except (i) to the Issuer or a subsidiary thereof, (ii) pursuant to offers and sales that occur in an “offshore transaction” within the meaning of Regulation S under the Securities Act, (iii) pursuant to Rule 144 under the Securities Act, provided that all of the applicable conditions thereof (including those set out in Rule 144(i) which are applicable to the Issuer) have been met, or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and in the Amended and Restated Registration Rights Agreement, dated the date hereof, by and among the Issuer and other parties thereto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to the extent that Subscriber is party to the Registration Rights Agreement, in which case, notwithstanding anything else contained herein to the contrary, Section 5 and 8(c) hereof shall not apply and not be effective with respect to such Subscriber.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1304"/>
        <w:spacing w:after="0" w:line="279" w:lineRule="auto"/>
        <w:tabs>
          <w:tab w:leader="none" w:pos="157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157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any applicable similar law.</w:t>
      </w:r>
    </w:p>
    <w:p>
      <w:pPr>
        <w:spacing w:after="0" w:line="183" w:lineRule="exact"/>
        <w:rPr>
          <w:rFonts w:ascii="Arial" w:cs="Arial" w:eastAsia="Arial" w:hAnsi="Arial"/>
          <w:sz w:val="18"/>
          <w:szCs w:val="18"/>
          <w:color w:val="auto"/>
        </w:rPr>
      </w:pPr>
    </w:p>
    <w:p>
      <w:pPr>
        <w:jc w:val="both"/>
        <w:ind w:firstLine="1304"/>
        <w:spacing w:after="0" w:line="267" w:lineRule="auto"/>
        <w:tabs>
          <w:tab w:leader="none" w:pos="155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In making its decision to purchase the Acquired Shares, Subscriber represents that it has conducted and completed its own independent due diligence and has independently made its own analysis and decision with respect to the Subscription. Subscriber further represents that, except for the representations, warranties, covenants and agreements made by Issuer herein, it is relying exclusively on its own sources of information, investment analysis and due diligence (including professional advice Subscriber deems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reviewed and understood the offering materials made available to it in connection with the Subscription and such other information as Subscriber deems necessary in order to make an investment decision with respect to the Acquired Shares, including with respect to the Issuer, Target and the Transactions. Subscriber represents and agrees that Subscriber and Subscriber’s professional advisor(s), if any, have had the full opportunity to ask such questions, receive such answers and obtain such information 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 corporation (including, without limitation, the Issuer, Target, the Placement Agent, any of their respective affiliates or any control persons, officers, directors, employees, agents or representatives of any of the foregoing), other than the representations and warranties of the Issuer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Subscription Agreement, in making its investment or decision to invest in the Issuer.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1304"/>
        <w:spacing w:after="0" w:line="301" w:lineRule="auto"/>
        <w:tabs>
          <w:tab w:leader="none" w:pos="151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Subscriber became aware of this offering of the Acquired Shares solely by means of direct contact between Subscriber and the Issuer or by means of contact from Jefferies LLC acting as placement agent for the Issuer (the “</w:t>
      </w:r>
      <w:r>
        <w:rPr>
          <w:rFonts w:ascii="Arial" w:cs="Arial" w:eastAsia="Arial" w:hAnsi="Arial"/>
          <w:sz w:val="16"/>
          <w:szCs w:val="16"/>
          <w:u w:val="single" w:color="auto"/>
          <w:color w:val="auto"/>
        </w:rPr>
        <w:t>Placement Agent</w:t>
      </w:r>
      <w:r>
        <w:rPr>
          <w:rFonts w:ascii="Arial" w:cs="Arial" w:eastAsia="Arial" w:hAnsi="Arial"/>
          <w:sz w:val="16"/>
          <w:szCs w:val="16"/>
          <w:color w:val="auto"/>
        </w:rPr>
        <w:t>”), and the Acquired Shares were offered to Subscriber solely by direct contact between Subscriber and the Issuer or by contact between Subscriber and one or more Placement Agent. Subscriber did not become aware of this offering of the Acquired Shares, nor were the Acquired Shares offered to Subscriber, by any other means.</w:t>
      </w:r>
    </w:p>
    <w:p>
      <w:pPr>
        <w:spacing w:after="0" w:line="157" w:lineRule="exact"/>
        <w:rPr>
          <w:rFonts w:ascii="Arial" w:cs="Arial" w:eastAsia="Arial" w:hAnsi="Arial"/>
          <w:sz w:val="16"/>
          <w:szCs w:val="16"/>
          <w:color w:val="auto"/>
        </w:rPr>
      </w:pPr>
    </w:p>
    <w:p>
      <w:pPr>
        <w:jc w:val="both"/>
        <w:ind w:firstLine="1304"/>
        <w:spacing w:after="0" w:line="263" w:lineRule="auto"/>
        <w:tabs>
          <w:tab w:leader="none" w:pos="158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Subscriber acknowledges and agrees that the Placement Agent is acting solely as the placement agent in connection with the Subscription and is not acting as underwriters or in any other capacity and is not and shall not be construed as a fiduciary for Subscriber, the Issuer or any other person or entity in connection with the Subscription.</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60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86" w:lineRule="exact"/>
        <w:rPr>
          <w:rFonts w:ascii="Arial" w:cs="Arial" w:eastAsia="Arial" w:hAnsi="Arial"/>
          <w:sz w:val="18"/>
          <w:szCs w:val="18"/>
          <w:color w:val="auto"/>
        </w:rPr>
      </w:pPr>
    </w:p>
    <w:p>
      <w:pPr>
        <w:ind w:firstLine="1304"/>
        <w:spacing w:after="0" w:line="277" w:lineRule="auto"/>
        <w:tabs>
          <w:tab w:leader="none" w:pos="157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Subscriber understands and agrees that no federal or state agency has passed upon or endorsed the merits of the offering of the Acquired Shares or made any findings or determination as to the fairness of this investment.</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156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(collectively, “</w:t>
      </w:r>
      <w:r>
        <w:rPr>
          <w:rFonts w:ascii="Arial" w:cs="Arial" w:eastAsia="Arial" w:hAnsi="Arial"/>
          <w:sz w:val="17"/>
          <w:szCs w:val="17"/>
          <w:u w:val="single" w:color="auto"/>
          <w:color w:val="auto"/>
        </w:rPr>
        <w:t>OFAC Lists</w:t>
      </w:r>
      <w:r>
        <w:rPr>
          <w:rFonts w:ascii="Arial" w:cs="Arial" w:eastAsia="Arial" w:hAnsi="Arial"/>
          <w:sz w:val="17"/>
          <w:szCs w:val="17"/>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7"/>
          <w:szCs w:val="17"/>
          <w:u w:val="single" w:color="auto"/>
          <w:color w:val="auto"/>
        </w:rPr>
        <w:t>BSA</w:t>
      </w:r>
      <w:r>
        <w:rPr>
          <w:rFonts w:ascii="Arial" w:cs="Arial" w:eastAsia="Arial" w:hAnsi="Arial"/>
          <w:sz w:val="17"/>
          <w:szCs w:val="17"/>
          <w:color w:val="auto"/>
        </w:rPr>
        <w:t>”),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 Act</w:t>
      </w:r>
      <w:r>
        <w:rPr>
          <w:rFonts w:ascii="Arial" w:cs="Arial" w:eastAsia="Arial" w:hAnsi="Arial"/>
          <w:sz w:val="17"/>
          <w:szCs w:val="17"/>
          <w:color w:val="auto"/>
        </w:rPr>
        <w:t>”), Subscriber maintains policies and procedures reasonably designed to comply with applicable obligations under the BSA/PATRIOT Act. Subscriber 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 procedures reasonably designed to ensure that the funds held by Subscriber and used to purchase the Acquired Shares were legally derived.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ind w:firstLine="1304"/>
        <w:spacing w:after="0" w:line="291" w:lineRule="auto"/>
        <w:tabs>
          <w:tab w:leader="none" w:pos="1566" w:val="left"/>
        </w:tabs>
        <w:numPr>
          <w:ilvl w:val="2"/>
          <w:numId w:val="126"/>
        </w:numPr>
        <w:rPr>
          <w:rFonts w:ascii="Arial" w:cs="Arial" w:eastAsia="Arial" w:hAnsi="Arial"/>
          <w:sz w:val="16"/>
          <w:szCs w:val="16"/>
          <w:color w:val="auto"/>
        </w:rPr>
      </w:pPr>
      <w:r>
        <w:rPr>
          <w:rFonts w:ascii="Arial" w:cs="Arial" w:eastAsia="Arial" w:hAnsi="Arial"/>
          <w:sz w:val="16"/>
          <w:szCs w:val="16"/>
          <w:color w:val="auto"/>
        </w:rPr>
        <w:t>If Subscriber is or is acting on behalf of (i) an employee benefit plan that is subject to Title I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(ii) a plan, an individual retirement account or other arrangement that is subject to Section 4975 of the Code,</w:t>
      </w:r>
    </w:p>
    <w:p>
      <w:pPr>
        <w:jc w:val="both"/>
        <w:ind w:firstLine="8"/>
        <w:spacing w:after="0" w:line="268" w:lineRule="auto"/>
        <w:tabs>
          <w:tab w:leader="none" w:pos="33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 entity whose underlying assets are considered to include "plan assets" of any such plan, account or arrangement described in clauses (i) and (ii) (each, an "</w:t>
      </w:r>
      <w:r>
        <w:rPr>
          <w:rFonts w:ascii="Arial" w:cs="Arial" w:eastAsia="Arial" w:hAnsi="Arial"/>
          <w:sz w:val="17"/>
          <w:szCs w:val="17"/>
          <w:u w:val="single" w:color="auto"/>
          <w:color w:val="auto"/>
        </w:rPr>
        <w:t>ERISA Plan</w:t>
      </w:r>
      <w:r>
        <w:rPr>
          <w:rFonts w:ascii="Arial" w:cs="Arial" w:eastAsia="Arial" w:hAnsi="Arial"/>
          <w:sz w:val="17"/>
          <w:szCs w:val="17"/>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Arial" w:cs="Arial" w:eastAsia="Arial" w:hAnsi="Arial"/>
          <w:sz w:val="17"/>
          <w:szCs w:val="17"/>
          <w:u w:val="single" w:color="auto"/>
          <w:color w:val="auto"/>
        </w:rPr>
        <w:t>Similar Laws</w:t>
      </w:r>
      <w:r>
        <w:rPr>
          <w:rFonts w:ascii="Arial" w:cs="Arial" w:eastAsia="Arial" w:hAnsi="Arial"/>
          <w:sz w:val="17"/>
          <w:szCs w:val="17"/>
          <w:color w:val="auto"/>
        </w:rPr>
        <w:t>," and together with ERISA Plans, "</w:t>
      </w:r>
      <w:r>
        <w:rPr>
          <w:rFonts w:ascii="Arial" w:cs="Arial" w:eastAsia="Arial" w:hAnsi="Arial"/>
          <w:sz w:val="17"/>
          <w:szCs w:val="17"/>
          <w:u w:val="single" w:color="auto"/>
          <w:color w:val="auto"/>
        </w:rPr>
        <w:t>Plans</w:t>
      </w:r>
      <w:r>
        <w:rPr>
          <w:rFonts w:ascii="Arial" w:cs="Arial" w:eastAsia="Arial" w:hAnsi="Arial"/>
          <w:sz w:val="17"/>
          <w:szCs w:val="17"/>
          <w:color w:val="auto"/>
        </w:rPr>
        <w:t>"), then Subscriber represents and warrants that it has not relied on the Issuer or any of its affiliates (the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spacing w:after="0" w:line="181" w:lineRule="exact"/>
        <w:rPr>
          <w:rFonts w:ascii="Arial" w:cs="Arial" w:eastAsia="Arial" w:hAnsi="Arial"/>
          <w:sz w:val="17"/>
          <w:szCs w:val="17"/>
          <w:color w:val="auto"/>
        </w:rPr>
      </w:pPr>
    </w:p>
    <w:p>
      <w:pPr>
        <w:ind w:left="1560" w:hanging="256"/>
        <w:spacing w:after="0"/>
        <w:tabs>
          <w:tab w:leader="none" w:pos="156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 xml:space="preserve">At the Purchase Price Payment Date, Subscriber will have sufficient funds to pay the Purchase Price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840" w:hanging="184"/>
        <w:spacing w:after="0"/>
        <w:tabs>
          <w:tab w:leader="none" w:pos="84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51" w:val="left"/>
        </w:tabs>
        <w:numPr>
          <w:ilvl w:val="2"/>
          <w:numId w:val="128"/>
        </w:numPr>
        <w:rPr>
          <w:rFonts w:ascii="Arial" w:cs="Arial" w:eastAsia="Arial" w:hAnsi="Arial"/>
          <w:sz w:val="16"/>
          <w:szCs w:val="16"/>
          <w:color w:val="auto"/>
        </w:rPr>
      </w:pPr>
      <w:r>
        <w:rPr>
          <w:rFonts w:ascii="Arial" w:cs="Arial" w:eastAsia="Arial" w:hAnsi="Arial"/>
          <w:sz w:val="16"/>
          <w:szCs w:val="16"/>
          <w:color w:val="auto"/>
        </w:rPr>
        <w:t>The Issuer agrees that, as soon as practicable, but in no event later than thirty (30) calendar days after the Closing Date (the “</w:t>
      </w:r>
      <w:r>
        <w:rPr>
          <w:rFonts w:ascii="Arial" w:cs="Arial" w:eastAsia="Arial" w:hAnsi="Arial"/>
          <w:sz w:val="16"/>
          <w:szCs w:val="16"/>
          <w:u w:val="single" w:color="auto"/>
          <w:color w:val="auto"/>
        </w:rPr>
        <w:t>Filing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the Issuer will file with the Commission (at the Issuer’s sole cost and expense) a registration statement registering the resale of the Acquired Shares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Issuer shall use its commercially reasonable efforts to cause the Registration Statement to be declared effective as soon as practicable after the filing thereof, but no later than the earlier of (i)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(or 100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if the Commission notifies the</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Issuer that it will “review” the Registration Statement) following the Closing and (ii)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after the date the Issuer is notified (orally or in writing, whichever is earlier) by the Commission that the Registration Statement will not be “reviewed” or will not be subject to further review (such earlier date, the “</w:t>
      </w:r>
      <w:r>
        <w:rPr>
          <w:rFonts w:ascii="Arial" w:cs="Arial" w:eastAsia="Arial" w:hAnsi="Arial"/>
          <w:sz w:val="16"/>
          <w:szCs w:val="16"/>
          <w:u w:val="single" w:color="auto"/>
          <w:color w:val="auto"/>
        </w:rPr>
        <w:t>Effectiveness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Commission is closed for operations due to a government shutdown, the Effectiveness Date shall be extended by the same amount of days that the Commission remains closed for operations,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Issuer’s obligations to include the Acquired Shares in the Registration Statement are contingent upon Subscriber furnishing in writing to the Issuer such information regarding Subscriber, the securities of the Issuer held by Subscriber, the 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hereunder;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Issuer will provide a draft of the Registration Statement to the undersigned for review at least two (2)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 such number of Acquired Shares which is equal to the maximum number of Acquired Shares as is permitted by the Commission. In such event, the number of Acquired Shares to be registered for each selling shareholder named in the Registration Statement shall be reduced pro rata among all such selling shareholders.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 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Rule 144 under the Securities Act (“</w:t>
      </w:r>
      <w:r>
        <w:rPr>
          <w:rFonts w:ascii="Arial" w:cs="Arial" w:eastAsia="Arial" w:hAnsi="Arial"/>
          <w:sz w:val="16"/>
          <w:szCs w:val="16"/>
          <w:u w:val="single" w:color="auto"/>
          <w:color w:val="auto"/>
        </w:rPr>
        <w:t>Rule 144</w:t>
      </w:r>
      <w:r>
        <w:rPr>
          <w:rFonts w:ascii="Arial" w:cs="Arial" w:eastAsia="Arial" w:hAnsi="Arial"/>
          <w:sz w:val="16"/>
          <w:szCs w:val="16"/>
          <w:color w:val="auto"/>
        </w:rPr>
        <w:t>”),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“Registrable Securities” 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 (B) 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or (C) when they shall have ceased to be outstanding or three (3) years from the date of effectiveness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1304"/>
        <w:spacing w:after="0" w:line="263" w:lineRule="auto"/>
        <w:tabs>
          <w:tab w:leader="none" w:pos="15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spacing w:after="0" w:line="183" w:lineRule="exact"/>
        <w:rPr>
          <w:rFonts w:ascii="Arial" w:cs="Arial" w:eastAsia="Arial" w:hAnsi="Arial"/>
          <w:sz w:val="18"/>
          <w:szCs w:val="18"/>
          <w:color w:val="auto"/>
        </w:rPr>
      </w:pPr>
    </w:p>
    <w:p>
      <w:pPr>
        <w:jc w:val="both"/>
        <w:ind w:firstLine="1952"/>
        <w:spacing w:after="0" w:line="301" w:lineRule="auto"/>
        <w:tabs>
          <w:tab w:leader="none" w:pos="216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spacing w:after="0" w:line="157" w:lineRule="exact"/>
        <w:rPr>
          <w:rFonts w:ascii="Arial" w:cs="Arial" w:eastAsia="Arial" w:hAnsi="Arial"/>
          <w:sz w:val="16"/>
          <w:szCs w:val="16"/>
          <w:color w:val="auto"/>
        </w:rPr>
      </w:pPr>
    </w:p>
    <w:p>
      <w:pPr>
        <w:ind w:left="2220" w:hanging="268"/>
        <w:spacing w:after="0"/>
        <w:tabs>
          <w:tab w:leader="none" w:pos="2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advise Subscriber, as promptly as practicable but in any event, within three (3) business days:</w:t>
      </w:r>
    </w:p>
    <w:p>
      <w:pPr>
        <w:spacing w:after="0" w:line="225" w:lineRule="exact"/>
        <w:rPr>
          <w:rFonts w:ascii="Arial" w:cs="Arial" w:eastAsia="Arial" w:hAnsi="Arial"/>
          <w:sz w:val="18"/>
          <w:szCs w:val="18"/>
          <w:color w:val="auto"/>
        </w:rPr>
      </w:pPr>
    </w:p>
    <w:p>
      <w:pPr>
        <w:ind w:left="1300" w:right="20" w:firstLine="1300"/>
        <w:spacing w:after="0" w:line="277" w:lineRule="auto"/>
        <w:tabs>
          <w:tab w:leader="none" w:pos="28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such Registration Statement or any post-effective amendment thereto has become effective;</w:t>
      </w:r>
    </w:p>
    <w:p>
      <w:pPr>
        <w:spacing w:after="0" w:line="170" w:lineRule="exact"/>
        <w:rPr>
          <w:rFonts w:ascii="Arial" w:cs="Arial" w:eastAsia="Arial" w:hAnsi="Arial"/>
          <w:sz w:val="18"/>
          <w:szCs w:val="18"/>
          <w:color w:val="auto"/>
        </w:rPr>
      </w:pPr>
    </w:p>
    <w:p>
      <w:pPr>
        <w:ind w:left="1300" w:right="20" w:firstLine="1300"/>
        <w:spacing w:after="0" w:line="277" w:lineRule="auto"/>
        <w:tabs>
          <w:tab w:leader="none" w:pos="2857" w:val="left"/>
        </w:tabs>
        <w:numPr>
          <w:ilvl w:val="2"/>
          <w:numId w:val="129"/>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any Registration Statement or the initiation of any proceedings for such purpose;</w:t>
      </w:r>
    </w:p>
    <w:p>
      <w:pPr>
        <w:spacing w:after="0" w:line="170" w:lineRule="exact"/>
        <w:rPr>
          <w:rFonts w:ascii="Arial" w:cs="Arial" w:eastAsia="Arial" w:hAnsi="Arial"/>
          <w:sz w:val="18"/>
          <w:szCs w:val="18"/>
          <w:color w:val="auto"/>
        </w:rPr>
      </w:pPr>
    </w:p>
    <w:p>
      <w:pPr>
        <w:ind w:left="1300" w:firstLine="1300"/>
        <w:spacing w:after="0" w:line="308" w:lineRule="auto"/>
        <w:tabs>
          <w:tab w:leader="none" w:pos="2866" w:val="left"/>
        </w:tabs>
        <w:numPr>
          <w:ilvl w:val="2"/>
          <w:numId w:val="129"/>
        </w:numPr>
        <w:rPr>
          <w:rFonts w:ascii="Arial" w:cs="Arial" w:eastAsia="Arial" w:hAnsi="Arial"/>
          <w:sz w:val="17"/>
          <w:szCs w:val="17"/>
          <w:color w:val="auto"/>
        </w:rPr>
      </w:pPr>
      <w:r>
        <w:rPr>
          <w:rFonts w:ascii="Arial" w:cs="Arial" w:eastAsia="Arial" w:hAnsi="Arial"/>
          <w:sz w:val="17"/>
          <w:szCs w:val="17"/>
          <w:color w:val="auto"/>
        </w:rPr>
        <w:t>of the receipt by the Issuer of any notification with respect to the suspension of the qualification of the Acquired Shares included therein for sale in any jurisdiction or the initiation or threatening of any proceeding for such purpose; and</w:t>
      </w:r>
    </w:p>
    <w:p>
      <w:pPr>
        <w:spacing w:after="0" w:line="146" w:lineRule="exact"/>
        <w:rPr>
          <w:rFonts w:ascii="Arial" w:cs="Arial" w:eastAsia="Arial" w:hAnsi="Arial"/>
          <w:sz w:val="17"/>
          <w:szCs w:val="17"/>
          <w:color w:val="auto"/>
        </w:rPr>
      </w:pPr>
    </w:p>
    <w:p>
      <w:pPr>
        <w:jc w:val="both"/>
        <w:ind w:left="1300" w:firstLine="1300"/>
        <w:spacing w:after="0" w:line="279" w:lineRule="auto"/>
        <w:tabs>
          <w:tab w:leader="none" w:pos="2855" w:val="left"/>
        </w:tabs>
        <w:numPr>
          <w:ilvl w:val="2"/>
          <w:numId w:val="129"/>
        </w:numPr>
        <w:rPr>
          <w:rFonts w:ascii="Arial" w:cs="Arial" w:eastAsia="Arial" w:hAnsi="Arial"/>
          <w:sz w:val="17"/>
          <w:szCs w:val="17"/>
          <w:color w:val="auto"/>
        </w:rPr>
      </w:pPr>
      <w:r>
        <w:rPr>
          <w:rFonts w:ascii="Arial" w:cs="Arial" w:eastAsia="Arial" w:hAnsi="Arial"/>
          <w:sz w:val="17"/>
          <w:szCs w:val="17"/>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 (1) through (4) above may constitute material, nonpublic information regarding the Issuer;</w:t>
      </w:r>
    </w:p>
    <w:p>
      <w:pPr>
        <w:spacing w:after="0" w:line="184" w:lineRule="exact"/>
        <w:rPr>
          <w:sz w:val="20"/>
          <w:szCs w:val="20"/>
          <w:color w:val="auto"/>
        </w:rPr>
      </w:pPr>
    </w:p>
    <w:p>
      <w:pPr>
        <w:ind w:right="20" w:firstLine="1952"/>
        <w:spacing w:after="0" w:line="277" w:lineRule="auto"/>
        <w:tabs>
          <w:tab w:leader="none" w:pos="230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70" w:lineRule="exact"/>
        <w:rPr>
          <w:rFonts w:ascii="Arial" w:cs="Arial" w:eastAsia="Arial" w:hAnsi="Arial"/>
          <w:sz w:val="18"/>
          <w:szCs w:val="18"/>
          <w:color w:val="auto"/>
        </w:rPr>
      </w:pPr>
    </w:p>
    <w:p>
      <w:pPr>
        <w:jc w:val="both"/>
        <w:ind w:firstLine="1952"/>
        <w:spacing w:after="0" w:line="255" w:lineRule="auto"/>
        <w:tabs>
          <w:tab w:leader="none" w:pos="22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contemplated in </w:t>
      </w:r>
      <w:r>
        <w:rPr>
          <w:rFonts w:ascii="Arial" w:cs="Arial" w:eastAsia="Arial" w:hAnsi="Arial"/>
          <w:sz w:val="18"/>
          <w:szCs w:val="18"/>
          <w:u w:val="single" w:color="auto"/>
          <w:color w:val="auto"/>
        </w:rPr>
        <w:t>Section 5(b)(ii)(4)</w:t>
      </w:r>
      <w:r>
        <w:rPr>
          <w:rFonts w:ascii="Arial" w:cs="Arial" w:eastAsia="Arial" w:hAnsi="Arial"/>
          <w:sz w:val="18"/>
          <w:szCs w:val="18"/>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92" w:lineRule="exact"/>
        <w:rPr>
          <w:rFonts w:ascii="Arial" w:cs="Arial" w:eastAsia="Arial" w:hAnsi="Arial"/>
          <w:sz w:val="18"/>
          <w:szCs w:val="18"/>
          <w:color w:val="auto"/>
        </w:rPr>
      </w:pPr>
    </w:p>
    <w:p>
      <w:pPr>
        <w:ind w:firstLine="1952"/>
        <w:spacing w:after="0" w:line="277" w:lineRule="auto"/>
        <w:tabs>
          <w:tab w:leader="none" w:pos="222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Acquired Shares to be listed on the primary securities exchange or market, if any, on which the Class A Shares issued by the Issuer have been listed;</w:t>
      </w:r>
    </w:p>
    <w:p>
      <w:pPr>
        <w:spacing w:after="0" w:line="170" w:lineRule="exact"/>
        <w:rPr>
          <w:rFonts w:ascii="Arial" w:cs="Arial" w:eastAsia="Arial" w:hAnsi="Arial"/>
          <w:sz w:val="18"/>
          <w:szCs w:val="18"/>
          <w:color w:val="auto"/>
        </w:rPr>
      </w:pPr>
    </w:p>
    <w:p>
      <w:pPr>
        <w:ind w:right="20" w:firstLine="1952"/>
        <w:spacing w:after="0" w:line="277" w:lineRule="auto"/>
        <w:tabs>
          <w:tab w:leader="none" w:pos="22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allow Subscriber to review and consent to disclosure specifically regarding Subscriber in the Registration Statement on reasonable advance notice (which consent shall not be unreasonably withheld); and</w:t>
      </w:r>
    </w:p>
    <w:p>
      <w:pPr>
        <w:spacing w:after="0" w:line="170" w:lineRule="exact"/>
        <w:rPr>
          <w:rFonts w:ascii="Arial" w:cs="Arial" w:eastAsia="Arial" w:hAnsi="Arial"/>
          <w:sz w:val="18"/>
          <w:szCs w:val="18"/>
          <w:color w:val="auto"/>
        </w:rPr>
      </w:pPr>
    </w:p>
    <w:p>
      <w:pPr>
        <w:ind w:firstLine="1952"/>
        <w:spacing w:after="0" w:line="342" w:lineRule="auto"/>
        <w:tabs>
          <w:tab w:leader="none" w:pos="23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firstLine="1304"/>
        <w:spacing w:after="0" w:line="284" w:lineRule="auto"/>
        <w:tabs>
          <w:tab w:leader="none" w:pos="155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obligation to deliver or destroy all copies of the prospectus covering the Acquired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79" w:lineRule="exact"/>
        <w:rPr>
          <w:rFonts w:ascii="Arial" w:cs="Arial" w:eastAsia="Arial" w:hAnsi="Arial"/>
          <w:sz w:val="16"/>
          <w:szCs w:val="16"/>
          <w:color w:val="auto"/>
        </w:rPr>
      </w:pPr>
    </w:p>
    <w:p>
      <w:pPr>
        <w:jc w:val="both"/>
        <w:ind w:firstLine="1304"/>
        <w:spacing w:after="0" w:line="253" w:lineRule="auto"/>
        <w:tabs>
          <w:tab w:leader="none" w:pos="157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Subscriber may deliver written notice (an “</w:t>
      </w:r>
      <w:r>
        <w:rPr>
          <w:rFonts w:ascii="Arial" w:cs="Arial" w:eastAsia="Arial" w:hAnsi="Arial"/>
          <w:sz w:val="18"/>
          <w:szCs w:val="18"/>
          <w:u w:val="single" w:color="auto"/>
          <w:color w:val="auto"/>
        </w:rPr>
        <w:t>Opt-Out Notice</w:t>
      </w:r>
      <w:r>
        <w:rPr>
          <w:rFonts w:ascii="Arial" w:cs="Arial" w:eastAsia="Arial" w:hAnsi="Arial"/>
          <w:sz w:val="18"/>
          <w:szCs w:val="18"/>
          <w:color w:val="auto"/>
        </w:rPr>
        <w:t xml:space="preserve">”) to the Issuer requesting that Subscriber not receive notices from the Issuer otherwise required by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Arial" w:cs="Arial" w:eastAsia="Arial" w:hAnsi="Arial"/>
          <w:sz w:val="18"/>
          <w:szCs w:val="18"/>
          <w:u w:val="single" w:color="auto"/>
          <w:color w:val="auto"/>
        </w:rPr>
        <w:t>Section 5(d)</w:t>
      </w:r>
      <w:r>
        <w:rPr>
          <w:rFonts w:ascii="Arial" w:cs="Arial" w:eastAsia="Arial" w:hAnsi="Arial"/>
          <w:sz w:val="18"/>
          <w:szCs w:val="18"/>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ind w:left="1540" w:hanging="236"/>
        <w:spacing w:after="0"/>
        <w:tabs>
          <w:tab w:leader="none" w:pos="15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8" w:lineRule="auto"/>
        <w:tabs>
          <w:tab w:leader="none" w:pos="2164"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Issuer shall, notwithstanding the termination of this Subscription Agreement, indemnify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that arise out of or are caused by (A) any untrue or alleged untrue statement of material fact contained in any Registration Statement (or incorporated by reference therein), prospectus included in any Registration Statement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indemnification contained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5(e)</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apply to amounts paid in settlement of any Losses if such settlement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Agreement.</w:t>
      </w:r>
    </w:p>
    <w:p>
      <w:pPr>
        <w:spacing w:after="0" w:line="179" w:lineRule="exact"/>
        <w:rPr>
          <w:rFonts w:ascii="Arial" w:cs="Arial" w:eastAsia="Arial" w:hAnsi="Arial"/>
          <w:sz w:val="17"/>
          <w:szCs w:val="17"/>
          <w:color w:val="auto"/>
        </w:rPr>
      </w:pPr>
    </w:p>
    <w:p>
      <w:pPr>
        <w:jc w:val="both"/>
        <w:ind w:firstLine="1952"/>
        <w:spacing w:after="0" w:line="269" w:lineRule="auto"/>
        <w:tabs>
          <w:tab w:leader="none" w:pos="2218" w:val="left"/>
        </w:tabs>
        <w:numPr>
          <w:ilvl w:val="1"/>
          <w:numId w:val="132"/>
        </w:numPr>
        <w:rPr>
          <w:rFonts w:ascii="Arial" w:cs="Arial" w:eastAsia="Arial" w:hAnsi="Arial"/>
          <w:sz w:val="17"/>
          <w:szCs w:val="17"/>
          <w:color w:val="auto"/>
        </w:rPr>
      </w:pPr>
      <w:r>
        <w:rPr>
          <w:rFonts w:ascii="Arial" w:cs="Arial" w:eastAsia="Arial" w:hAnsi="Arial"/>
          <w:sz w:val="17"/>
          <w:szCs w:val="17"/>
          <w:color w:val="auto"/>
        </w:rPr>
        <w:t xml:space="preserve">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Subscriber expressly for use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liability of Subscriber be greater in amount than the dollar amount of the net proceeds received by Subscriber from the sale of Acquired Shares pursuant to such Registration Statement giving rise to such indemnification obligation.</w:t>
      </w:r>
    </w:p>
    <w:p>
      <w:pPr>
        <w:spacing w:after="0" w:line="178" w:lineRule="exact"/>
        <w:rPr>
          <w:rFonts w:ascii="Arial" w:cs="Arial" w:eastAsia="Arial" w:hAnsi="Arial"/>
          <w:sz w:val="17"/>
          <w:szCs w:val="17"/>
          <w:color w:val="auto"/>
        </w:rPr>
      </w:pPr>
    </w:p>
    <w:p>
      <w:pPr>
        <w:jc w:val="both"/>
        <w:ind w:firstLine="1952"/>
        <w:spacing w:after="0" w:line="269" w:lineRule="auto"/>
        <w:tabs>
          <w:tab w:leader="none" w:pos="2272"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Any person entitled to indemnification herein shall (1) give prompt written notice to the indemnifying party of any claim with respect to which it seeks indemnification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1952"/>
        <w:spacing w:after="0" w:line="263" w:lineRule="auto"/>
        <w:tabs>
          <w:tab w:leader="none" w:pos="227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spacing w:after="0" w:line="183" w:lineRule="exact"/>
        <w:rPr>
          <w:rFonts w:ascii="Arial" w:cs="Arial" w:eastAsia="Arial" w:hAnsi="Arial"/>
          <w:sz w:val="18"/>
          <w:szCs w:val="18"/>
          <w:color w:val="auto"/>
        </w:rPr>
      </w:pPr>
    </w:p>
    <w:p>
      <w:pPr>
        <w:jc w:val="both"/>
        <w:ind w:firstLine="1952"/>
        <w:spacing w:after="0" w:line="287" w:lineRule="auto"/>
        <w:tabs>
          <w:tab w:leader="none" w:pos="221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If the indemnification provided under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Sections 5(e)(i)</w:t>
      </w:r>
      <w:r>
        <w:rPr>
          <w:rFonts w:ascii="Arial" w:cs="Arial" w:eastAsia="Arial" w:hAnsi="Arial"/>
          <w:sz w:val="16"/>
          <w:szCs w:val="16"/>
          <w:color w:val="auto"/>
        </w:rPr>
        <w:t xml:space="preserve">, </w:t>
      </w:r>
      <w:r>
        <w:rPr>
          <w:rFonts w:ascii="Arial" w:cs="Arial" w:eastAsia="Arial" w:hAnsi="Arial"/>
          <w:sz w:val="16"/>
          <w:szCs w:val="16"/>
          <w:u w:val="single" w:color="auto"/>
          <w:color w:val="auto"/>
        </w:rPr>
        <w:t>5(e)(ii)</w:t>
      </w:r>
      <w:r>
        <w:rPr>
          <w:rFonts w:ascii="Arial" w:cs="Arial" w:eastAsia="Arial" w:hAnsi="Arial"/>
          <w:sz w:val="16"/>
          <w:szCs w:val="16"/>
          <w:color w:val="auto"/>
        </w:rPr>
        <w:t xml:space="preserve">, </w:t>
      </w:r>
      <w:r>
        <w:rPr>
          <w:rFonts w:ascii="Arial" w:cs="Arial" w:eastAsia="Arial" w:hAnsi="Arial"/>
          <w:sz w:val="16"/>
          <w:szCs w:val="16"/>
          <w:u w:val="single" w:color="auto"/>
          <w:color w:val="auto"/>
        </w:rPr>
        <w:t>5(e)(iii)</w:t>
      </w:r>
      <w:r>
        <w:rPr>
          <w:rFonts w:ascii="Arial" w:cs="Arial" w:eastAsia="Arial" w:hAnsi="Arial"/>
          <w:sz w:val="16"/>
          <w:szCs w:val="16"/>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5(e)(v)</w:t>
      </w:r>
      <w:r>
        <w:rPr>
          <w:rFonts w:ascii="Arial" w:cs="Arial" w:eastAsia="Arial" w:hAnsi="Arial"/>
          <w:sz w:val="16"/>
          <w:szCs w:val="16"/>
          <w:color w:val="auto"/>
        </w:rPr>
        <w:t xml:space="preserve"> from any person who was not guilty of such fraudulent misrepresentation.</w:t>
      </w:r>
    </w:p>
    <w:p>
      <w:pPr>
        <w:spacing w:after="0" w:line="167" w:lineRule="exact"/>
        <w:rPr>
          <w:rFonts w:ascii="Arial" w:cs="Arial" w:eastAsia="Arial" w:hAnsi="Arial"/>
          <w:sz w:val="16"/>
          <w:szCs w:val="16"/>
          <w:color w:val="auto"/>
        </w:rPr>
      </w:pPr>
    </w:p>
    <w:p>
      <w:pPr>
        <w:jc w:val="both"/>
        <w:ind w:firstLine="656"/>
        <w:spacing w:after="0" w:line="268" w:lineRule="auto"/>
        <w:tabs>
          <w:tab w:leader="none" w:pos="828"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Business Combination Agreement is terminated in accordance with its terms, (b) upon the mutual written agreement of each of the parties hereto to terminate this Subscription Agreement, (c) if any of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are not satisfied on or prior to the earlier of the Closing Date or November 9, 2021 (the “</w:t>
      </w:r>
      <w:r>
        <w:rPr>
          <w:rFonts w:ascii="Arial" w:cs="Arial" w:eastAsia="Arial" w:hAnsi="Arial"/>
          <w:sz w:val="17"/>
          <w:szCs w:val="17"/>
          <w:u w:val="single" w:color="auto"/>
          <w:color w:val="auto"/>
        </w:rPr>
        <w:t>Outside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Issuer shall promptly notify Subscriber in writing (with email being sufficient) of the termination of the Business Combination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ind w:left="840" w:hanging="184"/>
        <w:spacing w:after="0"/>
        <w:tabs>
          <w:tab w:leader="none" w:pos="8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Additional Agreements and Waivers of Subscriber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40"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Subscriber acknowledges that the Issuer is a blank check company with the powers and privileges to effect a merger, asset acquisition, reorganization or similar business combination involving the Issuer and one or more businesses or assets. Subscriber further acknowledges that, as described in the Issuer’s prospectus relating to its initial public offering dated September 1, 2020 (the “</w:t>
      </w:r>
      <w:r>
        <w:rPr>
          <w:rFonts w:ascii="Arial" w:cs="Arial" w:eastAsia="Arial" w:hAnsi="Arial"/>
          <w:sz w:val="16"/>
          <w:szCs w:val="16"/>
          <w:u w:val="single" w:color="auto"/>
          <w:color w:val="auto"/>
        </w:rPr>
        <w:t>September 1, 2020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available at sec.gov, substantially all of the Issuer’s assets consist of the cash proceeds of the Issuer’s initial public offering and private placements of its securities, and substantially all of those proceeds have been deposited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for the benefit of its public stockholders and the underwriters of its initial public offering. The cash in the Trust Account may be disbursed only for the purposes set forth in the September 1, 2020 Prospectus. For and in consideration of the Issuer entering into this Subscription Agreement, the receipt and sufficiency of which are hereby acknowledged, Subscriber hereby irrevocably waives any and all right, title and interest, or any claim of any kind they have or may have in the future as a result of, or arising out of, this Subscription Agreement, in or to any monies held in the Trust Account, and agrees not to seek recourse or make or bring any action, suit, claim or other proceeding against the Trust Account as a result of, or arising out of, this Subscription Agreement, the transactions contemplated hereby or the Acquired Shares, regardless of whether such claim arises based on contract, tort, equity or any other theory of legal liability;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deemed to limit any Subscriber’s right, title, interest or claim to the Trust Account by virtue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Subscriber’s record or beneficial ownership of securities of the Issuer acquired by any means other than pursuant to this Subscription Agreement, including but not limited to any redemption right with respect to any such securities of the Issuer. Subscriber acknowledges and agrees that it shall not have any redemption rights with respect to the Acquired Shares pursuant to the Issuer’s certificate of incorporation in connection with the Transactions or any other business combination, any subsequent liquidation of the Trust Account or the Issuer or otherwise. In the event Subscriber has any claim against the Issuer as a result of, or arising out of, this Subscription Agreement, the transactions contemplated hereby or the Acquired Shares, it shall pursue such claim solely against the Issuer and its assets outside the Trust Account and not against the Trust Account or any monies or other assets in the Trust Account. This paragraph shall survive any termination of this Subscription Agreement.</w:t>
      </w:r>
    </w:p>
    <w:p>
      <w:pPr>
        <w:spacing w:after="0" w:line="168" w:lineRule="exact"/>
        <w:rPr>
          <w:rFonts w:ascii="Arial" w:cs="Arial" w:eastAsia="Arial" w:hAnsi="Arial"/>
          <w:sz w:val="16"/>
          <w:szCs w:val="16"/>
          <w:color w:val="auto"/>
        </w:rPr>
      </w:pPr>
    </w:p>
    <w:p>
      <w:pPr>
        <w:jc w:val="both"/>
        <w:ind w:firstLine="1304"/>
        <w:spacing w:after="0" w:line="285" w:lineRule="auto"/>
        <w:tabs>
          <w:tab w:leader="none" w:pos="1551"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No Hedging</w:t>
      </w:r>
      <w:r>
        <w:rPr>
          <w:rFonts w:ascii="Arial" w:cs="Arial" w:eastAsia="Arial" w:hAnsi="Arial"/>
          <w:sz w:val="16"/>
          <w:szCs w:val="16"/>
          <w:color w:val="auto"/>
        </w:rPr>
        <w:t xml:space="preserve">. Subscriber hereby agrees that neither it, nor any person or entity acting on its behalf or pursuant to any understanding with it, shall execute any short sales (as such term is defined in Regulation SHO under the Exchange Act, 17 CFR 242.200) or engage in other hedging transactions of any kind with respect to the Acquired Shares during the period from the date of this Subscription Agreement through the Closing (or such earlier termination of this Subscription Agreement). Notwithstanding anything to the contrary set forth herein, (i) nothing in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prohibit any entities under common management or that share an investment advisor with the Subscriber that have no knowledge of this Subscription Agreement or of Subscriber’s participation in this transaction (including Subscriber’s controlled affiliates and/or affiliates) from entering into any short sales or engaging in other hedging transactions;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only apply with respect to the portion of assets managed by the portfolio manager that made the investment decision to purchase the Subscription Amount covered by this Subscription Agreement. The Issuer acknowledges and agrees that, notwithstanding anything herein to the contrary, the Acquired Shares may be pledged by Subscriber in connection with a bona fide margin agreement, provided that such pledge shall be (i) pursuant to an available exemption from the registration requirements of the Securities Act or (ii) pursuant to, and in accordance with, a registration statement that is effective under the Securities Act at the time of such pledge, and Subscriber effecting a pledge of the Acquired Shares shall not be required to provide the Issuer with any notice thereof; provided, however, that neither the Issuer nor its counsel shall be required to take any action (or refrain from taking any action) in connection with any such pledge, other than providing any such lender of such margin agreement with an acknowledgment that the Acquired Shares are not subject to any contractual lock up or prohibition on pledging, the form of such acknowledgment to be subject to review and comment by the Issuer in all respects.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840" w:hanging="184"/>
        <w:spacing w:after="0"/>
        <w:tabs>
          <w:tab w:leader="none" w:pos="8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Issuer’s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4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Except as contemplated herein, the Issuer, its subsidiaries and their respective affiliates shall not, and shall cause any person acting on behalf of any of the foregoing to not, take any action or steps that would require registration of the issuance of any of the Acquired Shares under the Securities Act.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5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spacing w:after="0" w:line="183" w:lineRule="exact"/>
        <w:rPr>
          <w:rFonts w:ascii="Arial" w:cs="Arial" w:eastAsia="Arial" w:hAnsi="Arial"/>
          <w:sz w:val="18"/>
          <w:szCs w:val="18"/>
          <w:color w:val="auto"/>
        </w:rPr>
      </w:pPr>
    </w:p>
    <w:p>
      <w:pPr>
        <w:ind w:left="2160" w:hanging="208"/>
        <w:spacing w:after="0"/>
        <w:tabs>
          <w:tab w:leader="none" w:pos="216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215" w:val="left"/>
        </w:tabs>
        <w:numPr>
          <w:ilvl w:val="2"/>
          <w:numId w:val="136"/>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spacing w:after="0" w:line="183" w:lineRule="exact"/>
        <w:rPr>
          <w:rFonts w:ascii="Arial" w:cs="Arial" w:eastAsia="Arial" w:hAnsi="Arial"/>
          <w:sz w:val="18"/>
          <w:szCs w:val="18"/>
          <w:color w:val="auto"/>
        </w:rPr>
      </w:pPr>
    </w:p>
    <w:p>
      <w:pPr>
        <w:jc w:val="both"/>
        <w:ind w:firstLine="1952"/>
        <w:spacing w:after="0" w:line="257" w:lineRule="auto"/>
        <w:tabs>
          <w:tab w:leader="none" w:pos="2273" w:val="left"/>
        </w:tabs>
        <w:numPr>
          <w:ilvl w:val="2"/>
          <w:numId w:val="136"/>
        </w:numPr>
        <w:rPr>
          <w:rFonts w:ascii="Arial" w:cs="Arial" w:eastAsia="Arial" w:hAnsi="Arial"/>
          <w:sz w:val="18"/>
          <w:szCs w:val="18"/>
          <w:color w:val="auto"/>
        </w:rPr>
      </w:pPr>
      <w:r>
        <w:rPr>
          <w:rFonts w:ascii="Arial" w:cs="Arial" w:eastAsia="Arial" w:hAnsi="Arial"/>
          <w:sz w:val="18"/>
          <w:szCs w:val="18"/>
          <w:color w:val="auto"/>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spacing w:after="0" w:line="187" w:lineRule="exact"/>
        <w:rPr>
          <w:rFonts w:ascii="Arial" w:cs="Arial" w:eastAsia="Arial" w:hAnsi="Arial"/>
          <w:sz w:val="18"/>
          <w:szCs w:val="18"/>
          <w:color w:val="auto"/>
        </w:rPr>
      </w:pPr>
    </w:p>
    <w:p>
      <w:pPr>
        <w:jc w:val="both"/>
        <w:ind w:firstLine="1304"/>
        <w:spacing w:after="0" w:line="285" w:lineRule="auto"/>
        <w:tabs>
          <w:tab w:leader="none" w:pos="155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The Issuer shall use its commercially reasonable efforts to remove the legend described in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and to issue a certificate or a book entry record without such legend to the holder of the Acquired Shares upon which it is stamped or issue to such holder by electronic delivery at the applicable balance account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if (i) such Acquired Shares are registered for resale under the Securities Act, upon the sale thereof, if such holder provides customary paperwork in a form reasonably acceptable to the Issuer to the effect that it has sold such securities pursuant to an effective registration statement under the Securities Act and the plan of distribution set forth therein, provided that the Issuer shall use its commercially reasonable efforts to cause its legal counsel to deliver the necessary legal opinions, if any, to the transfer agent in connection therewith, (ii) 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or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ind w:left="840" w:hanging="184"/>
        <w:spacing w:after="0"/>
        <w:tabs>
          <w:tab w:leader="none" w:pos="8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9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 no longer accurate in all material respects. Subscriber further acknowledges and agrees that the Placement Agent is a third-party beneficiary of the representations and warranties of the Subscriber contained in this Subscription Agreement.</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6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The Placement Agent, in its capacity as such, is entitled to rely upon the representations, warranties, agreements and covenants of the Issuer and the representations and warranties of the Subscriber in this Subscription Agreement.</w:t>
      </w:r>
    </w:p>
    <w:p>
      <w:pPr>
        <w:spacing w:after="0" w:line="186" w:lineRule="exact"/>
        <w:rPr>
          <w:rFonts w:ascii="Arial" w:cs="Arial" w:eastAsia="Arial" w:hAnsi="Arial"/>
          <w:sz w:val="18"/>
          <w:szCs w:val="18"/>
          <w:color w:val="auto"/>
        </w:rPr>
      </w:pPr>
    </w:p>
    <w:p>
      <w:pPr>
        <w:jc w:val="both"/>
        <w:ind w:firstLine="1304"/>
        <w:spacing w:after="0" w:line="290" w:lineRule="auto"/>
        <w:tabs>
          <w:tab w:leader="none" w:pos="1546"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This Subscription Agreement may not be transferred or assigned without the prior written consent of each of the other parties hereto. Notwithstanding the foregoing, this Subscription Agreement and any of Subscriber’s rights and obligations hereunder may be assigned to one or more affiliates of the Subscriber or to any fund or account managed by the same investment manager or investment advisor as Subscriber or by an affiliate of such investment manager or investor advisor, without the prior consent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assignee(s) agrees in writing to be bound by the terms hereof. Upon such assignment by a Subscriber, the assignee(s) shall become Subscriber hereunder and have the rights and obligations provided for herein to the extent of such assignment;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w:t>
      </w:r>
    </w:p>
    <w:p>
      <w:pPr>
        <w:spacing w:after="0" w:line="165" w:lineRule="exact"/>
        <w:rPr>
          <w:rFonts w:ascii="Arial" w:cs="Arial" w:eastAsia="Arial" w:hAnsi="Arial"/>
          <w:sz w:val="16"/>
          <w:szCs w:val="16"/>
          <w:color w:val="auto"/>
        </w:rPr>
      </w:pPr>
    </w:p>
    <w:p>
      <w:pPr>
        <w:ind w:firstLine="1304"/>
        <w:spacing w:after="0" w:line="308" w:lineRule="auto"/>
        <w:tabs>
          <w:tab w:leader="none" w:pos="1581"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spacing w:after="0" w:line="146" w:lineRule="exact"/>
        <w:rPr>
          <w:rFonts w:ascii="Arial" w:cs="Arial" w:eastAsia="Arial" w:hAnsi="Arial"/>
          <w:sz w:val="17"/>
          <w:szCs w:val="17"/>
          <w:color w:val="auto"/>
        </w:rPr>
      </w:pPr>
    </w:p>
    <w:p>
      <w:pPr>
        <w:jc w:val="both"/>
        <w:ind w:firstLine="1304"/>
        <w:spacing w:after="0" w:line="254" w:lineRule="auto"/>
        <w:tabs>
          <w:tab w:leader="none" w:pos="156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Issuer may request from Subscriber such additional information as the Issuer may deem reasonably necessary to evaluate the eligibility of Subscriber to acquire the Acquired Shares, and Subscriber shall 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 recipient of such additional information, the Issuer shall be allowed to convey such information to the Placement Agent and such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spacing w:after="0" w:line="194" w:lineRule="exact"/>
        <w:rPr>
          <w:rFonts w:ascii="Arial" w:cs="Arial" w:eastAsia="Arial" w:hAnsi="Arial"/>
          <w:sz w:val="18"/>
          <w:szCs w:val="18"/>
          <w:color w:val="auto"/>
        </w:rPr>
      </w:pPr>
    </w:p>
    <w:p>
      <w:pPr>
        <w:jc w:val="both"/>
        <w:ind w:firstLine="1304"/>
        <w:spacing w:after="0" w:line="263" w:lineRule="auto"/>
        <w:tabs>
          <w:tab w:leader="none" w:pos="152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ind w:firstLine="1304"/>
        <w:spacing w:after="0" w:line="308" w:lineRule="auto"/>
        <w:tabs>
          <w:tab w:leader="none" w:pos="159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spacing w:after="0" w:line="146" w:lineRule="exact"/>
        <w:rPr>
          <w:rFonts w:ascii="Arial" w:cs="Arial" w:eastAsia="Arial" w:hAnsi="Arial"/>
          <w:sz w:val="17"/>
          <w:szCs w:val="17"/>
          <w:color w:val="auto"/>
        </w:rPr>
      </w:pPr>
    </w:p>
    <w:p>
      <w:pPr>
        <w:jc w:val="both"/>
        <w:ind w:firstLine="1304"/>
        <w:spacing w:after="0" w:line="259" w:lineRule="auto"/>
        <w:tabs>
          <w:tab w:leader="none" w:pos="155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6" w:lineRule="exact"/>
        <w:rPr>
          <w:rFonts w:ascii="Arial" w:cs="Arial" w:eastAsia="Arial" w:hAnsi="Arial"/>
          <w:sz w:val="18"/>
          <w:szCs w:val="18"/>
          <w:color w:val="auto"/>
        </w:rPr>
      </w:pPr>
    </w:p>
    <w:p>
      <w:pPr>
        <w:ind w:firstLine="1304"/>
        <w:spacing w:after="0" w:line="342" w:lineRule="auto"/>
        <w:tabs>
          <w:tab w:leader="none" w:pos="151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151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Subscription Agreement may be executed in two (2) or more counterparts (including by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83" w:lineRule="exact"/>
        <w:rPr>
          <w:rFonts w:ascii="Arial" w:cs="Arial" w:eastAsia="Arial" w:hAnsi="Arial"/>
          <w:sz w:val="18"/>
          <w:szCs w:val="18"/>
          <w:color w:val="auto"/>
        </w:rPr>
      </w:pPr>
    </w:p>
    <w:p>
      <w:pPr>
        <w:ind w:firstLine="1304"/>
        <w:spacing w:after="0" w:line="277" w:lineRule="auto"/>
        <w:tabs>
          <w:tab w:leader="none" w:pos="15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party shall pay all of its own expenses in connection with this Subscription Agreement and the transactions contemplated by this Subscription Agreement.</w:t>
      </w:r>
    </w:p>
    <w:p>
      <w:pPr>
        <w:spacing w:after="0" w:line="170" w:lineRule="exact"/>
        <w:rPr>
          <w:rFonts w:ascii="Arial" w:cs="Arial" w:eastAsia="Arial" w:hAnsi="Arial"/>
          <w:sz w:val="18"/>
          <w:szCs w:val="18"/>
          <w:color w:val="auto"/>
        </w:rPr>
      </w:pPr>
    </w:p>
    <w:p>
      <w:pPr>
        <w:ind w:firstLine="1304"/>
        <w:spacing w:after="0" w:line="277" w:lineRule="auto"/>
        <w:tabs>
          <w:tab w:leader="none" w:pos="15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Issuer shall be solely responsible for the fees of the Placement Agent, Transfer Agent, the escrow agent, stamp taxes and all of DTC’s fees associated with the issuance of the Acquired Shares.</w:t>
      </w:r>
    </w:p>
    <w:p>
      <w:pPr>
        <w:spacing w:after="0" w:line="170" w:lineRule="exact"/>
        <w:rPr>
          <w:rFonts w:ascii="Arial" w:cs="Arial" w:eastAsia="Arial" w:hAnsi="Arial"/>
          <w:sz w:val="18"/>
          <w:szCs w:val="18"/>
          <w:color w:val="auto"/>
        </w:rPr>
      </w:pPr>
    </w:p>
    <w:p>
      <w:pPr>
        <w:jc w:val="both"/>
        <w:ind w:firstLine="1304"/>
        <w:spacing w:after="0" w:line="296" w:lineRule="auto"/>
        <w:tabs>
          <w:tab w:leader="none" w:pos="160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Subscriber understands and agrees that (i) no disclosure or offering document has been prepared by the Placement Agent or any of its respective affiliates in connection with the offer and sale of the Acquired Shares; (ii) the Placement Agent and its respective directors, officers, employees, representatives and controlling persons has made no independent investigation with respect to the Issuer, Target, the Transactions or the Acquired Shares or the accuracy, completeness or adequacy of any information supplied to Subscriber by the Issuer; and (iii) in connection with the issue and purchase of the Acquired Shares, the Placement Agent has not acted as the Subscriber’s financial advisor, tax or fiduciary.</w:t>
      </w:r>
    </w:p>
    <w:p>
      <w:pPr>
        <w:spacing w:after="0" w:line="161" w:lineRule="exact"/>
        <w:rPr>
          <w:rFonts w:ascii="Arial" w:cs="Arial" w:eastAsia="Arial" w:hAnsi="Arial"/>
          <w:sz w:val="16"/>
          <w:szCs w:val="16"/>
          <w:color w:val="auto"/>
        </w:rPr>
      </w:pPr>
    </w:p>
    <w:p>
      <w:pPr>
        <w:jc w:val="both"/>
        <w:ind w:firstLine="1304"/>
        <w:spacing w:after="0" w:line="273" w:lineRule="auto"/>
        <w:tabs>
          <w:tab w:leader="none" w:pos="159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 (iv) five (5) business days after the date of mailing to the address below or to such other address or addresses as such person may hereafter designate by notice given hereunder:</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Subscriber, to such address or addresses set forth on the signature page hereto;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Issuer,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CM Life Sciences,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Eli Casdin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eli@casdincapital.com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left="1960"/>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Joel Rubinstein, Matthew Kautz</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joel.rubinstein@whitecase.com; matthew.kautz@whitecase.com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a required copy to (which copy shall not constitute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Stamford, Connecticut 06902 Attention: 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legal@sema4.com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Ethan Skerry, Robert A. Freedman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eskerry@fenwick.com; rfreedman@fenwick.com</w:t>
      </w:r>
    </w:p>
    <w:p>
      <w:pPr>
        <w:spacing w:after="0" w:line="211" w:lineRule="exact"/>
        <w:rPr>
          <w:sz w:val="20"/>
          <w:szCs w:val="20"/>
          <w:color w:val="auto"/>
        </w:rPr>
      </w:pPr>
    </w:p>
    <w:p>
      <w:pPr>
        <w:jc w:val="both"/>
        <w:ind w:firstLine="1304"/>
        <w:spacing w:after="0" w:line="279" w:lineRule="auto"/>
        <w:tabs>
          <w:tab w:leader="none" w:pos="15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56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regard to the principles of conflicts of laws that would otherwise require the application of the law of any other state.</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THE PARTIES HERETO IRREVOCABLY SUBMIT TO THE EXCLUSIVE JURISDICTION OF THE COURT OF CHANCERY OF THE STATE OF DELAWARE (OR TO THE EXTENT SUCH COURT DOES NOT HAVE SUBJECT MATTER JURISDICTION, THE SUPERIOR COURT OF THE STATE OF DELAWARE), OR THE FEDERAL COURTS OF THE UNITED STATES OF AMERICA LOCATED IN THE STATE OF DELAWARE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 PROCEEDING MAY NOT BE BROUGHT OR IS NOT MAINTAINABLE IN SAID COURTS OR THAT VENUE THEREOF MAY NOT BE APPROPRIATE OR THAT THIS SUBSCRIPTION AGREEMENT MAY NOT BE ENFORCED IN OR BY SUCH COURTS, AND THE PARTIES HERETO IRREVOCABLY AGREE THAT ALL CLAIMS WITH RESPECT TO SUCH ACTION, SUIT OR PROCEEDING SHALL BE HEARD AND DETERMINED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8"/>
          <w:szCs w:val="18"/>
          <w:u w:val="single" w:color="auto"/>
          <w:color w:val="auto"/>
        </w:rPr>
        <w:t>SECTION 9(n)</w:t>
      </w:r>
      <w:r>
        <w:rPr>
          <w:rFonts w:ascii="Arial" w:cs="Arial" w:eastAsia="Arial" w:hAnsi="Arial"/>
          <w:sz w:val="18"/>
          <w:szCs w:val="18"/>
          <w:color w:val="auto"/>
        </w:rPr>
        <w:t xml:space="preserve"> OR IN SUCH OTHER MANNER AS MAY BE PERMITTED BY LAW SHALL BE VALID AND SUFFICIENT SERVICE THEREOF.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firstLine="648"/>
        <w:spacing w:after="0" w:line="253" w:lineRule="auto"/>
        <w:rPr>
          <w:sz w:val="20"/>
          <w:szCs w:val="20"/>
          <w:color w:val="auto"/>
        </w:rPr>
      </w:pPr>
      <w:r>
        <w:rPr>
          <w:rFonts w:ascii="Arial" w:cs="Arial" w:eastAsia="Arial" w:hAnsi="Arial"/>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8"/>
          <w:szCs w:val="18"/>
          <w:u w:val="single" w:color="auto"/>
          <w:color w:val="auto"/>
        </w:rPr>
        <w:t>SECTION 9(p)</w:t>
      </w:r>
    </w:p>
    <w:p>
      <w:pPr>
        <w:spacing w:after="0" w:line="192" w:lineRule="exact"/>
        <w:rPr>
          <w:sz w:val="20"/>
          <w:szCs w:val="20"/>
          <w:color w:val="auto"/>
        </w:rPr>
      </w:pPr>
    </w:p>
    <w:p>
      <w:pPr>
        <w:jc w:val="both"/>
        <w:ind w:firstLine="1304"/>
        <w:spacing w:after="0" w:line="287" w:lineRule="auto"/>
        <w:tabs>
          <w:tab w:leader="none" w:pos="155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Issuer shall, by 9:00 a.m., New York City time, on the first (1st) business day immediately following the date of this Subscription Agreement, file with the Commission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all material terms of the transactions contemplated hereby and by the Other Subscription Agreements, the Transactions and any other material, nonpublic information that the Issuer has provided to Subscriber any time prior to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 and Subscriber shall no longer be subject to any confidentiality or similar obligations under any current agreement, whether written or oral with the Issuer, the Placement Agent or any of its 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(i) in any press release or (ii) in any filing with the Commission or any regulatory agency or trading market, except as required by state or federal securities law, any governmental authority or stock exchange rule, in which case the Issuer shall provide Subscriber with prior written notice of such disclosure permitted under hereunder.</w:t>
      </w:r>
    </w:p>
    <w:p>
      <w:pPr>
        <w:spacing w:after="0" w:line="171" w:lineRule="exact"/>
        <w:rPr>
          <w:rFonts w:ascii="Arial" w:cs="Arial" w:eastAsia="Arial" w:hAnsi="Arial"/>
          <w:sz w:val="16"/>
          <w:szCs w:val="16"/>
          <w:color w:val="auto"/>
        </w:rPr>
      </w:pPr>
    </w:p>
    <w:p>
      <w:pPr>
        <w:ind w:left="1520" w:hanging="216"/>
        <w:spacing w:after="0"/>
        <w:tabs>
          <w:tab w:leader="none" w:pos="15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Each party hereto agrees for the express benefit of the Placement Agent, its respective affiliates and its respective representatives that:</w:t>
      </w:r>
    </w:p>
    <w:p>
      <w:pPr>
        <w:spacing w:after="0" w:line="248" w:lineRule="exact"/>
        <w:rPr>
          <w:rFonts w:ascii="Arial" w:cs="Arial" w:eastAsia="Arial" w:hAnsi="Arial"/>
          <w:sz w:val="16"/>
          <w:szCs w:val="16"/>
          <w:color w:val="auto"/>
        </w:rPr>
      </w:pPr>
    </w:p>
    <w:p>
      <w:pPr>
        <w:jc w:val="both"/>
        <w:ind w:firstLine="1952"/>
        <w:spacing w:after="0" w:line="289" w:lineRule="auto"/>
        <w:tabs>
          <w:tab w:leader="none" w:pos="216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neither the Placement Agent nor any of its affiliates or any of its representatives (1) has any duties or obligations other than those specifically set forth herein or in the engagement letter among the Issuer and such Placement Agent (an “</w:t>
      </w:r>
      <w:r>
        <w:rPr>
          <w:rFonts w:ascii="Arial" w:cs="Arial" w:eastAsia="Arial" w:hAnsi="Arial"/>
          <w:sz w:val="16"/>
          <w:szCs w:val="16"/>
          <w:u w:val="single" w:color="auto"/>
          <w:color w:val="auto"/>
        </w:rPr>
        <w:t>Engagement Letter</w:t>
      </w:r>
      <w:r>
        <w:rPr>
          <w:rFonts w:ascii="Arial" w:cs="Arial" w:eastAsia="Arial" w:hAnsi="Arial"/>
          <w:sz w:val="16"/>
          <w:szCs w:val="16"/>
          <w:color w:val="auto"/>
        </w:rPr>
        <w:t>”); (2) shall be liable for any improper payment made in accordance with the information provided by the Issuer; (3) makes any representation or warranty, or has any responsibilities as to the validity, accuracy, value or genuineness of any information, certificates or documentation delivered by or on behalf of the Issuer pursuant to this Subscription Agreement or the Business Combination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Business Combination Agreement or any agreement contemplated therein, or (y) for anything which any of them may do or refrain from doing in connection with this Subscription Agreement, the Business Combination Agreement or any agreement contemplated therein, except for such party’s own gross negligence, willful misconduct or bad faith;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1952"/>
        <w:spacing w:after="0" w:line="286" w:lineRule="auto"/>
        <w:tabs>
          <w:tab w:leader="none" w:pos="2227"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Placement Agent, its affiliates and its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 hereunder pursuant the indemnification provisions set forth in the Engagement Letter.</w:t>
      </w:r>
    </w:p>
    <w:p>
      <w:pPr>
        <w:spacing w:after="0" w:line="165" w:lineRule="exact"/>
        <w:rPr>
          <w:rFonts w:ascii="Arial" w:cs="Arial" w:eastAsia="Arial" w:hAnsi="Arial"/>
          <w:sz w:val="17"/>
          <w:szCs w:val="17"/>
          <w:color w:val="auto"/>
        </w:rPr>
      </w:pPr>
    </w:p>
    <w:p>
      <w:pPr>
        <w:jc w:val="both"/>
        <w:ind w:firstLine="1304"/>
        <w:spacing w:after="0" w:line="285" w:lineRule="auto"/>
        <w:tabs>
          <w:tab w:leader="none" w:pos="157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 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1304"/>
        <w:spacing w:after="0" w:line="285" w:lineRule="auto"/>
        <w:tabs>
          <w:tab w:leader="none" w:pos="152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 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 (iv) 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 any legal, accounting, regulatory or tax advice with respect to this Subscription Agreement, any of the transactions contemplated hereby or the Transactions, and the Issuer has consulted its own legal, accounting, regulatory and tax 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spacing w:after="0" w:line="176" w:lineRule="exact"/>
        <w:rPr>
          <w:rFonts w:ascii="Arial" w:cs="Arial" w:eastAsia="Arial" w:hAnsi="Arial"/>
          <w:sz w:val="16"/>
          <w:szCs w:val="16"/>
          <w:color w:val="auto"/>
        </w:rPr>
      </w:pPr>
    </w:p>
    <w:p>
      <w:pPr>
        <w:jc w:val="both"/>
        <w:ind w:firstLine="1304"/>
        <w:spacing w:after="0" w:line="291" w:lineRule="auto"/>
        <w:tabs>
          <w:tab w:leader="none" w:pos="155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66" w:lineRule="exact"/>
        <w:rPr>
          <w:rFonts w:ascii="Arial" w:cs="Arial" w:eastAsia="Arial" w:hAnsi="Arial"/>
          <w:sz w:val="16"/>
          <w:szCs w:val="16"/>
          <w:color w:val="auto"/>
        </w:rPr>
      </w:pPr>
    </w:p>
    <w:p>
      <w:pPr>
        <w:jc w:val="both"/>
        <w:ind w:firstLine="1304"/>
        <w:spacing w:after="0" w:line="257" w:lineRule="auto"/>
        <w:tabs>
          <w:tab w:leader="none" w:pos="157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9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Issuer agrees that from the date of this Subscription Agreement through the Closing, none of the terms offered to, or agreed with, any person or entity with respect to the Other Subscription Agreements is or will be more favorable to such person or entity than those of Subscriber under this Subscription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Issuer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set forth below.</w:t>
      </w:r>
    </w:p>
    <w:p>
      <w:pPr>
        <w:spacing w:after="0" w:line="16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0"/>
        </w:trPr>
        <w:tc>
          <w:tcPr>
            <w:tcW w:w="5620" w:type="dxa"/>
            <w:vAlign w:val="bottom"/>
            <w:gridSpan w:val="6"/>
          </w:tcPr>
          <w:p>
            <w:pPr>
              <w:spacing w:after="0"/>
              <w:rPr>
                <w:sz w:val="20"/>
                <w:szCs w:val="20"/>
                <w:color w:val="auto"/>
              </w:rPr>
            </w:pPr>
            <w:r>
              <w:rPr>
                <w:rFonts w:ascii="Arial" w:cs="Arial" w:eastAsia="Arial" w:hAnsi="Arial"/>
                <w:sz w:val="18"/>
                <w:szCs w:val="18"/>
                <w:color w:val="auto"/>
              </w:rPr>
              <w:t>SUBSCRIBER:</w:t>
            </w: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5620" w:type="dxa"/>
            <w:vAlign w:val="bottom"/>
            <w:gridSpan w:val="6"/>
          </w:tcPr>
          <w:p>
            <w:pPr>
              <w:spacing w:after="0"/>
              <w:rPr>
                <w:sz w:val="20"/>
                <w:szCs w:val="20"/>
                <w:color w:val="auto"/>
              </w:rPr>
            </w:pPr>
            <w:r>
              <w:rPr>
                <w:rFonts w:ascii="Arial" w:cs="Arial" w:eastAsia="Arial" w:hAnsi="Arial"/>
                <w:sz w:val="18"/>
                <w:szCs w:val="18"/>
                <w:color w:val="auto"/>
              </w:rPr>
              <w:t>Signature of Subscriber:</w:t>
            </w:r>
          </w:p>
        </w:tc>
        <w:tc>
          <w:tcPr>
            <w:tcW w:w="3460" w:type="dxa"/>
            <w:vAlign w:val="bottom"/>
            <w:gridSpan w:val="5"/>
          </w:tcPr>
          <w:p>
            <w:pPr>
              <w:spacing w:after="0"/>
              <w:rPr>
                <w:sz w:val="20"/>
                <w:szCs w:val="20"/>
                <w:color w:val="auto"/>
              </w:rPr>
            </w:pPr>
            <w:r>
              <w:rPr>
                <w:rFonts w:ascii="Arial" w:cs="Arial" w:eastAsia="Arial" w:hAnsi="Arial"/>
                <w:sz w:val="18"/>
                <w:szCs w:val="18"/>
                <w:color w:val="auto"/>
              </w:rPr>
              <w:t>Signature of Joint Subscriber, if applicable:</w:t>
            </w:r>
          </w:p>
        </w:tc>
      </w:tr>
      <w:tr>
        <w:trPr>
          <w:trHeight w:val="634"/>
        </w:trPr>
        <w:tc>
          <w:tcPr>
            <w:tcW w:w="5620" w:type="dxa"/>
            <w:vAlign w:val="bottom"/>
            <w:gridSpan w:val="6"/>
          </w:tcPr>
          <w:p>
            <w:pPr>
              <w:spacing w:after="0"/>
              <w:rPr>
                <w:sz w:val="20"/>
                <w:szCs w:val="20"/>
                <w:color w:val="auto"/>
              </w:rPr>
            </w:pPr>
            <w:r>
              <w:rPr>
                <w:rFonts w:ascii="Arial" w:cs="Arial" w:eastAsia="Arial" w:hAnsi="Arial"/>
                <w:sz w:val="18"/>
                <w:szCs w:val="18"/>
                <w:color w:val="auto"/>
              </w:rPr>
              <w:t>By: ___________________________________</w:t>
            </w:r>
          </w:p>
        </w:tc>
        <w:tc>
          <w:tcPr>
            <w:tcW w:w="3460" w:type="dxa"/>
            <w:vAlign w:val="bottom"/>
            <w:gridSpan w:val="5"/>
          </w:tcPr>
          <w:p>
            <w:pPr>
              <w:spacing w:after="0"/>
              <w:rPr>
                <w:sz w:val="20"/>
                <w:szCs w:val="20"/>
                <w:color w:val="auto"/>
              </w:rPr>
            </w:pPr>
            <w:r>
              <w:rPr>
                <w:rFonts w:ascii="Arial" w:cs="Arial" w:eastAsia="Arial" w:hAnsi="Arial"/>
                <w:sz w:val="18"/>
                <w:szCs w:val="18"/>
                <w:color w:val="auto"/>
                <w:w w:val="90"/>
              </w:rPr>
              <w:t>By: ___________________________________</w:t>
            </w:r>
          </w:p>
        </w:tc>
      </w:tr>
      <w:tr>
        <w:trPr>
          <w:trHeight w:val="216"/>
        </w:trPr>
        <w:tc>
          <w:tcPr>
            <w:tcW w:w="5620" w:type="dxa"/>
            <w:vAlign w:val="bottom"/>
            <w:gridSpan w:val="6"/>
          </w:tcPr>
          <w:p>
            <w:pPr>
              <w:spacing w:after="0"/>
              <w:rPr>
                <w:sz w:val="20"/>
                <w:szCs w:val="20"/>
                <w:color w:val="auto"/>
              </w:rPr>
            </w:pPr>
            <w:r>
              <w:rPr>
                <w:rFonts w:ascii="Arial" w:cs="Arial" w:eastAsia="Arial" w:hAnsi="Arial"/>
                <w:sz w:val="18"/>
                <w:szCs w:val="18"/>
                <w:color w:val="auto"/>
              </w:rPr>
              <w:t>Name:</w:t>
            </w:r>
          </w:p>
        </w:tc>
        <w:tc>
          <w:tcPr>
            <w:tcW w:w="3460" w:type="dxa"/>
            <w:vAlign w:val="bottom"/>
            <w:gridSpan w:val="5"/>
          </w:tcPr>
          <w:p>
            <w:pPr>
              <w:spacing w:after="0"/>
              <w:rPr>
                <w:sz w:val="20"/>
                <w:szCs w:val="20"/>
                <w:color w:val="auto"/>
              </w:rPr>
            </w:pPr>
            <w:r>
              <w:rPr>
                <w:rFonts w:ascii="Arial" w:cs="Arial" w:eastAsia="Arial" w:hAnsi="Arial"/>
                <w:sz w:val="18"/>
                <w:szCs w:val="18"/>
                <w:color w:val="auto"/>
              </w:rPr>
              <w:t>Name:</w:t>
            </w:r>
          </w:p>
        </w:tc>
      </w:tr>
      <w:tr>
        <w:trPr>
          <w:trHeight w:val="230"/>
        </w:trPr>
        <w:tc>
          <w:tcPr>
            <w:tcW w:w="5620" w:type="dxa"/>
            <w:vAlign w:val="bottom"/>
            <w:gridSpan w:val="6"/>
          </w:tcPr>
          <w:p>
            <w:pPr>
              <w:spacing w:after="0"/>
              <w:rPr>
                <w:sz w:val="20"/>
                <w:szCs w:val="20"/>
                <w:color w:val="auto"/>
              </w:rPr>
            </w:pPr>
            <w:r>
              <w:rPr>
                <w:rFonts w:ascii="Arial" w:cs="Arial" w:eastAsia="Arial" w:hAnsi="Arial"/>
                <w:sz w:val="18"/>
                <w:szCs w:val="18"/>
                <w:color w:val="auto"/>
              </w:rPr>
              <w:t>Title:</w:t>
            </w:r>
          </w:p>
        </w:tc>
        <w:tc>
          <w:tcPr>
            <w:tcW w:w="3460" w:type="dxa"/>
            <w:vAlign w:val="bottom"/>
            <w:gridSpan w:val="5"/>
          </w:tcPr>
          <w:p>
            <w:pPr>
              <w:spacing w:after="0"/>
              <w:rPr>
                <w:sz w:val="20"/>
                <w:szCs w:val="20"/>
                <w:color w:val="auto"/>
              </w:rPr>
            </w:pPr>
            <w:r>
              <w:rPr>
                <w:rFonts w:ascii="Arial" w:cs="Arial" w:eastAsia="Arial" w:hAnsi="Arial"/>
                <w:sz w:val="18"/>
                <w:szCs w:val="18"/>
                <w:color w:val="auto"/>
              </w:rPr>
              <w:t>Title:</w:t>
            </w:r>
          </w:p>
        </w:tc>
      </w:tr>
      <w:tr>
        <w:trPr>
          <w:trHeight w:val="432"/>
        </w:trPr>
        <w:tc>
          <w:tcPr>
            <w:tcW w:w="5620" w:type="dxa"/>
            <w:vAlign w:val="bottom"/>
            <w:gridSpan w:val="6"/>
          </w:tcPr>
          <w:p>
            <w:pPr>
              <w:spacing w:after="0"/>
              <w:rPr>
                <w:sz w:val="20"/>
                <w:szCs w:val="20"/>
                <w:color w:val="auto"/>
              </w:rPr>
            </w:pPr>
            <w:r>
              <w:rPr>
                <w:rFonts w:ascii="Arial" w:cs="Arial" w:eastAsia="Arial" w:hAnsi="Arial"/>
                <w:sz w:val="18"/>
                <w:szCs w:val="18"/>
                <w:color w:val="auto"/>
              </w:rPr>
              <w:t>Date: [●], 2021</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620" w:type="dxa"/>
            <w:vAlign w:val="bottom"/>
            <w:gridSpan w:val="6"/>
          </w:tcPr>
          <w:p>
            <w:pPr>
              <w:spacing w:after="0"/>
              <w:rPr>
                <w:sz w:val="20"/>
                <w:szCs w:val="20"/>
                <w:color w:val="auto"/>
              </w:rPr>
            </w:pPr>
            <w:r>
              <w:rPr>
                <w:rFonts w:ascii="Arial" w:cs="Arial" w:eastAsia="Arial" w:hAnsi="Arial"/>
                <w:sz w:val="18"/>
                <w:szCs w:val="18"/>
                <w:color w:val="auto"/>
              </w:rPr>
              <w:t>Name of Subscriber:</w:t>
            </w:r>
          </w:p>
        </w:tc>
        <w:tc>
          <w:tcPr>
            <w:tcW w:w="3460" w:type="dxa"/>
            <w:vAlign w:val="bottom"/>
            <w:gridSpan w:val="5"/>
          </w:tcPr>
          <w:p>
            <w:pPr>
              <w:spacing w:after="0"/>
              <w:rPr>
                <w:sz w:val="20"/>
                <w:szCs w:val="20"/>
                <w:color w:val="auto"/>
              </w:rPr>
            </w:pPr>
            <w:r>
              <w:rPr>
                <w:rFonts w:ascii="Arial" w:cs="Arial" w:eastAsia="Arial" w:hAnsi="Arial"/>
                <w:sz w:val="18"/>
                <w:szCs w:val="18"/>
                <w:color w:val="auto"/>
              </w:rPr>
              <w:t>Name of Joint Subscriber, if applicable:</w:t>
            </w:r>
          </w:p>
        </w:tc>
      </w:tr>
      <w:tr>
        <w:trPr>
          <w:trHeight w:val="392"/>
        </w:trPr>
        <w:tc>
          <w:tcPr>
            <w:tcW w:w="31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___________________________________</w:t>
            </w:r>
          </w:p>
        </w:tc>
        <w:tc>
          <w:tcPr>
            <w:tcW w:w="2460" w:type="dxa"/>
            <w:vAlign w:val="bottom"/>
          </w:tcPr>
          <w:p>
            <w:pPr>
              <w:spacing w:after="0"/>
              <w:rPr>
                <w:sz w:val="24"/>
                <w:szCs w:val="24"/>
                <w:color w:val="auto"/>
              </w:rPr>
            </w:pPr>
          </w:p>
        </w:tc>
        <w:tc>
          <w:tcPr>
            <w:tcW w:w="3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___________________________________</w:t>
            </w:r>
          </w:p>
        </w:tc>
        <w:tc>
          <w:tcPr>
            <w:tcW w:w="300" w:type="dxa"/>
            <w:vAlign w:val="bottom"/>
          </w:tcPr>
          <w:p>
            <w:pPr>
              <w:spacing w:after="0"/>
              <w:rPr>
                <w:sz w:val="24"/>
                <w:szCs w:val="24"/>
                <w:color w:val="auto"/>
              </w:rPr>
            </w:pPr>
          </w:p>
        </w:tc>
      </w:tr>
      <w:tr>
        <w:trPr>
          <w:trHeight w:val="222"/>
        </w:trPr>
        <w:tc>
          <w:tcPr>
            <w:tcW w:w="5620" w:type="dxa"/>
            <w:vAlign w:val="bottom"/>
            <w:gridSpan w:val="6"/>
          </w:tcPr>
          <w:p>
            <w:pPr>
              <w:spacing w:after="0"/>
              <w:rPr>
                <w:sz w:val="20"/>
                <w:szCs w:val="20"/>
                <w:color w:val="auto"/>
              </w:rPr>
            </w:pPr>
            <w:r>
              <w:rPr>
                <w:rFonts w:ascii="Arial" w:cs="Arial" w:eastAsia="Arial" w:hAnsi="Arial"/>
                <w:sz w:val="18"/>
                <w:szCs w:val="18"/>
                <w:color w:val="auto"/>
              </w:rPr>
              <w:t>(Please print. Please indicate name and</w:t>
            </w:r>
          </w:p>
        </w:tc>
        <w:tc>
          <w:tcPr>
            <w:tcW w:w="3460" w:type="dxa"/>
            <w:vAlign w:val="bottom"/>
            <w:gridSpan w:val="5"/>
          </w:tcPr>
          <w:p>
            <w:pPr>
              <w:spacing w:after="0"/>
              <w:rPr>
                <w:sz w:val="20"/>
                <w:szCs w:val="20"/>
                <w:color w:val="auto"/>
              </w:rPr>
            </w:pPr>
            <w:r>
              <w:rPr>
                <w:rFonts w:ascii="Arial" w:cs="Arial" w:eastAsia="Arial" w:hAnsi="Arial"/>
                <w:sz w:val="18"/>
                <w:szCs w:val="18"/>
                <w:color w:val="auto"/>
              </w:rPr>
              <w:t>(Please print. Please indicate name and</w:t>
            </w:r>
          </w:p>
        </w:tc>
      </w:tr>
      <w:tr>
        <w:trPr>
          <w:trHeight w:val="230"/>
        </w:trPr>
        <w:tc>
          <w:tcPr>
            <w:tcW w:w="5620" w:type="dxa"/>
            <w:vAlign w:val="bottom"/>
            <w:gridSpan w:val="6"/>
          </w:tcPr>
          <w:p>
            <w:pPr>
              <w:spacing w:after="0"/>
              <w:rPr>
                <w:sz w:val="20"/>
                <w:szCs w:val="20"/>
                <w:color w:val="auto"/>
              </w:rPr>
            </w:pPr>
            <w:r>
              <w:rPr>
                <w:rFonts w:ascii="Arial" w:cs="Arial" w:eastAsia="Arial" w:hAnsi="Arial"/>
                <w:sz w:val="18"/>
                <w:szCs w:val="18"/>
                <w:color w:val="auto"/>
              </w:rPr>
              <w:t>capacity of person signing above)</w:t>
            </w:r>
          </w:p>
        </w:tc>
        <w:tc>
          <w:tcPr>
            <w:tcW w:w="3460" w:type="dxa"/>
            <w:vAlign w:val="bottom"/>
            <w:gridSpan w:val="5"/>
          </w:tcPr>
          <w:p>
            <w:pPr>
              <w:spacing w:after="0"/>
              <w:rPr>
                <w:sz w:val="20"/>
                <w:szCs w:val="20"/>
                <w:color w:val="auto"/>
              </w:rPr>
            </w:pPr>
            <w:r>
              <w:rPr>
                <w:rFonts w:ascii="Arial" w:cs="Arial" w:eastAsia="Arial" w:hAnsi="Arial"/>
                <w:sz w:val="18"/>
                <w:szCs w:val="18"/>
                <w:color w:val="auto"/>
              </w:rPr>
              <w:t>capacity of person signing above)</w:t>
            </w:r>
          </w:p>
        </w:tc>
      </w:tr>
      <w:tr>
        <w:trPr>
          <w:trHeight w:val="391"/>
        </w:trPr>
        <w:tc>
          <w:tcPr>
            <w:tcW w:w="31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___________________________________</w:t>
            </w:r>
          </w:p>
        </w:tc>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2"/>
        </w:trPr>
        <w:tc>
          <w:tcPr>
            <w:tcW w:w="5620" w:type="dxa"/>
            <w:vAlign w:val="bottom"/>
            <w:gridSpan w:val="6"/>
          </w:tcPr>
          <w:p>
            <w:pPr>
              <w:spacing w:after="0"/>
              <w:rPr>
                <w:sz w:val="20"/>
                <w:szCs w:val="20"/>
                <w:color w:val="auto"/>
              </w:rPr>
            </w:pPr>
            <w:r>
              <w:rPr>
                <w:rFonts w:ascii="Arial" w:cs="Arial" w:eastAsia="Arial" w:hAnsi="Arial"/>
                <w:sz w:val="18"/>
                <w:szCs w:val="18"/>
                <w:color w:val="auto"/>
              </w:rPr>
              <w:t>Name in which securities are to be registered</w:t>
            </w:r>
          </w:p>
        </w:tc>
        <w:tc>
          <w:tcPr>
            <w:tcW w:w="1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620" w:type="dxa"/>
            <w:vAlign w:val="bottom"/>
            <w:gridSpan w:val="6"/>
          </w:tcPr>
          <w:p>
            <w:pPr>
              <w:spacing w:after="0"/>
              <w:rPr>
                <w:sz w:val="20"/>
                <w:szCs w:val="20"/>
                <w:color w:val="auto"/>
              </w:rPr>
            </w:pPr>
            <w:r>
              <w:rPr>
                <w:rFonts w:ascii="Arial" w:cs="Arial" w:eastAsia="Arial" w:hAnsi="Arial"/>
                <w:sz w:val="18"/>
                <w:szCs w:val="18"/>
                <w:color w:val="auto"/>
              </w:rPr>
              <w:t>(if different)</w:t>
            </w: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5620" w:type="dxa"/>
            <w:vAlign w:val="bottom"/>
            <w:gridSpan w:val="6"/>
          </w:tcPr>
          <w:p>
            <w:pPr>
              <w:spacing w:after="0"/>
              <w:rPr>
                <w:sz w:val="20"/>
                <w:szCs w:val="20"/>
                <w:color w:val="auto"/>
              </w:rPr>
            </w:pPr>
            <w:r>
              <w:rPr>
                <w:rFonts w:ascii="Arial" w:cs="Arial" w:eastAsia="Arial" w:hAnsi="Arial"/>
                <w:sz w:val="18"/>
                <w:szCs w:val="18"/>
                <w:color w:val="auto"/>
              </w:rPr>
              <w:t>Email Address:</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620" w:type="dxa"/>
            <w:vAlign w:val="bottom"/>
            <w:gridSpan w:val="6"/>
          </w:tcPr>
          <w:p>
            <w:pPr>
              <w:spacing w:after="0"/>
              <w:rPr>
                <w:sz w:val="20"/>
                <w:szCs w:val="20"/>
                <w:color w:val="auto"/>
              </w:rPr>
            </w:pPr>
            <w:r>
              <w:rPr>
                <w:rFonts w:ascii="Arial" w:cs="Arial" w:eastAsia="Arial" w:hAnsi="Arial"/>
                <w:sz w:val="18"/>
                <w:szCs w:val="18"/>
                <w:color w:val="auto"/>
              </w:rPr>
              <w:t>If there are joint investors, please check one:</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2"/>
        </w:trPr>
        <w:tc>
          <w:tcPr>
            <w:tcW w:w="5620" w:type="dxa"/>
            <w:vAlign w:val="bottom"/>
            <w:gridSpan w:val="6"/>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Joint Tenants with Rights of Survivorship</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620" w:type="dxa"/>
            <w:vAlign w:val="bottom"/>
            <w:gridSpan w:val="6"/>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Tenants-in-Common</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620" w:type="dxa"/>
            <w:vAlign w:val="bottom"/>
            <w:gridSpan w:val="6"/>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Community Property</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1"/>
        </w:trPr>
        <w:tc>
          <w:tcPr>
            <w:tcW w:w="5620" w:type="dxa"/>
            <w:vAlign w:val="bottom"/>
            <w:gridSpan w:val="6"/>
          </w:tcPr>
          <w:p>
            <w:pPr>
              <w:spacing w:after="0"/>
              <w:rPr>
                <w:sz w:val="20"/>
                <w:szCs w:val="20"/>
                <w:color w:val="auto"/>
              </w:rPr>
            </w:pPr>
            <w:r>
              <w:rPr>
                <w:rFonts w:ascii="Arial" w:cs="Arial" w:eastAsia="Arial" w:hAnsi="Arial"/>
                <w:sz w:val="18"/>
                <w:szCs w:val="18"/>
                <w:color w:val="auto"/>
              </w:rPr>
              <w:t>Subscriber’s EIN: _______________</w:t>
            </w:r>
          </w:p>
        </w:tc>
        <w:tc>
          <w:tcPr>
            <w:tcW w:w="3460" w:type="dxa"/>
            <w:vAlign w:val="bottom"/>
            <w:gridSpan w:val="5"/>
          </w:tcPr>
          <w:p>
            <w:pPr>
              <w:spacing w:after="0"/>
              <w:rPr>
                <w:sz w:val="20"/>
                <w:szCs w:val="20"/>
                <w:color w:val="auto"/>
              </w:rPr>
            </w:pPr>
            <w:r>
              <w:rPr>
                <w:rFonts w:ascii="Arial" w:cs="Arial" w:eastAsia="Arial" w:hAnsi="Arial"/>
                <w:sz w:val="18"/>
                <w:szCs w:val="18"/>
                <w:color w:val="auto"/>
              </w:rPr>
              <w:t>Joint Subscriber’s EIN:</w:t>
            </w: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________________________________</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7"/>
        </w:trPr>
        <w:tc>
          <w:tcPr>
            <w:tcW w:w="5620" w:type="dxa"/>
            <w:vAlign w:val="bottom"/>
            <w:gridSpan w:val="6"/>
          </w:tcPr>
          <w:p>
            <w:pPr>
              <w:spacing w:after="0"/>
              <w:rPr>
                <w:sz w:val="20"/>
                <w:szCs w:val="20"/>
                <w:color w:val="auto"/>
              </w:rPr>
            </w:pPr>
            <w:r>
              <w:rPr>
                <w:rFonts w:ascii="Arial" w:cs="Arial" w:eastAsia="Arial" w:hAnsi="Arial"/>
                <w:sz w:val="18"/>
                <w:szCs w:val="18"/>
                <w:color w:val="auto"/>
              </w:rPr>
              <w:t>Business Address-Street:</w:t>
            </w:r>
          </w:p>
        </w:tc>
        <w:tc>
          <w:tcPr>
            <w:tcW w:w="3460" w:type="dxa"/>
            <w:vAlign w:val="bottom"/>
            <w:gridSpan w:val="5"/>
          </w:tcPr>
          <w:p>
            <w:pPr>
              <w:spacing w:after="0"/>
              <w:rPr>
                <w:sz w:val="20"/>
                <w:szCs w:val="20"/>
                <w:color w:val="auto"/>
              </w:rPr>
            </w:pPr>
            <w:r>
              <w:rPr>
                <w:rFonts w:ascii="Arial" w:cs="Arial" w:eastAsia="Arial" w:hAnsi="Arial"/>
                <w:sz w:val="18"/>
                <w:szCs w:val="18"/>
                <w:color w:val="auto"/>
              </w:rPr>
              <w:t>Mailing Address-Street (if different):</w:t>
            </w:r>
          </w:p>
        </w:tc>
      </w:tr>
      <w:tr>
        <w:trPr>
          <w:trHeight w:val="432"/>
        </w:trPr>
        <w:tc>
          <w:tcPr>
            <w:tcW w:w="3160" w:type="dxa"/>
            <w:vAlign w:val="bottom"/>
            <w:gridSpan w:val="5"/>
          </w:tcPr>
          <w:p>
            <w:pPr>
              <w:spacing w:after="0"/>
              <w:rPr>
                <w:sz w:val="20"/>
                <w:szCs w:val="20"/>
                <w:color w:val="auto"/>
              </w:rPr>
            </w:pPr>
            <w:r>
              <w:rPr>
                <w:rFonts w:ascii="Arial" w:cs="Arial" w:eastAsia="Arial" w:hAnsi="Arial"/>
                <w:sz w:val="18"/>
                <w:szCs w:val="18"/>
                <w:color w:val="auto"/>
                <w:w w:val="89"/>
              </w:rPr>
              <w:t>___________________________________</w:t>
            </w:r>
          </w:p>
        </w:tc>
        <w:tc>
          <w:tcPr>
            <w:tcW w:w="2460" w:type="dxa"/>
            <w:vAlign w:val="bottom"/>
          </w:tcPr>
          <w:p>
            <w:pPr>
              <w:spacing w:after="0"/>
              <w:rPr>
                <w:sz w:val="24"/>
                <w:szCs w:val="24"/>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w w:val="98"/>
              </w:rPr>
              <w:t>___________________________________</w:t>
            </w:r>
          </w:p>
        </w:tc>
      </w:tr>
      <w:tr>
        <w:trPr>
          <w:trHeight w:val="418"/>
        </w:trPr>
        <w:tc>
          <w:tcPr>
            <w:tcW w:w="3160" w:type="dxa"/>
            <w:vAlign w:val="bottom"/>
            <w:gridSpan w:val="5"/>
          </w:tcPr>
          <w:p>
            <w:pPr>
              <w:spacing w:after="0"/>
              <w:rPr>
                <w:sz w:val="20"/>
                <w:szCs w:val="20"/>
                <w:color w:val="auto"/>
              </w:rPr>
            </w:pPr>
            <w:r>
              <w:rPr>
                <w:rFonts w:ascii="Arial" w:cs="Arial" w:eastAsia="Arial" w:hAnsi="Arial"/>
                <w:sz w:val="18"/>
                <w:szCs w:val="18"/>
                <w:color w:val="auto"/>
                <w:w w:val="89"/>
              </w:rPr>
              <w:t>___________________________________</w:t>
            </w:r>
          </w:p>
        </w:tc>
        <w:tc>
          <w:tcPr>
            <w:tcW w:w="2460" w:type="dxa"/>
            <w:vAlign w:val="bottom"/>
          </w:tcPr>
          <w:p>
            <w:pPr>
              <w:spacing w:after="0"/>
              <w:rPr>
                <w:sz w:val="24"/>
                <w:szCs w:val="24"/>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w w:val="98"/>
              </w:rPr>
              <w:t>___________________________________</w:t>
            </w:r>
          </w:p>
        </w:tc>
      </w:tr>
      <w:tr>
        <w:trPr>
          <w:trHeight w:val="230"/>
        </w:trPr>
        <w:tc>
          <w:tcPr>
            <w:tcW w:w="5620" w:type="dxa"/>
            <w:vAlign w:val="bottom"/>
            <w:gridSpan w:val="6"/>
          </w:tcPr>
          <w:p>
            <w:pPr>
              <w:spacing w:after="0"/>
              <w:rPr>
                <w:sz w:val="20"/>
                <w:szCs w:val="20"/>
                <w:color w:val="auto"/>
              </w:rPr>
            </w:pPr>
            <w:r>
              <w:rPr>
                <w:rFonts w:ascii="Arial" w:cs="Arial" w:eastAsia="Arial" w:hAnsi="Arial"/>
                <w:sz w:val="18"/>
                <w:szCs w:val="18"/>
                <w:color w:val="auto"/>
              </w:rPr>
              <w:t>City, State, Zip:</w:t>
            </w:r>
          </w:p>
        </w:tc>
        <w:tc>
          <w:tcPr>
            <w:tcW w:w="3460" w:type="dxa"/>
            <w:vAlign w:val="bottom"/>
            <w:gridSpan w:val="5"/>
          </w:tcPr>
          <w:p>
            <w:pPr>
              <w:spacing w:after="0"/>
              <w:rPr>
                <w:sz w:val="20"/>
                <w:szCs w:val="20"/>
                <w:color w:val="auto"/>
              </w:rPr>
            </w:pPr>
            <w:r>
              <w:rPr>
                <w:rFonts w:ascii="Arial" w:cs="Arial" w:eastAsia="Arial" w:hAnsi="Arial"/>
                <w:sz w:val="18"/>
                <w:szCs w:val="18"/>
                <w:color w:val="auto"/>
              </w:rPr>
              <w:t>City, State, Zip:</w:t>
            </w:r>
          </w:p>
        </w:tc>
      </w:tr>
      <w:tr>
        <w:trPr>
          <w:trHeight w:val="432"/>
        </w:trPr>
        <w:tc>
          <w:tcPr>
            <w:tcW w:w="5620" w:type="dxa"/>
            <w:vAlign w:val="bottom"/>
            <w:gridSpan w:val="6"/>
          </w:tcPr>
          <w:p>
            <w:pPr>
              <w:spacing w:after="0"/>
              <w:rPr>
                <w:sz w:val="20"/>
                <w:szCs w:val="20"/>
                <w:color w:val="auto"/>
              </w:rPr>
            </w:pPr>
            <w:r>
              <w:rPr>
                <w:rFonts w:ascii="Arial" w:cs="Arial" w:eastAsia="Arial" w:hAnsi="Arial"/>
                <w:sz w:val="18"/>
                <w:szCs w:val="18"/>
                <w:color w:val="auto"/>
              </w:rPr>
              <w:t>Attn:</w:t>
            </w:r>
          </w:p>
        </w:tc>
        <w:tc>
          <w:tcPr>
            <w:tcW w:w="3460" w:type="dxa"/>
            <w:vAlign w:val="bottom"/>
            <w:gridSpan w:val="5"/>
          </w:tcPr>
          <w:p>
            <w:pPr>
              <w:spacing w:after="0"/>
              <w:rPr>
                <w:sz w:val="20"/>
                <w:szCs w:val="20"/>
                <w:color w:val="auto"/>
              </w:rPr>
            </w:pPr>
            <w:r>
              <w:rPr>
                <w:rFonts w:ascii="Arial" w:cs="Arial" w:eastAsia="Arial" w:hAnsi="Arial"/>
                <w:sz w:val="18"/>
                <w:szCs w:val="18"/>
                <w:color w:val="auto"/>
              </w:rPr>
              <w:t>Attn:</w:t>
            </w:r>
          </w:p>
        </w:tc>
      </w:tr>
      <w:tr>
        <w:trPr>
          <w:trHeight w:val="391"/>
        </w:trPr>
        <w:tc>
          <w:tcPr>
            <w:tcW w:w="5620" w:type="dxa"/>
            <w:vAlign w:val="bottom"/>
            <w:gridSpan w:val="6"/>
          </w:tcPr>
          <w:p>
            <w:pPr>
              <w:spacing w:after="0"/>
              <w:rPr>
                <w:sz w:val="20"/>
                <w:szCs w:val="20"/>
                <w:color w:val="auto"/>
              </w:rPr>
            </w:pPr>
            <w:r>
              <w:rPr>
                <w:rFonts w:ascii="Arial" w:cs="Arial" w:eastAsia="Arial" w:hAnsi="Arial"/>
                <w:sz w:val="18"/>
                <w:szCs w:val="18"/>
                <w:color w:val="auto"/>
              </w:rPr>
              <w:t>Telephone No.: ___________________</w:t>
            </w:r>
          </w:p>
        </w:tc>
        <w:tc>
          <w:tcPr>
            <w:tcW w:w="3460" w:type="dxa"/>
            <w:vAlign w:val="bottom"/>
            <w:gridSpan w:val="5"/>
          </w:tcPr>
          <w:p>
            <w:pPr>
              <w:spacing w:after="0"/>
              <w:rPr>
                <w:sz w:val="20"/>
                <w:szCs w:val="20"/>
                <w:color w:val="auto"/>
              </w:rPr>
            </w:pPr>
            <w:r>
              <w:rPr>
                <w:rFonts w:ascii="Arial" w:cs="Arial" w:eastAsia="Arial" w:hAnsi="Arial"/>
                <w:sz w:val="18"/>
                <w:szCs w:val="18"/>
                <w:color w:val="auto"/>
              </w:rPr>
              <w:t>Telephone No.: ___________________</w:t>
            </w:r>
          </w:p>
        </w:tc>
      </w:tr>
      <w:tr>
        <w:trPr>
          <w:trHeight w:val="20"/>
        </w:trPr>
        <w:tc>
          <w:tcPr>
            <w:tcW w:w="1160" w:type="dxa"/>
            <w:vAlign w:val="bottom"/>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453"/>
        </w:trPr>
        <w:tc>
          <w:tcPr>
            <w:tcW w:w="5620" w:type="dxa"/>
            <w:vAlign w:val="bottom"/>
            <w:gridSpan w:val="6"/>
          </w:tcPr>
          <w:p>
            <w:pPr>
              <w:spacing w:after="0"/>
              <w:rPr>
                <w:sz w:val="20"/>
                <w:szCs w:val="20"/>
                <w:color w:val="auto"/>
              </w:rPr>
            </w:pPr>
            <w:r>
              <w:rPr>
                <w:rFonts w:ascii="Arial" w:cs="Arial" w:eastAsia="Arial" w:hAnsi="Arial"/>
                <w:sz w:val="18"/>
                <w:szCs w:val="18"/>
                <w:color w:val="auto"/>
              </w:rPr>
              <w:t>Facsimile No.: ____________________</w:t>
            </w:r>
          </w:p>
        </w:tc>
        <w:tc>
          <w:tcPr>
            <w:tcW w:w="3460" w:type="dxa"/>
            <w:vAlign w:val="bottom"/>
            <w:gridSpan w:val="5"/>
          </w:tcPr>
          <w:p>
            <w:pPr>
              <w:spacing w:after="0"/>
              <w:rPr>
                <w:sz w:val="20"/>
                <w:szCs w:val="20"/>
                <w:color w:val="auto"/>
              </w:rPr>
            </w:pPr>
            <w:r>
              <w:rPr>
                <w:rFonts w:ascii="Arial" w:cs="Arial" w:eastAsia="Arial" w:hAnsi="Arial"/>
                <w:sz w:val="18"/>
                <w:szCs w:val="18"/>
                <w:color w:val="auto"/>
              </w:rPr>
              <w:t>Facsimile No.: ____________________</w:t>
            </w:r>
          </w:p>
        </w:tc>
      </w:tr>
      <w:tr>
        <w:trPr>
          <w:trHeight w:val="418"/>
        </w:trPr>
        <w:tc>
          <w:tcPr>
            <w:tcW w:w="5620" w:type="dxa"/>
            <w:vAlign w:val="bottom"/>
            <w:gridSpan w:val="6"/>
          </w:tcPr>
          <w:p>
            <w:pPr>
              <w:spacing w:after="0"/>
              <w:rPr>
                <w:sz w:val="20"/>
                <w:szCs w:val="20"/>
                <w:color w:val="auto"/>
              </w:rPr>
            </w:pPr>
            <w:r>
              <w:rPr>
                <w:rFonts w:ascii="Arial" w:cs="Arial" w:eastAsia="Arial" w:hAnsi="Arial"/>
                <w:sz w:val="18"/>
                <w:szCs w:val="18"/>
                <w:color w:val="auto"/>
              </w:rPr>
              <w:t>Aggregate Number of Acquired Shares subscribed for:</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_________________</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5620" w:type="dxa"/>
            <w:vAlign w:val="bottom"/>
            <w:gridSpan w:val="6"/>
          </w:tcPr>
          <w:p>
            <w:pPr>
              <w:spacing w:after="0"/>
              <w:rPr>
                <w:sz w:val="20"/>
                <w:szCs w:val="20"/>
                <w:color w:val="auto"/>
              </w:rPr>
            </w:pPr>
            <w:r>
              <w:rPr>
                <w:rFonts w:ascii="Arial" w:cs="Arial" w:eastAsia="Arial" w:hAnsi="Arial"/>
                <w:sz w:val="18"/>
                <w:szCs w:val="18"/>
                <w:color w:val="auto"/>
              </w:rPr>
              <w:t>Aggregate Purchase Price: $_______________</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specified by the Issuer in the Closing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Number of Acquired Shares subscribed for and aggregate Purchase Price accepted and agreed to as of this [●] day of [________], 2021,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11" w:lineRule="exact"/>
        <w:rPr>
          <w:sz w:val="20"/>
          <w:szCs w:val="20"/>
          <w:color w:val="auto"/>
        </w:rPr>
      </w:pPr>
    </w:p>
    <w:p>
      <w:pPr>
        <w:ind w:left="460" w:right="7060" w:hanging="452"/>
        <w:spacing w:after="0" w:line="308" w:lineRule="auto"/>
        <w:tabs>
          <w:tab w:leader="none" w:pos="4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13" w:lineRule="exact"/>
        <w:rPr>
          <w:rFonts w:ascii="Arial" w:cs="Arial" w:eastAsia="Arial" w:hAnsi="Arial"/>
          <w:sz w:val="17"/>
          <w:szCs w:val="17"/>
          <w:color w:val="auto"/>
        </w:rPr>
      </w:pPr>
    </w:p>
    <w:p>
      <w:pPr>
        <w:ind w:left="900" w:hanging="447"/>
        <w:spacing w:after="0" w:line="207" w:lineRule="exact"/>
        <w:tabs>
          <w:tab w:leader="none" w:pos="900" w:val="left"/>
        </w:tabs>
        <w:numPr>
          <w:ilvl w:val="1"/>
          <w:numId w:val="1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225" w:lineRule="exact"/>
        <w:rPr>
          <w:rFonts w:ascii="Arial" w:cs="Arial" w:eastAsia="Arial" w:hAnsi="Arial"/>
          <w:sz w:val="18"/>
          <w:szCs w:val="18"/>
          <w:color w:val="auto"/>
        </w:rPr>
      </w:pPr>
    </w:p>
    <w:p>
      <w:pPr>
        <w:ind w:left="900" w:hanging="447"/>
        <w:spacing w:after="0" w:line="239" w:lineRule="exact"/>
        <w:tabs>
          <w:tab w:leader="none" w:pos="900" w:val="left"/>
        </w:tabs>
        <w:numPr>
          <w:ilvl w:val="1"/>
          <w:numId w:val="1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subscribing for the Acquired Shares as a fiduciary or agent for one or more investor accounts, and each owner of such account is a QIB.</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25" w:lineRule="exact"/>
        <w:rPr>
          <w:sz w:val="20"/>
          <w:szCs w:val="20"/>
          <w:color w:val="auto"/>
        </w:rPr>
      </w:pPr>
    </w:p>
    <w:p>
      <w:pPr>
        <w:ind w:left="460" w:right="6620" w:hanging="452"/>
        <w:spacing w:after="0" w:line="308" w:lineRule="auto"/>
        <w:tabs>
          <w:tab w:leader="none" w:pos="4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each of the following subparagraphs):</w:t>
      </w:r>
    </w:p>
    <w:p>
      <w:pPr>
        <w:spacing w:after="0" w:line="113" w:lineRule="exact"/>
        <w:rPr>
          <w:rFonts w:ascii="Arial" w:cs="Arial" w:eastAsia="Arial" w:hAnsi="Arial"/>
          <w:sz w:val="17"/>
          <w:szCs w:val="17"/>
          <w:color w:val="auto"/>
        </w:rPr>
      </w:pPr>
    </w:p>
    <w:p>
      <w:pPr>
        <w:jc w:val="both"/>
        <w:ind w:left="900" w:hanging="447"/>
        <w:spacing w:after="0" w:line="232" w:lineRule="exact"/>
        <w:tabs>
          <w:tab w:leader="none" w:pos="900" w:val="left"/>
        </w:tabs>
        <w:numPr>
          <w:ilvl w:val="1"/>
          <w:numId w:val="1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 w:lineRule="exact"/>
        <w:rPr>
          <w:rFonts w:ascii="Arial" w:cs="Arial" w:eastAsia="Arial" w:hAnsi="Arial"/>
          <w:sz w:val="18"/>
          <w:szCs w:val="18"/>
          <w:color w:val="auto"/>
        </w:rPr>
      </w:pPr>
    </w:p>
    <w:p>
      <w:pPr>
        <w:ind w:left="900" w:hanging="447"/>
        <w:spacing w:after="0" w:line="207" w:lineRule="exact"/>
        <w:tabs>
          <w:tab w:leader="none" w:pos="900" w:val="left"/>
        </w:tabs>
        <w:numPr>
          <w:ilvl w:val="1"/>
          <w:numId w:val="1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225"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210" w:lineRule="exact"/>
        <w:rPr>
          <w:rFonts w:ascii="Arial" w:cs="Arial" w:eastAsia="Arial" w:hAnsi="Arial"/>
          <w:sz w:val="18"/>
          <w:szCs w:val="18"/>
          <w:color w:val="auto"/>
        </w:rPr>
      </w:pPr>
    </w:p>
    <w:p>
      <w:pPr>
        <w:ind w:left="900" w:hanging="447"/>
        <w:spacing w:after="0"/>
        <w:tabs>
          <w:tab w:leader="none" w:pos="90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“affiliate” (as defined in Rule 144 under the Securities Act) of the Issuer or acting on behalf of an affiliate of the Issuer.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spacing w:after="0" w:line="184" w:lineRule="exact"/>
        <w:rPr>
          <w:sz w:val="20"/>
          <w:szCs w:val="20"/>
          <w:color w:val="auto"/>
        </w:rPr>
      </w:pPr>
    </w:p>
    <w:p>
      <w:pPr>
        <w:ind w:left="860" w:hanging="204"/>
        <w:spacing w:after="0"/>
        <w:tabs>
          <w:tab w:leader="none" w:pos="86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a bank, savings and loan association, insurance company or registered investment company;</w:t>
      </w:r>
    </w:p>
    <w:p>
      <w:pPr>
        <w:spacing w:after="0" w:line="225" w:lineRule="exact"/>
        <w:rPr>
          <w:rFonts w:ascii="MS PGothic" w:cs="MS PGothic" w:eastAsia="MS PGothic" w:hAnsi="MS PGothic"/>
          <w:sz w:val="18"/>
          <w:szCs w:val="18"/>
          <w:color w:val="auto"/>
        </w:rPr>
      </w:pPr>
    </w:p>
    <w:p>
      <w:pPr>
        <w:ind w:left="660" w:hanging="4"/>
        <w:spacing w:after="0" w:line="277" w:lineRule="auto"/>
        <w:tabs>
          <w:tab w:leader="none" w:pos="895"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an investment adviser registered either with the Commission under Section 203 of the Investment Advisers Act or with a state securities commission (or any agency or office performing like functions); or</w:t>
      </w:r>
    </w:p>
    <w:p>
      <w:pPr>
        <w:spacing w:after="0" w:line="170" w:lineRule="exact"/>
        <w:rPr>
          <w:rFonts w:ascii="MS PGothic" w:cs="MS PGothic" w:eastAsia="MS PGothic" w:hAnsi="MS PGothic"/>
          <w:sz w:val="18"/>
          <w:szCs w:val="18"/>
          <w:color w:val="auto"/>
        </w:rPr>
      </w:pPr>
    </w:p>
    <w:p>
      <w:pPr>
        <w:ind w:left="860" w:hanging="204"/>
        <w:spacing w:after="0"/>
        <w:tabs>
          <w:tab w:leader="none" w:pos="86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any other person (whether a natural person, corporation, partnership, trust or otherwise) with total assets of at least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spacing w:after="0" w:line="187" w:lineRule="exact"/>
        <w:rPr>
          <w:sz w:val="20"/>
          <w:szCs w:val="20"/>
          <w:color w:val="auto"/>
        </w:rPr>
      </w:pPr>
    </w:p>
    <w:p>
      <w:pPr>
        <w:ind w:left="860" w:hanging="204"/>
        <w:spacing w:after="0"/>
        <w:tabs>
          <w:tab w:leader="none" w:pos="860" w:val="left"/>
        </w:tabs>
        <w:numPr>
          <w:ilvl w:val="0"/>
          <w:numId w:val="148"/>
        </w:numPr>
        <w:rPr>
          <w:rFonts w:ascii="MS PGothic" w:cs="MS PGothic" w:eastAsia="MS PGothic" w:hAnsi="MS PGothic"/>
          <w:sz w:val="16"/>
          <w:szCs w:val="16"/>
          <w:color w:val="auto"/>
        </w:rPr>
      </w:pPr>
      <w:r>
        <w:rPr>
          <w:rFonts w:ascii="Arial" w:cs="Arial" w:eastAsia="Arial" w:hAnsi="Arial"/>
          <w:sz w:val="16"/>
          <w:szCs w:val="16"/>
          <w:color w:val="auto"/>
        </w:rPr>
        <w:t>Any bank as defined in section 3(a)(2) of the Securities Act, or any savings and loan association or other institution as defined in section 3(a)(5)</w:t>
      </w:r>
    </w:p>
    <w:p>
      <w:pPr>
        <w:spacing w:after="0" w:line="48" w:lineRule="exact"/>
        <w:rPr>
          <w:rFonts w:ascii="MS PGothic" w:cs="MS PGothic" w:eastAsia="MS PGothic" w:hAnsi="MS PGothic"/>
          <w:sz w:val="16"/>
          <w:szCs w:val="16"/>
          <w:color w:val="auto"/>
        </w:rPr>
      </w:pPr>
    </w:p>
    <w:p>
      <w:pPr>
        <w:ind w:left="660"/>
        <w:spacing w:after="0"/>
        <w:rPr>
          <w:rFonts w:ascii="MS PGothic" w:cs="MS PGothic" w:eastAsia="MS PGothic" w:hAnsi="MS PGothic"/>
          <w:sz w:val="16"/>
          <w:szCs w:val="16"/>
          <w:color w:val="auto"/>
        </w:rPr>
      </w:pPr>
      <w:r>
        <w:rPr>
          <w:rFonts w:ascii="Arial" w:cs="Arial" w:eastAsia="Arial" w:hAnsi="Arial"/>
          <w:sz w:val="18"/>
          <w:szCs w:val="18"/>
          <w:color w:val="auto"/>
        </w:rPr>
        <w:t>(A) of the Securities Act whether acting in its individual or fiduciary capacity;</w:t>
      </w:r>
    </w:p>
    <w:p>
      <w:pPr>
        <w:spacing w:after="0" w:line="209" w:lineRule="exact"/>
        <w:rPr>
          <w:rFonts w:ascii="MS PGothic" w:cs="MS PGothic" w:eastAsia="MS PGothic" w:hAnsi="MS PGothic"/>
          <w:sz w:val="16"/>
          <w:szCs w:val="16"/>
          <w:color w:val="auto"/>
        </w:rPr>
      </w:pPr>
    </w:p>
    <w:p>
      <w:pPr>
        <w:ind w:left="860" w:hanging="204"/>
        <w:spacing w:after="0"/>
        <w:tabs>
          <w:tab w:leader="none" w:pos="860"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48"/>
        </w:numPr>
        <w:rPr>
          <w:rFonts w:ascii="MS PGothic" w:cs="MS PGothic" w:eastAsia="MS PGothic" w:hAnsi="MS PGothic"/>
          <w:sz w:val="16"/>
          <w:szCs w:val="16"/>
          <w:color w:val="auto"/>
        </w:rPr>
      </w:pPr>
      <w:r>
        <w:rPr>
          <w:rFonts w:ascii="Arial" w:cs="Arial" w:eastAsia="Arial" w:hAnsi="Arial"/>
          <w:sz w:val="16"/>
          <w:szCs w:val="16"/>
          <w:color w:val="auto"/>
        </w:rPr>
        <w:t>An investment adviser registered pursuant to section 203 of the Investment Advisers Act of 1940 or registered pursuant to the laws of a state;</w:t>
      </w:r>
    </w:p>
    <w:p>
      <w:pPr>
        <w:spacing w:after="0" w:line="248" w:lineRule="exact"/>
        <w:rPr>
          <w:rFonts w:ascii="MS PGothic" w:cs="MS PGothic" w:eastAsia="MS PGothic" w:hAnsi="MS PGothic"/>
          <w:sz w:val="16"/>
          <w:szCs w:val="16"/>
          <w:color w:val="auto"/>
        </w:rPr>
      </w:pPr>
    </w:p>
    <w:p>
      <w:pPr>
        <w:ind w:left="660" w:hanging="4"/>
        <w:spacing w:after="0" w:line="277" w:lineRule="auto"/>
        <w:tabs>
          <w:tab w:leader="none" w:pos="863"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An investment adviser relying on the exemption from registering with the Securities and Exchange Commission under section 203(l) or (m) of the Investment Advisers Act of 1940;</w:t>
      </w:r>
    </w:p>
    <w:p>
      <w:pPr>
        <w:spacing w:after="0" w:line="170" w:lineRule="exact"/>
        <w:rPr>
          <w:rFonts w:ascii="MS PGothic" w:cs="MS PGothic" w:eastAsia="MS PGothic" w:hAnsi="MS PGothic"/>
          <w:sz w:val="18"/>
          <w:szCs w:val="18"/>
          <w:color w:val="auto"/>
        </w:rPr>
      </w:pPr>
    </w:p>
    <w:p>
      <w:pPr>
        <w:ind w:left="860" w:hanging="204"/>
        <w:spacing w:after="0"/>
        <w:tabs>
          <w:tab w:leader="none" w:pos="860"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225" w:lineRule="exact"/>
        <w:rPr>
          <w:rFonts w:ascii="MS PGothic" w:cs="MS PGothic" w:eastAsia="MS PGothic" w:hAnsi="MS PGothic"/>
          <w:sz w:val="18"/>
          <w:szCs w:val="18"/>
          <w:color w:val="auto"/>
        </w:rPr>
      </w:pPr>
    </w:p>
    <w:p>
      <w:pPr>
        <w:ind w:left="660" w:hanging="4"/>
        <w:spacing w:after="0" w:line="277" w:lineRule="auto"/>
        <w:tabs>
          <w:tab w:leader="none" w:pos="860"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 (48) of the Securities Act;</w:t>
      </w:r>
    </w:p>
    <w:p>
      <w:pPr>
        <w:spacing w:after="0" w:line="170" w:lineRule="exact"/>
        <w:rPr>
          <w:rFonts w:ascii="MS PGothic" w:cs="MS PGothic" w:eastAsia="MS PGothic" w:hAnsi="MS PGothic"/>
          <w:sz w:val="18"/>
          <w:szCs w:val="18"/>
          <w:color w:val="auto"/>
        </w:rPr>
      </w:pPr>
    </w:p>
    <w:p>
      <w:pPr>
        <w:ind w:left="660" w:hanging="4"/>
        <w:spacing w:after="0" w:line="277" w:lineRule="auto"/>
        <w:tabs>
          <w:tab w:leader="none" w:pos="890"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 of 1958;</w:t>
      </w:r>
    </w:p>
    <w:p>
      <w:pPr>
        <w:spacing w:after="0" w:line="170" w:lineRule="exact"/>
        <w:rPr>
          <w:rFonts w:ascii="MS PGothic" w:cs="MS PGothic" w:eastAsia="MS PGothic" w:hAnsi="MS PGothic"/>
          <w:sz w:val="18"/>
          <w:szCs w:val="18"/>
          <w:color w:val="auto"/>
        </w:rPr>
      </w:pPr>
    </w:p>
    <w:p>
      <w:pPr>
        <w:ind w:left="860" w:hanging="204"/>
        <w:spacing w:after="0"/>
        <w:tabs>
          <w:tab w:leader="none" w:pos="860"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A Rural Business Investment Company as defined in section 384A of the Consolidated Farm and Rural Development Act;</w:t>
      </w:r>
    </w:p>
    <w:p>
      <w:pPr>
        <w:spacing w:after="0" w:line="225" w:lineRule="exact"/>
        <w:rPr>
          <w:rFonts w:ascii="MS PGothic" w:cs="MS PGothic" w:eastAsia="MS PGothic" w:hAnsi="MS PGothic"/>
          <w:sz w:val="18"/>
          <w:szCs w:val="18"/>
          <w:color w:val="auto"/>
        </w:rPr>
      </w:pPr>
    </w:p>
    <w:p>
      <w:pPr>
        <w:ind w:left="660" w:hanging="4"/>
        <w:spacing w:after="0" w:line="277" w:lineRule="auto"/>
        <w:tabs>
          <w:tab w:leader="none" w:pos="857"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70" w:lineRule="exact"/>
        <w:rPr>
          <w:rFonts w:ascii="MS PGothic" w:cs="MS PGothic" w:eastAsia="MS PGothic" w:hAnsi="MS PGothic"/>
          <w:sz w:val="18"/>
          <w:szCs w:val="18"/>
          <w:color w:val="auto"/>
        </w:rPr>
      </w:pPr>
    </w:p>
    <w:p>
      <w:pPr>
        <w:jc w:val="both"/>
        <w:ind w:left="660" w:hanging="4"/>
        <w:spacing w:after="0" w:line="259" w:lineRule="auto"/>
        <w:tabs>
          <w:tab w:leader="none" w:pos="859"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86" w:lineRule="exact"/>
        <w:rPr>
          <w:rFonts w:ascii="MS PGothic" w:cs="MS PGothic" w:eastAsia="MS PGothic" w:hAnsi="MS PGothic"/>
          <w:sz w:val="18"/>
          <w:szCs w:val="18"/>
          <w:color w:val="auto"/>
        </w:rPr>
      </w:pPr>
    </w:p>
    <w:p>
      <w:pPr>
        <w:ind w:left="860" w:hanging="204"/>
        <w:spacing w:after="0"/>
        <w:tabs>
          <w:tab w:leader="none" w:pos="860"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225" w:lineRule="exact"/>
        <w:rPr>
          <w:rFonts w:ascii="MS PGothic" w:cs="MS PGothic" w:eastAsia="MS PGothic" w:hAnsi="MS PGothic"/>
          <w:sz w:val="18"/>
          <w:szCs w:val="18"/>
          <w:color w:val="auto"/>
        </w:rPr>
      </w:pPr>
    </w:p>
    <w:p>
      <w:pPr>
        <w:ind w:left="660" w:right="20" w:hanging="4"/>
        <w:spacing w:after="0" w:line="342" w:lineRule="auto"/>
        <w:tabs>
          <w:tab w:leader="none" w:pos="860" w:val="left"/>
        </w:tabs>
        <w:numPr>
          <w:ilvl w:val="0"/>
          <w:numId w:val="148"/>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center"/>
        <w:ind w:right="636"/>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211" w:lineRule="exact"/>
        <w:rPr>
          <w:sz w:val="20"/>
          <w:szCs w:val="20"/>
          <w:color w:val="auto"/>
        </w:rPr>
      </w:pPr>
    </w:p>
    <w:p>
      <w:pPr>
        <w:ind w:left="4484"/>
        <w:spacing w:after="0"/>
        <w:rPr>
          <w:sz w:val="20"/>
          <w:szCs w:val="20"/>
          <w:color w:val="auto"/>
        </w:rPr>
      </w:pPr>
      <w:r>
        <w:rPr>
          <w:rFonts w:ascii="Arial" w:cs="Arial" w:eastAsia="Arial" w:hAnsi="Arial"/>
          <w:sz w:val="18"/>
          <w:szCs w:val="18"/>
          <w:color w:val="auto"/>
        </w:rPr>
        <w:t>Schedule A-2</w:t>
      </w:r>
    </w:p>
    <w:p>
      <w:pPr>
        <w:spacing w:after="0" w:line="225" w:lineRule="exact"/>
        <w:rPr>
          <w:sz w:val="20"/>
          <w:szCs w:val="20"/>
          <w:color w:val="auto"/>
        </w:rPr>
      </w:pPr>
    </w:p>
    <w:p>
      <w:pPr>
        <w:ind w:left="4" w:hanging="4"/>
        <w:spacing w:after="0" w:line="277" w:lineRule="auto"/>
        <w:tabs>
          <w:tab w:leader="none" w:pos="211" w:val="left"/>
        </w:tabs>
        <w:numPr>
          <w:ilvl w:val="0"/>
          <w:numId w:val="149"/>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70" w:lineRule="exact"/>
        <w:rPr>
          <w:rFonts w:ascii="MS PGothic" w:cs="MS PGothic" w:eastAsia="MS PGothic" w:hAnsi="MS PGothic"/>
          <w:sz w:val="18"/>
          <w:szCs w:val="18"/>
          <w:color w:val="auto"/>
        </w:rPr>
      </w:pPr>
    </w:p>
    <w:p>
      <w:pPr>
        <w:ind w:left="4" w:hanging="4"/>
        <w:spacing w:after="0" w:line="277" w:lineRule="auto"/>
        <w:tabs>
          <w:tab w:leader="none" w:pos="203" w:val="left"/>
        </w:tabs>
        <w:numPr>
          <w:ilvl w:val="0"/>
          <w:numId w:val="149"/>
        </w:numPr>
        <w:rPr>
          <w:rFonts w:ascii="MS PGothic" w:cs="MS PGothic" w:eastAsia="MS PGothic" w:hAnsi="MS PGothic"/>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offered, owning investments in excess of $5,000,000;</w:t>
      </w:r>
    </w:p>
    <w:p>
      <w:pPr>
        <w:spacing w:after="0" w:line="170" w:lineRule="exact"/>
        <w:rPr>
          <w:rFonts w:ascii="MS PGothic" w:cs="MS PGothic" w:eastAsia="MS PGothic" w:hAnsi="MS PGothic"/>
          <w:sz w:val="18"/>
          <w:szCs w:val="18"/>
          <w:color w:val="auto"/>
        </w:rPr>
      </w:pPr>
    </w:p>
    <w:p>
      <w:pPr>
        <w:jc w:val="both"/>
        <w:ind w:left="4" w:hanging="4"/>
        <w:spacing w:after="0" w:line="259" w:lineRule="auto"/>
        <w:tabs>
          <w:tab w:leader="none" w:pos="204" w:val="left"/>
        </w:tabs>
        <w:numPr>
          <w:ilvl w:val="0"/>
          <w:numId w:val="149"/>
        </w:numPr>
        <w:rPr>
          <w:rFonts w:ascii="MS PGothic" w:cs="MS PGothic" w:eastAsia="MS PGothic" w:hAnsi="MS PGothic"/>
          <w:sz w:val="18"/>
          <w:szCs w:val="18"/>
          <w:color w:val="auto"/>
        </w:rPr>
      </w:pPr>
      <w:r>
        <w:rPr>
          <w:rFonts w:ascii="Arial" w:cs="Arial" w:eastAsia="Arial" w:hAnsi="Arial"/>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86" w:lineRule="exact"/>
        <w:rPr>
          <w:rFonts w:ascii="MS PGothic" w:cs="MS PGothic" w:eastAsia="MS PGothic" w:hAnsi="MS PGothic"/>
          <w:sz w:val="18"/>
          <w:szCs w:val="18"/>
          <w:color w:val="auto"/>
        </w:rPr>
      </w:pPr>
    </w:p>
    <w:p>
      <w:pPr>
        <w:jc w:val="both"/>
        <w:ind w:left="4" w:hanging="4"/>
        <w:spacing w:after="0" w:line="263" w:lineRule="auto"/>
        <w:tabs>
          <w:tab w:leader="none" w:pos="216" w:val="left"/>
        </w:tabs>
        <w:numPr>
          <w:ilvl w:val="0"/>
          <w:numId w:val="149"/>
        </w:numPr>
        <w:rPr>
          <w:rFonts w:ascii="MS PGothic" w:cs="MS PGothic" w:eastAsia="MS PGothic" w:hAnsi="MS PGothic"/>
          <w:sz w:val="18"/>
          <w:szCs w:val="18"/>
          <w:color w:val="auto"/>
        </w:rPr>
      </w:pPr>
      <w:r>
        <w:rPr>
          <w:rFonts w:ascii="Arial" w:cs="Arial" w:eastAsia="Arial" w:hAnsi="Arial"/>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83" w:lineRule="exact"/>
        <w:rPr>
          <w:rFonts w:ascii="MS PGothic" w:cs="MS PGothic" w:eastAsia="MS PGothic" w:hAnsi="MS PGothic"/>
          <w:sz w:val="18"/>
          <w:szCs w:val="18"/>
          <w:color w:val="auto"/>
        </w:rPr>
      </w:pPr>
    </w:p>
    <w:p>
      <w:pPr>
        <w:jc w:val="both"/>
        <w:ind w:left="4" w:hanging="4"/>
        <w:spacing w:after="0" w:line="293" w:lineRule="auto"/>
        <w:tabs>
          <w:tab w:leader="none" w:pos="212" w:val="left"/>
        </w:tabs>
        <w:numPr>
          <w:ilvl w:val="0"/>
          <w:numId w:val="149"/>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64" w:lineRule="exact"/>
        <w:rPr>
          <w:rFonts w:ascii="MS PGothic" w:cs="MS PGothic" w:eastAsia="MS PGothic" w:hAnsi="MS PGothic"/>
          <w:sz w:val="16"/>
          <w:szCs w:val="16"/>
          <w:color w:val="auto"/>
        </w:rPr>
      </w:pPr>
    </w:p>
    <w:p>
      <w:pPr>
        <w:ind w:left="4" w:hanging="4"/>
        <w:spacing w:after="0" w:line="342" w:lineRule="auto"/>
        <w:tabs>
          <w:tab w:leader="none" w:pos="203" w:val="left"/>
        </w:tabs>
        <w:numPr>
          <w:ilvl w:val="0"/>
          <w:numId w:val="149"/>
        </w:numPr>
        <w:rPr>
          <w:rFonts w:ascii="MS PGothic" w:cs="MS PGothic" w:eastAsia="MS PGothic" w:hAnsi="MS PGothic"/>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123" w:lineRule="exact"/>
        <w:rPr>
          <w:rFonts w:ascii="MS PGothic" w:cs="MS PGothic" w:eastAsia="MS PGothic" w:hAnsi="MS PGothic"/>
          <w:sz w:val="16"/>
          <w:szCs w:val="16"/>
          <w:color w:val="auto"/>
        </w:rPr>
      </w:pPr>
    </w:p>
    <w:p>
      <w:pPr>
        <w:ind w:left="204" w:hanging="204"/>
        <w:spacing w:after="0"/>
        <w:tabs>
          <w:tab w:leader="none" w:pos="204" w:val="left"/>
        </w:tabs>
        <w:numPr>
          <w:ilvl w:val="0"/>
          <w:numId w:val="149"/>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443230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and constitutes a part of the Subscription Agreement.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563245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10.2</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9,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This letter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relates to that certain Agreement and Plan of Merger entered into as of February 9, 2021 (as amended, restated, supplemented or modified from time to time, the “</w:t>
      </w:r>
      <w:r>
        <w:rPr>
          <w:rFonts w:ascii="Arial" w:cs="Arial" w:eastAsia="Arial" w:hAnsi="Arial"/>
          <w:sz w:val="17"/>
          <w:szCs w:val="17"/>
          <w:u w:val="single" w:color="auto"/>
          <w:color w:val="auto"/>
        </w:rPr>
        <w:t>Transaction Agreement</w:t>
      </w:r>
      <w:r>
        <w:rPr>
          <w:rFonts w:ascii="Arial" w:cs="Arial" w:eastAsia="Arial" w:hAnsi="Arial"/>
          <w:sz w:val="17"/>
          <w:szCs w:val="17"/>
          <w:color w:val="auto"/>
        </w:rPr>
        <w:t>”), by and among CM Life Sciences,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Mount Sinai Genomics, Inc., a Delaware corporation, d/b/a Sema4 (the “</w:t>
      </w:r>
      <w:r>
        <w:rPr>
          <w:rFonts w:ascii="Arial" w:cs="Arial" w:eastAsia="Arial" w:hAnsi="Arial"/>
          <w:sz w:val="17"/>
          <w:szCs w:val="17"/>
          <w:u w:val="single" w:color="auto"/>
          <w:color w:val="auto"/>
        </w:rPr>
        <w:t>Company</w:t>
      </w:r>
      <w:r>
        <w:rPr>
          <w:rFonts w:ascii="Arial" w:cs="Arial" w:eastAsia="Arial" w:hAnsi="Arial"/>
          <w:sz w:val="17"/>
          <w:szCs w:val="17"/>
          <w:color w:val="auto"/>
        </w:rPr>
        <w:t>”) and S-IV Sub, Inc., a Delaware corporation and a direct, wholly-owned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pursuant to which, among other Transactions, Merger Sub is to merge with and into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with the Company continuing on as the surviving entity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and a wholly owned subsidiary of Parent, on the terms and conditions set forth therein. Capitalized terms used and not otherwise defined herein are defined in the Transaction Agreement and shall have the meanings given to such terms in the Transaction Agreement.</w:t>
      </w:r>
    </w:p>
    <w:p>
      <w:pPr>
        <w:spacing w:after="0" w:line="177" w:lineRule="exact"/>
        <w:rPr>
          <w:sz w:val="20"/>
          <w:szCs w:val="20"/>
          <w:color w:val="auto"/>
        </w:rPr>
      </w:pPr>
    </w:p>
    <w:p>
      <w:pPr>
        <w:jc w:val="both"/>
        <w:ind w:firstLine="449"/>
        <w:spacing w:after="0" w:line="268" w:lineRule="auto"/>
        <w:tabs>
          <w:tab w:leader="none" w:pos="62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order to induce all parties to consummate the transactions contemplated by the Transaction Agreement, the undersigned hereby agrees that, from the Closing Date until the earliest of: (a) the date that is 180 calendar days from the Closing Date, and (b) the date following the Closing Date on which Parent completes a liquidation, merger, stock exchange or other similar transaction that results in all of Parent’s stockholders having the right to exchange their shares of Parent capital stock for cash, securities or other property (the period between the Closing Date and the earliest of clauses (a) and (b), the “</w:t>
      </w:r>
      <w:r>
        <w:rPr>
          <w:rFonts w:ascii="Arial" w:cs="Arial" w:eastAsia="Arial" w:hAnsi="Arial"/>
          <w:sz w:val="17"/>
          <w:szCs w:val="17"/>
          <w:u w:val="single" w:color="auto"/>
          <w:color w:val="auto"/>
        </w:rPr>
        <w:t>Lock-Up Period</w:t>
      </w:r>
      <w:r>
        <w:rPr>
          <w:rFonts w:ascii="Arial" w:cs="Arial" w:eastAsia="Arial" w:hAnsi="Arial"/>
          <w:sz w:val="17"/>
          <w:szCs w:val="17"/>
          <w:color w:val="auto"/>
        </w:rPr>
        <w:t>”), the undersigned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with respect to shares of Parent Class A Stock issued to the undersigned pursuant to the Transaction Agreement (such shares of Parent Class A Stock, the “</w:t>
      </w:r>
      <w:r>
        <w:rPr>
          <w:rFonts w:ascii="Arial" w:cs="Arial" w:eastAsia="Arial" w:hAnsi="Arial"/>
          <w:sz w:val="17"/>
          <w:szCs w:val="17"/>
          <w:u w:val="single" w:color="auto"/>
          <w:color w:val="auto"/>
        </w:rPr>
        <w:t>Lock-up Shares</w:t>
      </w:r>
      <w:r>
        <w:rPr>
          <w:rFonts w:ascii="Arial" w:cs="Arial" w:eastAsia="Arial" w:hAnsi="Arial"/>
          <w:sz w:val="17"/>
          <w:szCs w:val="17"/>
          <w:color w:val="auto"/>
        </w:rPr>
        <w:t>”), (ii) enter into any swap or other arrangement that transfers to another, in whole or in part, any of the economic consequences of ownership of any of the Lock-up Shares, in cash or otherwise, or (iii) publicly announce any intention to effect any transaction specified in clause (i) or (ii). Notwithstanding the foregoing, the undersigned may take any of the actions specified in clauses (i), (ii) and (iii) above at any time after the first date on which the closing price of Parent Class A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3" w:name="page134"/>
    <w:bookmarkEnd w:id="133"/>
    <w:p>
      <w:pPr>
        <w:jc w:val="both"/>
        <w:ind w:left="-449" w:firstLine="449"/>
        <w:spacing w:after="0" w:line="272" w:lineRule="auto"/>
        <w:tabs>
          <w:tab w:leader="none" w:pos="17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For the avoidance of doubt, none of the restrictions set forth in this Agreement shall apply to: (i) any shares of Parent Class A Stock purchased by the undersigned in the open market or in any public or private capital raising transaction of Parent or otherwise, including, without limitation, any shares of Parent Class A Stock issued pursuant to the Subscription Agreements or otherwise to any shares of Parent Class A Stock (or other securities of Parent) other than the Lock-Up Shares; or (ii) the inclusion of any Lock-Up Shares (but not the subsequent sale or transfer of such Lock-Up Shares) as part of any resale shelf registration statement filed pursuant to the A&amp;R Registration Rights Agreement. For the avoidance of any doubt, the parties hereto acknowledge and agree that the undersigned shall retain all of its rights as a stockholder of Parent during the Lock-up Period, including, without limitation, the right to vote, and to receive any dividends and distributions in respect of, the Lock-Up Shares.</w:t>
      </w:r>
    </w:p>
    <w:p>
      <w:pPr>
        <w:spacing w:after="0" w:line="177" w:lineRule="exact"/>
        <w:rPr>
          <w:rFonts w:ascii="Arial" w:cs="Arial" w:eastAsia="Arial" w:hAnsi="Arial"/>
          <w:sz w:val="17"/>
          <w:szCs w:val="17"/>
          <w:color w:val="auto"/>
        </w:rPr>
      </w:pPr>
    </w:p>
    <w:p>
      <w:pPr>
        <w:jc w:val="both"/>
        <w:ind w:left="-449" w:firstLine="449"/>
        <w:spacing w:after="0" w:line="275" w:lineRule="auto"/>
        <w:tabs>
          <w:tab w:leader="none" w:pos="17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undersigned hereby authorizes Parent during the Lock-Up Period to cause its transfer agent for the Lock-up Shares to decline to transfer, and to note stop transfer restrictions on the stock register and other records relating to, the Lock-up Shares for which the undersigned is the record holder and, in the case of Lock-up Shares for which the undersigned is the beneficial holder but not the record holder, agrees during the Lock-Up Period to cause the record holder to cause the relevant transfer agent to decline to transfer, and to note stop transfer restrictions on the stock register and other records relating to, such Lock-up Shares, if such transfer would constitute a violation or breach of this Agreement.</w:t>
      </w:r>
    </w:p>
    <w:p>
      <w:pPr>
        <w:spacing w:after="0" w:line="176" w:lineRule="exact"/>
        <w:rPr>
          <w:rFonts w:ascii="Arial" w:cs="Arial" w:eastAsia="Arial" w:hAnsi="Arial"/>
          <w:sz w:val="17"/>
          <w:szCs w:val="17"/>
          <w:color w:val="auto"/>
        </w:rPr>
      </w:pPr>
    </w:p>
    <w:p>
      <w:pPr>
        <w:jc w:val="both"/>
        <w:ind w:left="-449" w:firstLine="449"/>
        <w:spacing w:after="0" w:line="287" w:lineRule="auto"/>
        <w:tabs>
          <w:tab w:leader="none" w:pos="17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Notwithstanding the foregoing, the undersigned may sell or otherwise transfer Lock-up Shares during the undersigned’s lifetime or on death (or, if the undersigned is not a natural person, during its existence) (a) if the undersigned is not a natural person, to its managers, partners, members or other direct or indirect equity holders or to any of its other Affiliates or any subsidiary, employee, officer, director, investment fund controlled or managed by the undersigned or its Affiliates, or commonly controlled or managed investment fund, (b) to the immediate family members (including spouses, significant others, lineal descendants, brothers and sisters) of the undersigned, (c) to a family trust, foundation or partnership established for the exclusive benefit of the undersigned, its equity holders or any of their respective immediate family members, or (d) to a charitable foundation controlled by the undersigned, its Affiliates, partners, members or other direct or indirect equityholders or any of their respective immediate family members; provided, however, that in each such case, any such sale or transfer shall be conditioned upon entry by such transferees into a written agreement, addressed to Parent, agreeing to be bound by these transfer restrictions and the other terms and conditions of this Agreement; and provided, further, for the avoidance of doubt, that nothing contained herein shall limit or restrict the admission of new managers, partners, members or other direct or indirect equityholders in, or the increase or decrease in the ownership interests of any managers, partners, members or other direct or indirect equity holders of, any entity holding any of the Lock-up Shares.</w:t>
      </w:r>
    </w:p>
    <w:p>
      <w:pPr>
        <w:spacing w:after="0" w:line="171" w:lineRule="exact"/>
        <w:rPr>
          <w:rFonts w:ascii="Arial" w:cs="Arial" w:eastAsia="Arial" w:hAnsi="Arial"/>
          <w:sz w:val="16"/>
          <w:szCs w:val="16"/>
          <w:color w:val="auto"/>
        </w:rPr>
      </w:pPr>
    </w:p>
    <w:p>
      <w:pPr>
        <w:jc w:val="both"/>
        <w:ind w:left="-449" w:right="20" w:firstLine="449"/>
        <w:spacing w:after="0" w:line="263" w:lineRule="auto"/>
        <w:tabs>
          <w:tab w:leader="none" w:pos="19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Any obligations of the undersigned shall be binding upon the successors and assigns of the undersigned from and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417195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91"/>
          </w:cols>
          <w:pgMar w:left="769" w:top="908" w:right="339" w:bottom="1440" w:gutter="0" w:footer="0" w:header="0"/>
        </w:sectPr>
      </w:pPr>
    </w:p>
    <w:bookmarkStart w:id="134" w:name="page135"/>
    <w:bookmarkEnd w:id="134"/>
    <w:p>
      <w:pPr>
        <w:jc w:val="both"/>
        <w:ind w:left="-449" w:firstLine="449"/>
        <w:spacing w:after="0" w:line="268" w:lineRule="auto"/>
        <w:tabs>
          <w:tab w:leader="none" w:pos="17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This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This Agreement may not be changed, amended, modified or waived (other than to correct a typographical error) as to any particular provision, except by a written instrument executed by all parties hereto. Parent hereby represents, warrants, covenants and agrees that (i) the Sponsor and each of the stockholders of the Company holding more than 1% of the Company’s outstanding capital stock has, or substantially contemporaneously with the execution and delivery hereof shall have, executed and delivered a Lock-Up Agreement substantially identical hereto, except that the lock-up period applicable to the Sponsor is a period of one year from the Closing Date and (ii) if any such Lock-Up Agreement or the restrictions contained therein is amended, modified or waived in a manner favorable to such stockholder and that would be favorable to the undersigned (including, without limitation, to shorten the lock-up period or to provide additional exceptions to the lock-up restrictions), this Agreement shall be contemporaneously amended in the same manner and Parent shall provide prompt notice thereof to the undersigned, or (iii) if any such stockholder is released from any or all of the lock-up restrictions under its Lock-Up Agreement, the undersigned will be similarly and contemporaneously released from the lock-up restrictions hereunder (which, for the avoidance, of doubt will include a release of the same percentage of the undersigned’s Lock-up Shares) and Parent shall provide prompt notice thereof to the undersigned.</w:t>
      </w:r>
    </w:p>
    <w:p>
      <w:pPr>
        <w:spacing w:after="0" w:line="186" w:lineRule="exact"/>
        <w:rPr>
          <w:rFonts w:ascii="Arial" w:cs="Arial" w:eastAsia="Arial" w:hAnsi="Arial"/>
          <w:sz w:val="17"/>
          <w:szCs w:val="17"/>
          <w:color w:val="auto"/>
        </w:rPr>
      </w:pPr>
    </w:p>
    <w:p>
      <w:pPr>
        <w:jc w:val="both"/>
        <w:ind w:left="-449" w:firstLine="449"/>
        <w:spacing w:after="0" w:line="286" w:lineRule="auto"/>
        <w:tabs>
          <w:tab w:leader="none" w:pos="18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No party hereto may assign either this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Agreement shall be binding on the undersigned and its successors and assigns.</w:t>
      </w:r>
    </w:p>
    <w:p>
      <w:pPr>
        <w:spacing w:after="0" w:line="165" w:lineRule="exact"/>
        <w:rPr>
          <w:rFonts w:ascii="Arial" w:cs="Arial" w:eastAsia="Arial" w:hAnsi="Arial"/>
          <w:sz w:val="17"/>
          <w:szCs w:val="17"/>
          <w:color w:val="auto"/>
        </w:rPr>
      </w:pPr>
    </w:p>
    <w:p>
      <w:pPr>
        <w:ind w:left="-449" w:right="20" w:firstLine="449"/>
        <w:spacing w:after="0" w:line="277" w:lineRule="auto"/>
        <w:tabs>
          <w:tab w:leader="none" w:pos="17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is to be governed by, and construed and enforced in accordance with, the internal laws of the State of Delaware, without regard to its rules of conflict of laws.</w:t>
      </w:r>
    </w:p>
    <w:p>
      <w:pPr>
        <w:spacing w:after="0" w:line="170" w:lineRule="exact"/>
        <w:rPr>
          <w:rFonts w:ascii="Arial" w:cs="Arial" w:eastAsia="Arial" w:hAnsi="Arial"/>
          <w:sz w:val="18"/>
          <w:szCs w:val="18"/>
          <w:color w:val="auto"/>
        </w:rPr>
      </w:pPr>
    </w:p>
    <w:p>
      <w:pPr>
        <w:jc w:val="both"/>
        <w:ind w:left="-449" w:firstLine="449"/>
        <w:spacing w:after="0" w:line="270" w:lineRule="auto"/>
        <w:tabs>
          <w:tab w:leader="none" w:pos="20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TO THE EXTENT NOT PROHIBITED BY APPLICABLE LAW WHICH CANNOT BE WAIVED, EACH OF THE PARTIES HEREBY WAIVES, AND AGREES TO CAUSE EACH OF HIS, HER OR ITS AFFILIATES TO WAIVE, AND COVENANTS THAT NEITHER IT NOR ANY OF HIS, HER OR ITS AFFILIATES WILL ASSERT (WHETHER AS PLAINTIFF, DEFENDANT OR OTHERWISE) ANY RIGHT TO TRIAL BY JURY IN ANY FORUM IN RESPECT OF ANY ACTION ARISING OUT OF OR BASED UPON THIS AGREEMENT OR THE SUBJECT MATTER HEREOF, IN EACH CASE WHETHER NOW EXISTING OR HEREAFTER ARISING. EACH PARTY ACKNOWLEDGES THAT SUCH PARTY HAS BEEN INFORMED BY THE OTHER PARTIES THAT THIS PARAGRAPH 9 CONSTITUTES A MATERIAL INDUCEMENT UPON WHICH THE PARTIES ARE RELYING AND WILL RELY IN ENTERING INTO THIS AGREEMENT AND ANY OTHER AGREEMENTS RELATING HERETO OR CONTEMPLATED HEREBY. ANY PARTY MAY FILE AN ORIGINAL COUNTERPART OR A COPY OF THIS PARAGRAPH 9 WITH ANY COURT AS WRITTEN EVIDENCE OF THE CONSENT OF THE PARTIES TO THE WAIVER OF THE RIGHT TO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415290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91"/>
          </w:cols>
          <w:pgMar w:left="769" w:top="908" w:right="339" w:bottom="1440" w:gutter="0" w:footer="0" w:header="0"/>
        </w:sectPr>
      </w:pPr>
    </w:p>
    <w:bookmarkStart w:id="135" w:name="page136"/>
    <w:bookmarkEnd w:id="135"/>
    <w:p>
      <w:pPr>
        <w:jc w:val="both"/>
        <w:ind w:firstLine="449"/>
        <w:spacing w:after="0" w:line="279" w:lineRule="auto"/>
        <w:tabs>
          <w:tab w:leader="none" w:pos="70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Any term or provision of this Agreement that is found to be invalid or unenforceable in any jurisdiction will,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found to be so broad as to be unenforceable, the provision will be interpreted to be only so broad as is enforceable.</w:t>
      </w:r>
    </w:p>
    <w:p>
      <w:pPr>
        <w:spacing w:after="0" w:line="171" w:lineRule="exact"/>
        <w:rPr>
          <w:rFonts w:ascii="Arial" w:cs="Arial" w:eastAsia="Arial" w:hAnsi="Arial"/>
          <w:sz w:val="17"/>
          <w:szCs w:val="17"/>
          <w:color w:val="auto"/>
        </w:rPr>
      </w:pPr>
    </w:p>
    <w:p>
      <w:pPr>
        <w:jc w:val="both"/>
        <w:ind w:firstLine="449"/>
        <w:spacing w:after="0" w:line="279" w:lineRule="auto"/>
        <w:tabs>
          <w:tab w:leader="none" w:pos="70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This Agreement may be executed in two or more counterparts, each of which will be deemed an original but all of which will constitute but one instrument. This Agreement is effective upon delivery of one executed counterpart from each party to the other party. The signatures of all of the parties need not appear on the same counterpart. The delivery of signed counterparts by email which includes a copy of the sending party’s signature(s) (including by “.pdf” format) or by electronic transmission is as effective as signing and delivering the counterpart in person.</w:t>
      </w:r>
    </w:p>
    <w:p>
      <w:pPr>
        <w:spacing w:after="0" w:line="171" w:lineRule="exact"/>
        <w:rPr>
          <w:rFonts w:ascii="Arial" w:cs="Arial" w:eastAsia="Arial" w:hAnsi="Arial"/>
          <w:sz w:val="17"/>
          <w:szCs w:val="17"/>
          <w:color w:val="auto"/>
        </w:rPr>
      </w:pPr>
    </w:p>
    <w:p>
      <w:pPr>
        <w:jc w:val="both"/>
        <w:ind w:firstLine="449"/>
        <w:spacing w:after="0" w:line="257" w:lineRule="auto"/>
        <w:tabs>
          <w:tab w:leader="none" w:pos="71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or email transmission to the address or email address (as applicable) set forth below such party’s name on the signature page hereto. Each such notice, consent or request will be effective if given by (a) email, when sent, with no mail undeliverable or other rejection notice, or (b) any other means specified this paragraph 12, then upon delivery or refusal of delivery at the address specified in this paragraph 12.</w:t>
      </w:r>
    </w:p>
    <w:p>
      <w:pPr>
        <w:spacing w:after="0" w:line="187" w:lineRule="exact"/>
        <w:rPr>
          <w:rFonts w:ascii="Arial" w:cs="Arial" w:eastAsia="Arial" w:hAnsi="Arial"/>
          <w:sz w:val="18"/>
          <w:szCs w:val="18"/>
          <w:color w:val="auto"/>
        </w:rPr>
      </w:pPr>
    </w:p>
    <w:p>
      <w:pPr>
        <w:ind w:firstLine="449"/>
        <w:spacing w:after="0" w:line="277" w:lineRule="auto"/>
        <w:tabs>
          <w:tab w:leader="none" w:pos="72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Agreement shall become effective on the Closing Date. This Agreement and the obligations of each party hereunder shall automatically terminate upon any termination of the Transaction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on the following page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323215</wp:posOffset>
            </wp:positionV>
            <wp:extent cx="247713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77135" cy="171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168910</wp:posOffset>
            </wp:positionV>
            <wp:extent cx="247713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77135" cy="171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14605</wp:posOffset>
            </wp:positionV>
            <wp:extent cx="247713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14605</wp:posOffset>
            </wp:positionV>
            <wp:extent cx="24771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PARENT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1259"/>
        <w:spacing w:after="0"/>
        <w:rPr>
          <w:sz w:val="20"/>
          <w:szCs w:val="20"/>
          <w:color w:val="auto"/>
        </w:rPr>
      </w:pPr>
      <w:r>
        <w:rPr>
          <w:rFonts w:ascii="Arial" w:cs="Arial" w:eastAsia="Arial" w:hAnsi="Arial"/>
          <w:sz w:val="18"/>
          <w:szCs w:val="18"/>
          <w:color w:val="auto"/>
        </w:rPr>
        <w:t>Address: 667 Madison Avenue</w:t>
      </w:r>
    </w:p>
    <w:p>
      <w:pPr>
        <w:spacing w:after="0" w:line="23" w:lineRule="exact"/>
        <w:rPr>
          <w:sz w:val="20"/>
          <w:szCs w:val="20"/>
          <w:color w:val="auto"/>
        </w:rPr>
      </w:pPr>
    </w:p>
    <w:p>
      <w:pPr>
        <w:jc w:val="right"/>
        <w:ind w:right="1219"/>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jc w:val="right"/>
        <w:ind w:right="1259"/>
        <w:spacing w:after="0"/>
        <w:rPr>
          <w:sz w:val="20"/>
          <w:szCs w:val="20"/>
          <w:color w:val="auto"/>
        </w:rPr>
      </w:pPr>
      <w:r>
        <w:rPr>
          <w:rFonts w:ascii="Arial" w:cs="Arial" w:eastAsia="Arial" w:hAnsi="Arial"/>
          <w:sz w:val="18"/>
          <w:szCs w:val="18"/>
          <w:color w:val="auto"/>
        </w:rPr>
        <w:t>667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142875</wp:posOffset>
            </wp:positionV>
            <wp:extent cx="247713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14605</wp:posOffset>
            </wp:positionV>
            <wp:extent cx="247713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32" w:lineRule="exact"/>
        <w:rPr>
          <w:sz w:val="20"/>
          <w:szCs w:val="20"/>
          <w:color w:val="auto"/>
        </w:rPr>
      </w:pPr>
    </w:p>
    <w:p>
      <w:pPr>
        <w:ind w:left="4160"/>
        <w:spacing w:after="0"/>
        <w:rPr>
          <w:sz w:val="20"/>
          <w:szCs w:val="20"/>
          <w:color w:val="auto"/>
        </w:rPr>
      </w:pPr>
      <w:r>
        <w:rPr>
          <w:rFonts w:ascii="Arial" w:cs="Arial" w:eastAsia="Arial" w:hAnsi="Arial"/>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SPONSOR SUPPORT AGREEMENT</w:t>
      </w:r>
    </w:p>
    <w:p>
      <w:pPr>
        <w:spacing w:after="0" w:line="229" w:lineRule="exact"/>
        <w:rPr>
          <w:sz w:val="20"/>
          <w:szCs w:val="20"/>
          <w:color w:val="auto"/>
        </w:rPr>
      </w:pPr>
    </w:p>
    <w:p>
      <w:pPr>
        <w:jc w:val="both"/>
        <w:ind w:left="100" w:firstLine="648"/>
        <w:spacing w:after="0" w:line="259" w:lineRule="auto"/>
        <w:rPr>
          <w:sz w:val="20"/>
          <w:szCs w:val="20"/>
          <w:color w:val="auto"/>
        </w:rPr>
      </w:pPr>
      <w:r>
        <w:rPr>
          <w:rFonts w:ascii="Arial" w:cs="Arial" w:eastAsia="Arial" w:hAnsi="Arial"/>
          <w:sz w:val="18"/>
          <w:szCs w:val="18"/>
          <w:color w:val="auto"/>
        </w:rPr>
        <w:t>This Sponsor Support Agreement (this “</w:t>
      </w:r>
      <w:r>
        <w:rPr>
          <w:rFonts w:ascii="Arial" w:cs="Arial" w:eastAsia="Arial" w:hAnsi="Arial"/>
          <w:sz w:val="18"/>
          <w:szCs w:val="18"/>
          <w:u w:val="single" w:color="auto"/>
          <w:color w:val="auto"/>
        </w:rPr>
        <w:t>Sponsor Agreement</w:t>
      </w:r>
      <w:r>
        <w:rPr>
          <w:rFonts w:ascii="Arial" w:cs="Arial" w:eastAsia="Arial" w:hAnsi="Arial"/>
          <w:sz w:val="18"/>
          <w:szCs w:val="18"/>
          <w:color w:val="auto"/>
        </w:rPr>
        <w:t>”) is dated as of February 9, 2021, by and among CMLS Holdings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CM Life Sciences,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Mount Sinai Genomics, Inc., a Delaware corporation, d/b/a Sema4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but not defined herein shall have the respective meanings ascribed to such terms in the Merger Agreement (as defined below).</w:t>
      </w:r>
    </w:p>
    <w:p>
      <w:pPr>
        <w:spacing w:after="0" w:line="187" w:lineRule="exact"/>
        <w:rPr>
          <w:sz w:val="20"/>
          <w:szCs w:val="20"/>
          <w:color w:val="auto"/>
        </w:rPr>
      </w:pPr>
    </w:p>
    <w:p>
      <w:pPr>
        <w:jc w:val="both"/>
        <w:ind w:left="100" w:firstLine="648"/>
        <w:spacing w:after="0" w:line="308" w:lineRule="auto"/>
        <w:rPr>
          <w:sz w:val="20"/>
          <w:szCs w:val="20"/>
          <w:color w:val="auto"/>
        </w:rPr>
      </w:pPr>
      <w:r>
        <w:rPr>
          <w:rFonts w:ascii="Arial" w:cs="Arial" w:eastAsia="Arial" w:hAnsi="Arial"/>
          <w:sz w:val="17"/>
          <w:szCs w:val="17"/>
          <w:color w:val="auto"/>
        </w:rPr>
        <w:t>WHEREAS, as of the date hereof, Sponsor is the holder of record and the “beneficial owner” (within the meaning of Rule 13d-3 under the Exchange Act) of 9,987,500 shares of Parent Class B Stock and 6,466,667 Private Placement Warrants (collectively, the “</w:t>
      </w:r>
      <w:r>
        <w:rPr>
          <w:rFonts w:ascii="Arial" w:cs="Arial" w:eastAsia="Arial" w:hAnsi="Arial"/>
          <w:sz w:val="17"/>
          <w:szCs w:val="17"/>
          <w:u w:val="single" w:color="auto"/>
          <w:color w:val="auto"/>
        </w:rPr>
        <w:t>Subject Securities</w:t>
      </w:r>
      <w:r>
        <w:rPr>
          <w:rFonts w:ascii="Arial" w:cs="Arial" w:eastAsia="Arial" w:hAnsi="Arial"/>
          <w:sz w:val="17"/>
          <w:szCs w:val="17"/>
          <w:color w:val="auto"/>
        </w:rPr>
        <w:t>”);</w:t>
      </w:r>
    </w:p>
    <w:p>
      <w:pPr>
        <w:spacing w:after="0" w:line="146" w:lineRule="exact"/>
        <w:rPr>
          <w:sz w:val="20"/>
          <w:szCs w:val="20"/>
          <w:color w:val="auto"/>
        </w:rPr>
      </w:pPr>
    </w:p>
    <w:p>
      <w:pPr>
        <w:jc w:val="both"/>
        <w:ind w:left="100" w:firstLine="648"/>
        <w:spacing w:after="0" w:line="279" w:lineRule="auto"/>
        <w:rPr>
          <w:sz w:val="20"/>
          <w:szCs w:val="20"/>
          <w:color w:val="auto"/>
        </w:rPr>
      </w:pPr>
      <w:r>
        <w:rPr>
          <w:rFonts w:ascii="Arial" w:cs="Arial" w:eastAsia="Arial" w:hAnsi="Arial"/>
          <w:sz w:val="17"/>
          <w:szCs w:val="17"/>
          <w:color w:val="auto"/>
        </w:rPr>
        <w:t>WHEREAS, contemporaneously with the execution and delivery of this Sponsor Agreement, Parent, S-IV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and the Company have entered into an Agreement and Plan of Merger (as amended or modified from time to time, the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February 9, 2021, pursuant to which, among other transactions, Merger Sub is to merge with and into the Company, with the Company continuing on as the surviving entity and a wholly owned subsidiary of Parent, on the terms and conditions set forth therein; and</w:t>
      </w:r>
    </w:p>
    <w:p>
      <w:pPr>
        <w:spacing w:after="0" w:line="171"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color w:val="auto"/>
        </w:rPr>
        <w:t>WHEREAS, as an inducement to Parent and the Company to enter into the Merger Agreement and to consummate the transactions contemplated therein, the parties hereto desire to agree to certain matters as set forth herein.</w:t>
      </w:r>
    </w:p>
    <w:p>
      <w:pPr>
        <w:spacing w:after="0" w:line="170" w:lineRule="exact"/>
        <w:rPr>
          <w:sz w:val="20"/>
          <w:szCs w:val="20"/>
          <w:color w:val="auto"/>
        </w:rPr>
      </w:pPr>
    </w:p>
    <w:p>
      <w:pPr>
        <w:jc w:val="both"/>
        <w:ind w:left="100" w:right="20"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agreements contained herein, and intending to be legally bound hereby, the parties hereto hereby agree as follows: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SPONSOR SUPPORT AGREEMENT; COVENANTS</w:t>
      </w:r>
    </w:p>
    <w:p>
      <w:pPr>
        <w:spacing w:after="0" w:line="211" w:lineRule="exact"/>
        <w:rPr>
          <w:sz w:val="20"/>
          <w:szCs w:val="20"/>
          <w:color w:val="auto"/>
        </w:rPr>
      </w:pPr>
    </w:p>
    <w:p>
      <w:pPr>
        <w:jc w:val="both"/>
        <w:ind w:firstLine="1080"/>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Binding Effect of Merger Agreement</w:t>
      </w:r>
      <w:r>
        <w:rPr>
          <w:rFonts w:ascii="Arial" w:cs="Arial" w:eastAsia="Arial" w:hAnsi="Arial"/>
          <w:sz w:val="18"/>
          <w:szCs w:val="18"/>
          <w:color w:val="auto"/>
        </w:rPr>
        <w:t xml:space="preserve">. Sponsor hereby acknowledges that it has read the Merger Agreement and this Sponsor reement and has had the opportunity to consult with its tax and legal advisors. The following sections of the Merger Agreement shall be incorporated into s Sponsor Agreement, </w:t>
      </w:r>
      <w:r>
        <w:rPr>
          <w:rFonts w:ascii="Arial" w:cs="Arial" w:eastAsia="Arial" w:hAnsi="Arial"/>
          <w:sz w:val="18"/>
          <w:szCs w:val="18"/>
          <w:i w:val="1"/>
          <w:iCs w:val="1"/>
          <w:color w:val="auto"/>
        </w:rPr>
        <w:t>mutatis mutanis</w:t>
      </w:r>
      <w:r>
        <w:rPr>
          <w:rFonts w:ascii="Arial" w:cs="Arial" w:eastAsia="Arial" w:hAnsi="Arial"/>
          <w:sz w:val="18"/>
          <w:szCs w:val="18"/>
          <w:color w:val="auto"/>
        </w:rPr>
        <w:t>: Sections 7.10 (</w:t>
      </w:r>
      <w:r>
        <w:rPr>
          <w:rFonts w:ascii="Arial" w:cs="Arial" w:eastAsia="Arial" w:hAnsi="Arial"/>
          <w:sz w:val="18"/>
          <w:szCs w:val="18"/>
          <w:i w:val="1"/>
          <w:iCs w:val="1"/>
          <w:color w:val="auto"/>
        </w:rPr>
        <w:t>No Solicitation</w:t>
      </w:r>
      <w:r>
        <w:rPr>
          <w:rFonts w:ascii="Arial" w:cs="Arial" w:eastAsia="Arial" w:hAnsi="Arial"/>
          <w:sz w:val="18"/>
          <w:szCs w:val="18"/>
          <w:color w:val="auto"/>
        </w:rPr>
        <w:t>) and 7.3(b) (</w:t>
      </w:r>
      <w:r>
        <w:rPr>
          <w:rFonts w:ascii="Arial" w:cs="Arial" w:eastAsia="Arial" w:hAnsi="Arial"/>
          <w:sz w:val="18"/>
          <w:szCs w:val="18"/>
          <w:i w:val="1"/>
          <w:iCs w:val="1"/>
          <w:color w:val="auto"/>
        </w:rPr>
        <w:t>Other Filings; Press Release</w:t>
      </w:r>
      <w:r>
        <w:rPr>
          <w:rFonts w:ascii="Arial" w:cs="Arial" w:eastAsia="Arial" w:hAnsi="Arial"/>
          <w:sz w:val="18"/>
          <w:szCs w:val="18"/>
          <w:color w:val="auto"/>
        </w:rPr>
        <w:t>) (including any relevant definitions ntained in any such Sections), and Sponsor hereby agrees to be bound by and comply with such sections as though Sponsor was an original signatory to the erger Agreement with respect to such sections.</w:t>
      </w:r>
    </w:p>
    <w:p>
      <w:pPr>
        <w:spacing w:after="0" w:line="188" w:lineRule="exact"/>
        <w:rPr>
          <w:sz w:val="20"/>
          <w:szCs w:val="20"/>
          <w:color w:val="auto"/>
        </w:rPr>
      </w:pPr>
    </w:p>
    <w:p>
      <w:pPr>
        <w:jc w:val="both"/>
        <w:ind w:firstLine="1080"/>
        <w:spacing w:after="0" w:line="25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 Transfer</w:t>
      </w:r>
      <w:r>
        <w:rPr>
          <w:rFonts w:ascii="Arial" w:cs="Arial" w:eastAsia="Arial" w:hAnsi="Arial"/>
          <w:sz w:val="18"/>
          <w:szCs w:val="18"/>
          <w:color w:val="auto"/>
        </w:rPr>
        <w:t>. During the period commencing on the date hereof and ending on the earliest of: (a) the Effective Time; (b) such date d time as the Merger Agreement shall be terminated in accordance with Section 9.1 (</w:t>
      </w:r>
      <w:r>
        <w:rPr>
          <w:rFonts w:ascii="Arial" w:cs="Arial" w:eastAsia="Arial" w:hAnsi="Arial"/>
          <w:sz w:val="18"/>
          <w:szCs w:val="18"/>
          <w:i w:val="1"/>
          <w:iCs w:val="1"/>
          <w:color w:val="auto"/>
        </w:rPr>
        <w:t>Termination</w:t>
      </w:r>
      <w:r>
        <w:rPr>
          <w:rFonts w:ascii="Arial" w:cs="Arial" w:eastAsia="Arial" w:hAnsi="Arial"/>
          <w:sz w:val="18"/>
          <w:szCs w:val="18"/>
          <w:color w:val="auto"/>
        </w:rPr>
        <w:t>) thereof (the earlier of (a) and (b), the “</w:t>
      </w:r>
      <w:r>
        <w:rPr>
          <w:rFonts w:ascii="Arial" w:cs="Arial" w:eastAsia="Arial" w:hAnsi="Arial"/>
          <w:sz w:val="18"/>
          <w:szCs w:val="18"/>
          <w:u w:val="single" w:color="auto"/>
          <w:color w:val="auto"/>
        </w:rPr>
        <w:t>Expiration Time</w:t>
      </w:r>
      <w:r>
        <w:rPr>
          <w:rFonts w:ascii="Arial" w:cs="Arial" w:eastAsia="Arial" w:hAnsi="Arial"/>
          <w:sz w:val="18"/>
          <w:szCs w:val="18"/>
          <w:color w:val="auto"/>
        </w:rPr>
        <w:t>”); d (c) the liquidation of Parent, Sponsor shall not, without the prior written consent of the Company, (i) sell, offer to sell, contract or agree to sell, hypothecate, dge, grant any option to purchase or otherwise dispose of or agree to dispose of, directly or indirectly, file (or participate in the filing of) a registration tement with the SEC (other than the Proxy Statement or the registration statement of the Parent) or establish or increase a put equivalent position or liquidate decrease a call equivalent position within the meaning of Section 16 of the Exchange Act, with respect to any Sponsor’s Subject Securities (unless the nsferee agrees to be bound by this Sponsor Agreement), (ii) enter into any swap or other arrangement that transfers to another, in whole or in part, any of the onomic consequences of ownership of any Sponsor’s Subject Securities or (iii) publicly announce any intention to effect any transaction specified in clause (i)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425450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138" w:name="page139"/>
    <w:bookmarkEnd w:id="138"/>
    <w:p>
      <w:pPr>
        <w:jc w:val="both"/>
        <w:ind w:firstLine="1080"/>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New Shares</w:t>
      </w:r>
      <w:r>
        <w:rPr>
          <w:rFonts w:ascii="Arial" w:cs="Arial" w:eastAsia="Arial" w:hAnsi="Arial"/>
          <w:sz w:val="17"/>
          <w:szCs w:val="17"/>
          <w:color w:val="auto"/>
        </w:rPr>
        <w:t>. In the event that (a) any Parent Shares, Parent Warrants or other equity securities of Parent are issued to Sponsor er the date of this Sponsor Agreement pursuant to any stock dividend, stock split, recapitalization, reclassification, combination or exchange of Parent Shares Parent Warrants of, on or affecting Parent Shares or Parent Warrants owned by Sponsor or otherwise, (b) a Sponsor purchases or otherwise acquires eneficial ownership” (within the meaning of Rule 13d-3 under the Exchange Act) of any Parent Shares, Parent Warrants or other equity securities of Parent er the date of this Sponsor Agreement, or (c) a Sponsor acquires the right to vote or share in the voting of any Parent Shares, Parent Warrants or other equity urities of Parent after the date of this Sponsor Agreement (such Parent Shares, Parent Warrants or other equity securities of Parent, collectively the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curities</w:t>
      </w:r>
      <w:r>
        <w:rPr>
          <w:rFonts w:ascii="Arial" w:cs="Arial" w:eastAsia="Arial" w:hAnsi="Arial"/>
          <w:sz w:val="17"/>
          <w:szCs w:val="17"/>
          <w:color w:val="auto"/>
        </w:rPr>
        <w:t>”), then such New Securities acquired or purchased by Sponsor shall be subject to the terms of this Sponsor Agreement to the same extent as if they nstituted Sponsor’s Subject Securities as of the date hereof.</w:t>
      </w:r>
    </w:p>
    <w:p>
      <w:pPr>
        <w:spacing w:after="0" w:line="178" w:lineRule="exact"/>
        <w:rPr>
          <w:sz w:val="20"/>
          <w:szCs w:val="20"/>
          <w:color w:val="auto"/>
        </w:rPr>
      </w:pPr>
    </w:p>
    <w:p>
      <w:pPr>
        <w:jc w:val="both"/>
        <w:ind w:firstLine="1080"/>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Closing Date Deliverables</w:t>
      </w:r>
      <w:r>
        <w:rPr>
          <w:rFonts w:ascii="Arial" w:cs="Arial" w:eastAsia="Arial" w:hAnsi="Arial"/>
          <w:sz w:val="18"/>
          <w:szCs w:val="18"/>
          <w:color w:val="auto"/>
        </w:rPr>
        <w:t>. At or prior to the Closing, Sponsor shall deliver to Parent and the Company a duly executed copy of t certain A&amp;R Registration Rights Agreement, by and among, Parent, the Company and the Company Stockholders or their respective affiliates, as plicable, in substantially the form attached as Exhibit E to the Merger Agreement.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Sponsor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1728"/>
        <w:spacing w:after="0" w:line="279" w:lineRule="auto"/>
        <w:tabs>
          <w:tab w:leader="none" w:pos="198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At any meeting of the shareholders of Parent, however called, or at any adjournment thereof, or in any other circumstance in ich the vote, consent or other approval of the shareholders of Parent is sought, Sponsor shall (i) appear at each such meeting or otherwise cause all of onsor’s Subject Securities to be counted as present thereat for purposes of calculating a quorum and (ii) vote (or cause to be voted), or execute and deliver a itten consent (or cause a written consent to be executed and delivered) covering, all of the Sponsor’s Subject Securities:</w:t>
      </w:r>
    </w:p>
    <w:p>
      <w:pPr>
        <w:spacing w:after="0" w:line="171" w:lineRule="exact"/>
        <w:rPr>
          <w:rFonts w:ascii="Arial" w:cs="Arial" w:eastAsia="Arial" w:hAnsi="Arial"/>
          <w:sz w:val="17"/>
          <w:szCs w:val="17"/>
          <w:color w:val="auto"/>
        </w:rPr>
      </w:pPr>
    </w:p>
    <w:p>
      <w:pPr>
        <w:ind w:left="2380" w:hanging="328"/>
        <w:spacing w:after="0"/>
        <w:tabs>
          <w:tab w:leader="none" w:pos="23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 favor of each of the Parent Stockholder Matters;</w:t>
      </w:r>
    </w:p>
    <w:p>
      <w:pPr>
        <w:spacing w:after="0" w:line="225" w:lineRule="exact"/>
        <w:rPr>
          <w:rFonts w:ascii="Arial" w:cs="Arial" w:eastAsia="Arial" w:hAnsi="Arial"/>
          <w:sz w:val="18"/>
          <w:szCs w:val="18"/>
          <w:color w:val="auto"/>
        </w:rPr>
      </w:pPr>
    </w:p>
    <w:p>
      <w:pPr>
        <w:jc w:val="both"/>
        <w:ind w:left="2380" w:hanging="328"/>
        <w:spacing w:after="0" w:line="279" w:lineRule="auto"/>
        <w:tabs>
          <w:tab w:leader="none" w:pos="23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against any business combination, merger agreement or merger (other than the Merger Agreement, the Merger and proposed Transactions), consolidation, combination, sale of substantial assets, reorganization, recapitalization, dissolution, liquidation or winding up of or by Parent, including any proposal for any of the foregoing (other than the Parent Stockholder Matters), regardless of whether there has been a Change in Recommendation;</w:t>
      </w:r>
    </w:p>
    <w:p>
      <w:pPr>
        <w:spacing w:after="0" w:line="171" w:lineRule="exact"/>
        <w:rPr>
          <w:rFonts w:ascii="Arial" w:cs="Arial" w:eastAsia="Arial" w:hAnsi="Arial"/>
          <w:sz w:val="17"/>
          <w:szCs w:val="17"/>
          <w:color w:val="auto"/>
        </w:rPr>
      </w:pPr>
    </w:p>
    <w:p>
      <w:pPr>
        <w:ind w:left="2380" w:hanging="328"/>
        <w:spacing w:after="0" w:line="277" w:lineRule="auto"/>
        <w:tabs>
          <w:tab w:leader="none" w:pos="23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against any proposal that would result in a change in the business, management or Board of Directors of Parent (other than in connection with the Parent Stockholder Matters as contemplated by the Merger Agreement); and</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6985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8" w:right="339" w:bottom="1440" w:gutter="0" w:footer="0" w:header="0"/>
        </w:sectPr>
      </w:pPr>
    </w:p>
    <w:bookmarkStart w:id="139" w:name="page140"/>
    <w:bookmarkEnd w:id="139"/>
    <w:p>
      <w:pPr>
        <w:jc w:val="both"/>
        <w:ind w:left="2380" w:hanging="328"/>
        <w:spacing w:after="0" w:line="275" w:lineRule="auto"/>
        <w:tabs>
          <w:tab w:leader="none" w:pos="23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against any proposal, action or agreement that would (A) impede, frustrate, prevent or nullify any provision of this Agreement, the Merger Agreement or Merger, (B) result in a breach in any respect of any covenant, representation, warranty or any other obligation or agreement of Parent or the Merger Sub under the Merger Agreement, (C) result in any of the conditions set forth in Article VIII of the Merger Agreement not being fulfilled or (D) change in any manner the dividend policy or capitalization of, including the voting or other rights of any class of capital stock of, Parent.</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Sponsor hereby agrees that it shall not commit or agree to take any action inconsistent with the foregoing.</w:t>
      </w:r>
    </w:p>
    <w:p>
      <w:pPr>
        <w:spacing w:after="0" w:line="225" w:lineRule="exact"/>
        <w:rPr>
          <w:sz w:val="20"/>
          <w:szCs w:val="20"/>
          <w:color w:val="auto"/>
        </w:rPr>
      </w:pPr>
    </w:p>
    <w:p>
      <w:pPr>
        <w:ind w:firstLine="1728"/>
        <w:spacing w:after="0" w:line="308" w:lineRule="auto"/>
        <w:tabs>
          <w:tab w:leader="none" w:pos="198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Sponsor shall comply with, and fully perform all of its obligations, covenants and agreements set forth in, the Insider Letter (as fined below), including the obligations of Sponsor therein to not redeem any Parent Shares owned by Sponsor in connection with the Transactions.</w:t>
      </w:r>
    </w:p>
    <w:p>
      <w:pPr>
        <w:spacing w:after="0" w:line="146" w:lineRule="exact"/>
        <w:rPr>
          <w:rFonts w:ascii="Arial" w:cs="Arial" w:eastAsia="Arial" w:hAnsi="Arial"/>
          <w:sz w:val="17"/>
          <w:szCs w:val="17"/>
          <w:color w:val="auto"/>
        </w:rPr>
      </w:pPr>
    </w:p>
    <w:p>
      <w:pPr>
        <w:jc w:val="both"/>
        <w:ind w:firstLine="1728"/>
        <w:spacing w:after="0" w:line="263" w:lineRule="auto"/>
        <w:tabs>
          <w:tab w:leader="none" w:pos="198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During the period commencing on the date hereof and ending at the Expiration Time, without the prior written consent of the mpany, Sponsor shall not, without the consent of the Company (not to be unreasonably withheld, conditioned or delayed), modify or amend any Contract 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4" w:lineRule="exact"/>
        <w:rPr>
          <w:sz w:val="20"/>
          <w:szCs w:val="20"/>
          <w:color w:val="auto"/>
        </w:rPr>
      </w:pPr>
    </w:p>
    <w:p>
      <w:pPr>
        <w:jc w:val="both"/>
        <w:ind w:firstLine="1080"/>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Sponsor shall take, or cause to be taken, all actions and do, or cause to be done, all things reasonably cessary under applicable Laws to consummate the Mergers and the other transactions contemplated by the Merger Agreement on the terms and subject to the nditions set forth therein and herein.</w:t>
      </w:r>
    </w:p>
    <w:p>
      <w:pPr>
        <w:spacing w:after="0" w:line="184" w:lineRule="exact"/>
        <w:rPr>
          <w:sz w:val="20"/>
          <w:szCs w:val="20"/>
          <w:color w:val="auto"/>
        </w:rPr>
      </w:pPr>
    </w:p>
    <w:p>
      <w:pPr>
        <w:jc w:val="both"/>
        <w:ind w:right="20" w:firstLine="108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 Inconsistent Agreement</w:t>
      </w:r>
      <w:r>
        <w:rPr>
          <w:rFonts w:ascii="Arial" w:cs="Arial" w:eastAsia="Arial" w:hAnsi="Arial"/>
          <w:sz w:val="18"/>
          <w:szCs w:val="18"/>
          <w:color w:val="auto"/>
        </w:rPr>
        <w:t>. Sponsor hereby represents and covenants that it has not entered into, and shall not enter into, any reement that would restrict, limit or interfere with the performance of its obligations hereunder.</w:t>
      </w:r>
    </w:p>
    <w:p>
      <w:pPr>
        <w:spacing w:after="0" w:line="170" w:lineRule="exact"/>
        <w:rPr>
          <w:sz w:val="20"/>
          <w:szCs w:val="20"/>
          <w:color w:val="auto"/>
        </w:rPr>
      </w:pPr>
    </w:p>
    <w:p>
      <w:pPr>
        <w:jc w:val="both"/>
        <w:ind w:firstLine="1080"/>
        <w:spacing w:after="0" w:line="263"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No Amendment to the Inside Letter</w:t>
      </w:r>
      <w:r>
        <w:rPr>
          <w:rFonts w:ascii="Arial" w:cs="Arial" w:eastAsia="Arial" w:hAnsi="Arial"/>
          <w:sz w:val="18"/>
          <w:szCs w:val="18"/>
          <w:color w:val="auto"/>
        </w:rPr>
        <w:t>. Neither Sponsor nor Parent shall amend, terminate or otherwise modify that certain letter reement, dated as of September 1, 2020, by and among the Parent, Sponsor and certain of the Parent’s current and former officers and directors (the “</w:t>
      </w:r>
      <w:r>
        <w:rPr>
          <w:rFonts w:ascii="Arial" w:cs="Arial" w:eastAsia="Arial" w:hAnsi="Arial"/>
          <w:sz w:val="18"/>
          <w:szCs w:val="18"/>
          <w:u w:val="single" w:color="auto"/>
          <w:color w:val="auto"/>
        </w:rPr>
        <w:t>Inside</w:t>
      </w:r>
      <w:r>
        <w:rPr>
          <w:rFonts w:ascii="Arial" w:cs="Arial" w:eastAsia="Arial" w:hAnsi="Arial"/>
          <w:sz w:val="18"/>
          <w:szCs w:val="18"/>
          <w:color w:val="auto"/>
        </w:rPr>
        <w:t xml:space="preserve"> </w:t>
      </w:r>
      <w:r>
        <w:rPr>
          <w:rFonts w:ascii="Arial" w:cs="Arial" w:eastAsia="Arial" w:hAnsi="Arial"/>
          <w:sz w:val="18"/>
          <w:szCs w:val="18"/>
          <w:u w:val="single" w:color="auto"/>
          <w:color w:val="auto"/>
        </w:rPr>
        <w:t>tter</w:t>
      </w:r>
      <w:r>
        <w:rPr>
          <w:rFonts w:ascii="Arial" w:cs="Arial" w:eastAsia="Arial" w:hAnsi="Arial"/>
          <w:sz w:val="18"/>
          <w:szCs w:val="18"/>
          <w:color w:val="auto"/>
        </w:rPr>
        <w:t>” and each party thereto a “</w:t>
      </w:r>
      <w:r>
        <w:rPr>
          <w:rFonts w:ascii="Arial" w:cs="Arial" w:eastAsia="Arial" w:hAnsi="Arial"/>
          <w:sz w:val="18"/>
          <w:szCs w:val="18"/>
          <w:u w:val="single" w:color="auto"/>
          <w:color w:val="auto"/>
        </w:rPr>
        <w:t>Founder Holder</w:t>
      </w:r>
      <w:r>
        <w:rPr>
          <w:rFonts w:ascii="Arial" w:cs="Arial" w:eastAsia="Arial" w:hAnsi="Arial"/>
          <w:sz w:val="18"/>
          <w:szCs w:val="18"/>
          <w:color w:val="auto"/>
        </w:rPr>
        <w:t>”) without the Company’s prior written consent.</w:t>
      </w:r>
    </w:p>
    <w:p>
      <w:pPr>
        <w:spacing w:after="0" w:line="184" w:lineRule="exact"/>
        <w:rPr>
          <w:sz w:val="20"/>
          <w:szCs w:val="20"/>
          <w:color w:val="auto"/>
        </w:rPr>
      </w:pPr>
    </w:p>
    <w:p>
      <w:pPr>
        <w:jc w:val="both"/>
        <w:ind w:firstLine="1080"/>
        <w:spacing w:after="0" w:line="263"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Sponsor shall, and shall cause each Founder Holder to, irrevocably and unconditionally waive (the “</w:t>
      </w:r>
      <w:r>
        <w:rPr>
          <w:rFonts w:ascii="Arial" w:cs="Arial" w:eastAsia="Arial" w:hAnsi="Arial"/>
          <w:sz w:val="18"/>
          <w:szCs w:val="18"/>
          <w:u w:val="single" w:color="auto"/>
          <w:color w:val="auto"/>
        </w:rPr>
        <w:t>Waiver</w:t>
      </w:r>
      <w:r>
        <w:rPr>
          <w:rFonts w:ascii="Arial" w:cs="Arial" w:eastAsia="Arial" w:hAnsi="Arial"/>
          <w:sz w:val="18"/>
          <w:szCs w:val="18"/>
          <w:color w:val="auto"/>
        </w:rPr>
        <w:t>”) any and all hts, title and interest Sponsor or such Founder Holder has or will have under Article 4.3(b) of the Parent Charter to receive excess shares upon conversion of shares of Parent Class A Stock in connection with the Merger or the Transactions.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6985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35" w:right="339" w:bottom="1440" w:gutter="0" w:footer="0" w:header="0"/>
        </w:sectPr>
      </w:pPr>
    </w:p>
    <w:bookmarkStart w:id="140" w:name="page141"/>
    <w:bookmarkEnd w:id="140"/>
    <w:p>
      <w:pPr>
        <w:jc w:val="center"/>
        <w:ind w:right="-9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Representations and Warranties of Sponsor</w:t>
      </w:r>
      <w:r>
        <w:rPr>
          <w:rFonts w:ascii="Arial" w:cs="Arial" w:eastAsia="Arial" w:hAnsi="Arial"/>
          <w:sz w:val="16"/>
          <w:szCs w:val="16"/>
          <w:color w:val="auto"/>
        </w:rPr>
        <w:t>. Sponsor represents and warrants as of the date hereof to Parent and the Company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lows:</w:t>
      </w:r>
    </w:p>
    <w:p>
      <w:pPr>
        <w:spacing w:after="0" w:line="211" w:lineRule="exact"/>
        <w:rPr>
          <w:sz w:val="20"/>
          <w:szCs w:val="20"/>
          <w:color w:val="auto"/>
        </w:rPr>
      </w:pPr>
    </w:p>
    <w:p>
      <w:pPr>
        <w:jc w:val="both"/>
        <w:ind w:firstLine="1728"/>
        <w:spacing w:after="0" w:line="270" w:lineRule="auto"/>
        <w:tabs>
          <w:tab w:leader="none" w:pos="1999"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Organization; Due Authorization</w:t>
      </w:r>
      <w:r>
        <w:rPr>
          <w:rFonts w:ascii="Arial" w:cs="Arial" w:eastAsia="Arial" w:hAnsi="Arial"/>
          <w:sz w:val="17"/>
          <w:szCs w:val="17"/>
          <w:color w:val="auto"/>
        </w:rPr>
        <w:t>. Sponsor is duly organized, validly existing and in good standing under the laws of the isdiction in which it is incorporated, formed, organized or constituted, and the execution, delivery and performance of this Sponsor Agreement and the nsummation of the transactions contemplated hereby are within its corporate limited liability company or organizational powers and has been duly authorized all necessary corporate, limited liability company or organizational actions on the part of Sponsor. This Sponsor Agreement has been duly executed and ivered by Sponsor and, assuming due authorization, execution and delivery by the other parties to this Sponsor Agreement, this Sponsor Agreement nstitutes a legally valid and binding obligation of Sponsor, enforceable against Sponsor in accordance with the terms hereof (except as enforceability may be ited by bankruptcy Laws, other similar Laws affecting creditors’ rights and general principles of equity affecting the availability of specific performance and er equitable remedies). If this Sponsor Agreement is being executed in a representative or fiduciary capacity, the Person signing this Sponsor Agreement has l power and authority to enter into this Sponsor Agreement on behalf of Sponsor.</w:t>
      </w:r>
    </w:p>
    <w:p>
      <w:pPr>
        <w:spacing w:after="0" w:line="180" w:lineRule="exact"/>
        <w:rPr>
          <w:rFonts w:ascii="Arial" w:cs="Arial" w:eastAsia="Arial" w:hAnsi="Arial"/>
          <w:sz w:val="17"/>
          <w:szCs w:val="17"/>
          <w:color w:val="auto"/>
        </w:rPr>
      </w:pPr>
    </w:p>
    <w:p>
      <w:pPr>
        <w:ind w:firstLine="1728"/>
        <w:spacing w:after="0" w:line="289" w:lineRule="auto"/>
        <w:tabs>
          <w:tab w:leader="none" w:pos="1983"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Sponsor is the record and “beneficial owner” (within the meaning of Rule 13d-3 under the Exchange Act) of, and has od title to, Sponsor’s Subject Securities, and there exist no Liens or any other limitation or restriction (including any restriction on the right to vote, sell or erwise dispose of such Subject Securities (other than transfer restrictions under the Securities Act)) affecting any such Subject Securities, other than Liens or y other limitation or restriction pursuant to (i) this Sponsor Agreement, (ii) the Parent Organizational Documents, (iii) the Merger Agreement, (iv) the Insider tter and (v) any applicable securities laws. Sponsor’s Subject Securities are the only equity securities in Parent owned of record or beneficially by Sponsor on date of this Sponsor Agreement, and none of Sponsor’s Subject Securities are subject to any proxy, voting trust or other agreement or arrangement with pect to the voting of such Subject Securities, except as provided hereunder and under the Insider Letter, Merger Agreement and organizational documents of onsor. Other than the warrants of Parent held by Sponsor, Sponsor does not hold or own any rights to acquire (directly or indirectly) any equity securities of rent or any equity securities convertible into, or which can be exchanged for, equity securities of Parent.</w:t>
      </w:r>
    </w:p>
    <w:p>
      <w:pPr>
        <w:spacing w:after="0" w:line="166" w:lineRule="exact"/>
        <w:rPr>
          <w:rFonts w:ascii="Arial" w:cs="Arial" w:eastAsia="Arial" w:hAnsi="Arial"/>
          <w:sz w:val="16"/>
          <w:szCs w:val="16"/>
          <w:color w:val="auto"/>
        </w:rPr>
      </w:pPr>
    </w:p>
    <w:p>
      <w:pPr>
        <w:ind w:left="1980" w:hanging="252"/>
        <w:spacing w:after="0"/>
        <w:tabs>
          <w:tab w:leader="none" w:pos="1980"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this Sponsor Agreement by Sponsor does not, and the performance by Sponsor of</w:t>
      </w:r>
    </w:p>
    <w:p>
      <w:pPr>
        <w:spacing w:after="0" w:line="46" w:lineRule="exact"/>
        <w:rPr>
          <w:rFonts w:ascii="Arial" w:cs="Arial" w:eastAsia="Arial" w:hAnsi="Arial"/>
          <w:sz w:val="16"/>
          <w:szCs w:val="16"/>
          <w:color w:val="auto"/>
        </w:rPr>
      </w:pPr>
    </w:p>
    <w:p>
      <w:pPr>
        <w:jc w:val="both"/>
        <w:spacing w:after="0" w:line="253" w:lineRule="auto"/>
        <w:tabs>
          <w:tab w:leader="none" w:pos="9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her or its obligations hereunder will not, (i) conflict with or result in a violation of the organizational documents of Sponsor or (ii) require any consent or proval that has not been given or other action that has not been taken by any Person (including under any Contract binding upon Sponsor or Sponsor’s bject Securities), in each case, to the extent such consent, approval or other action would prevent, enjoin or materially delay the performance by Sponsor of obligations under this Sponsor Agreement.</w:t>
      </w:r>
    </w:p>
    <w:p>
      <w:pPr>
        <w:spacing w:after="0" w:line="192" w:lineRule="exact"/>
        <w:rPr>
          <w:rFonts w:ascii="Arial" w:cs="Arial" w:eastAsia="Arial" w:hAnsi="Arial"/>
          <w:sz w:val="18"/>
          <w:szCs w:val="18"/>
          <w:color w:val="auto"/>
        </w:rPr>
      </w:pPr>
    </w:p>
    <w:p>
      <w:pPr>
        <w:jc w:val="both"/>
        <w:ind w:firstLine="1728"/>
        <w:spacing w:after="0" w:line="286" w:lineRule="auto"/>
        <w:tabs>
          <w:tab w:leader="none" w:pos="1983"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There are no Legal Proceedings pending against Sponsor, or to the knowledge of Sponsor threatened against Sponsor, fore (or, in the case of threatened Legal Proceedings, that would be before) any arbitrator or any Governmental Entity, which in any manner challenges or ks to prevent, enjoin or materially delay the performance by Sponsor of its obligations under this Sponsor Agreement.</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6985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4" w:right="339" w:bottom="1440" w:gutter="0" w:footer="0" w:header="0"/>
        </w:sectPr>
      </w:pPr>
    </w:p>
    <w:bookmarkStart w:id="141" w:name="page142"/>
    <w:bookmarkEnd w:id="141"/>
    <w:p>
      <w:pPr>
        <w:jc w:val="both"/>
        <w:ind w:firstLine="1728"/>
        <w:spacing w:after="0" w:line="263" w:lineRule="auto"/>
        <w:tabs>
          <w:tab w:leader="none" w:pos="198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Brokerage Fees</w:t>
      </w:r>
      <w:r>
        <w:rPr>
          <w:rFonts w:ascii="Arial" w:cs="Arial" w:eastAsia="Arial" w:hAnsi="Arial"/>
          <w:sz w:val="18"/>
          <w:szCs w:val="18"/>
          <w:color w:val="auto"/>
        </w:rPr>
        <w:t>. Except as described on Section 5.21 of the Parent Disclosure Letter, no broker, finder, investment banker or er Person is entitled to any brokerage fee, finders’ fee or other commission in connection with the transactions contemplated by the Merger Agreement based on arrangements made by Sponsor, for which Parent or any of its Affiliates may become liable.</w:t>
      </w:r>
    </w:p>
    <w:p>
      <w:pPr>
        <w:spacing w:after="0" w:line="183" w:lineRule="exact"/>
        <w:rPr>
          <w:rFonts w:ascii="Arial" w:cs="Arial" w:eastAsia="Arial" w:hAnsi="Arial"/>
          <w:sz w:val="18"/>
          <w:szCs w:val="18"/>
          <w:color w:val="auto"/>
        </w:rPr>
      </w:pPr>
    </w:p>
    <w:p>
      <w:pPr>
        <w:jc w:val="both"/>
        <w:ind w:firstLine="1728"/>
        <w:spacing w:after="0" w:line="286" w:lineRule="auto"/>
        <w:tabs>
          <w:tab w:leader="none" w:pos="198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Affiliate Arrangements</w:t>
      </w:r>
      <w:r>
        <w:rPr>
          <w:rFonts w:ascii="Arial" w:cs="Arial" w:eastAsia="Arial" w:hAnsi="Arial"/>
          <w:sz w:val="17"/>
          <w:szCs w:val="17"/>
          <w:color w:val="auto"/>
        </w:rPr>
        <w:t>. Except as set forth on Schedule II hereto or otherwise disclosed in Parent’s Form S-1 Registration tement filed with the SEC, neither Sponsor nor any of the present or former directors, officers, employees, stockholders or Affiliates of Sponsor (or an mediate family member of any of the foregoing) is party to, or has any rights with respect to or arising from, any Contract with Parent.</w:t>
      </w:r>
    </w:p>
    <w:p>
      <w:pPr>
        <w:spacing w:after="0" w:line="165" w:lineRule="exact"/>
        <w:rPr>
          <w:rFonts w:ascii="Arial" w:cs="Arial" w:eastAsia="Arial" w:hAnsi="Arial"/>
          <w:sz w:val="17"/>
          <w:szCs w:val="17"/>
          <w:color w:val="auto"/>
        </w:rPr>
      </w:pPr>
    </w:p>
    <w:p>
      <w:pPr>
        <w:ind w:firstLine="1728"/>
        <w:spacing w:after="0" w:line="277" w:lineRule="auto"/>
        <w:tabs>
          <w:tab w:leader="none" w:pos="200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Sponsor understands and acknowledges that each of Parent and the Company is entering into the Merger reement in reliance upon Sponsor’s execution and delivery of this Sponsor Agreement.</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firstLine="1080"/>
        <w:spacing w:after="0" w:line="29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Sponsor Agreement and all of its provisions (except for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of this Sponsor Agreement) shall terminate d be of no further force or effect upon the earliest of: (a) the Expiration Time, (b) the liquidation of Parent and (c) the written agreement of the Sponsor, rent, and the Company. Upon such termination of this Sponsor Agreement, all obligations of the parties under this Sponsor Agreement will terminate, without y liability or other obligation on the part of any party hereto to any Person in respect hereof or the transactions contemplated hereby, and no party hereto shall ve any claim against another (and no person shall have any rights against such party), whether under contract, tort or otherwise, with respect to the subject tter hereof; provided, however, that the termination of this Sponsor Agreement shall not relieve any party hereto from liability arising in respect of any ach of this Sponsor Agreement prior to such termination.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survive the termination of this Sponsor Agreement.</w:t>
      </w:r>
    </w:p>
    <w:p>
      <w:pPr>
        <w:spacing w:after="0" w:line="166" w:lineRule="exact"/>
        <w:rPr>
          <w:sz w:val="20"/>
          <w:szCs w:val="20"/>
          <w:color w:val="auto"/>
        </w:rPr>
      </w:pPr>
    </w:p>
    <w:p>
      <w:pPr>
        <w:jc w:val="both"/>
        <w:ind w:firstLine="1080"/>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No Responsibility for Parent Related Parties</w:t>
      </w:r>
      <w:r>
        <w:rPr>
          <w:rFonts w:ascii="Arial" w:cs="Arial" w:eastAsia="Arial" w:hAnsi="Arial"/>
          <w:sz w:val="18"/>
          <w:szCs w:val="18"/>
          <w:color w:val="auto"/>
        </w:rPr>
        <w:t>. Notwithstanding anything in this Sponsor Agreement to the contrary, (i) Sponsor all not be responsible for the actions of Parent, the board of directors of Parent (or any committee thereof), or any officers, directors, employees or ofessional advisors of Parent, in each case acting in their capacity as such (collectively, the “Parent Related Parties”) and (ii) Sponsor makes no resentations or warranties with respect to the actions of any of the Parent Related Parties.</w:t>
      </w:r>
    </w:p>
    <w:p>
      <w:pPr>
        <w:spacing w:after="0" w:line="187" w:lineRule="exact"/>
        <w:rPr>
          <w:sz w:val="20"/>
          <w:szCs w:val="20"/>
          <w:color w:val="auto"/>
        </w:rPr>
      </w:pPr>
    </w:p>
    <w:p>
      <w:pPr>
        <w:jc w:val="both"/>
        <w:ind w:firstLine="1080"/>
        <w:spacing w:after="0" w:line="301"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Sponsor Agreement, and all claims or causes of action (whether in contract or tort) that may be based upon, se out of or relate to this Sponsor Agreement or the negotiation, execution or performance of this Sponsor Agreement (including any claim or cause of action sed upon, arising out of or related to any representation or warranty made in or in connection with this Sponsor Agreement) will be governed by and nstrued in accordance with the internal Laws of the State of Delaware applicable to agreements executed and performed entirely within such State.</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6985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8" w:right="339" w:bottom="1440" w:gutter="0" w:footer="0" w:header="0"/>
        </w:sectPr>
      </w:pPr>
    </w:p>
    <w:bookmarkStart w:id="142" w:name="page143"/>
    <w:bookmarkEnd w:id="142"/>
    <w:p>
      <w:pPr>
        <w:ind w:left="108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CONSENT TO JURISDICTION AND SERVICE OF PROCESS; WAIVER OF JURY TRIAL</w:t>
      </w:r>
      <w:r>
        <w:rPr>
          <w:rFonts w:ascii="Arial" w:cs="Arial" w:eastAsia="Arial" w:hAnsi="Arial"/>
          <w:sz w:val="18"/>
          <w:szCs w:val="18"/>
          <w:color w:val="auto"/>
        </w:rPr>
        <w:t>.</w:t>
      </w:r>
    </w:p>
    <w:p>
      <w:pPr>
        <w:spacing w:after="0" w:line="225" w:lineRule="exact"/>
        <w:rPr>
          <w:sz w:val="20"/>
          <w:szCs w:val="20"/>
          <w:color w:val="auto"/>
        </w:rPr>
      </w:pPr>
    </w:p>
    <w:p>
      <w:pPr>
        <w:jc w:val="both"/>
        <w:ind w:firstLine="1728"/>
        <w:spacing w:after="0" w:line="269" w:lineRule="auto"/>
        <w:tabs>
          <w:tab w:leader="none" w:pos="198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THE PARTIES TO THIS SPONSOR AGREEMENT SUBMIT TO THE EXCLUSIVE JURISDICTION OF THE COURT OF HANCERY OF THE STATE OF DELAWARE (OR, TO THE EXTENT SUCH COURT DOES NOT HAVE SUBJECT MATTER JURISDICTION, THE PERIOR COURT OF THE STATE OF DELAWARE) IN RESPECT OF THE INTERPRETATION AND ENFORCEMENT OF THE PROVISIONS OF IS SPONSOR AGREEMENT AND ANY RELATED AGREEMENT, CERTIFICATE OR OTHER DOCUMENT DELIVERED IN CONNECTION EREWITH AND BY THIS SPONSOR AGREEMENT WAIVE, AND AGREE NOT TO ASSERT, ANY DEFENSE IN ANY ACTION FOR THE TERPRETATION OR ENFORCEMENT OF THIS SPONSOR AGREEMENT AND ANY RELATED AGREEMENT, CERTIFICATE OR OTHER OCUMENT DELIVERED IN CONNECTION HEREWITH, THAT THEY ARE NOT SUBJECT THERETO OR THAT SUCH ACTION MAY NOT BE ROUGHT OR IS NOT MAINTAINABLE IN SUCH COURTS OR THAT THIS SPONSOR AGREEMENT MAY NOT BE ENFORCED IN OR BY SUCH OURTS OR THAT THEIR PROPERTY IS EXEMPT OR IMMUNE FROM EXECUTION, THAT THE ACTION IS BROUGHT IN AN INCONVENIENT RUM, OR THAT THE VENUE OF THE ACTION IS IMPROPER. SERVICE OF PROCESS WITH RESPECT THERETO MAY BE MADE UPON ANY RTY TO THIS SPONSOR AGREEMENT BY MAILING A COPY THEREOF BY REGISTERED OR CERTIFIED MAIL, POSTAGE PREPAID, TO CH PARTY AT ITS ADDRESS AS PROVIDED IN </w:t>
      </w:r>
      <w:r>
        <w:rPr>
          <w:rFonts w:ascii="Arial" w:cs="Arial" w:eastAsia="Arial" w:hAnsi="Arial"/>
          <w:sz w:val="17"/>
          <w:szCs w:val="17"/>
          <w:u w:val="single" w:color="auto"/>
          <w:color w:val="auto"/>
        </w:rPr>
        <w:t>SECTION 3.8</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728"/>
        <w:spacing w:after="0" w:line="253" w:lineRule="auto"/>
        <w:tabs>
          <w:tab w:leader="none" w:pos="2023"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xml:space="preserve">. EACH PARTY HERETO HEREBY ACKNOWLEDGES AND AGREES THAT ANY ONTROVERSY WHICH MAY ARISE UNDER THIS SPONSOR AGREEMENT IS LIKELY TO INVOLVE COMPLICATED AND DIFFICULT ISSUES, ND THEREFORE EACH SUCH PARTY HEREBY IRREVOCABLY AND UNCONDITIONALLY WAIVES ANY RIGHT SUCH PARTY MAY HAVE TO TRIAL BY JURY IN RESPECT OF ANY LITIGATION DIRECTLY OR INDIRECTLY ARISING OUT OF OR RELATING TO THIS SPONSOR GREEMENT OR THE TRANSACTIONS CONTEMPLATED BY THIS SPONSOR AGREEMENT. EACH PARTY CERTIFIES AND ACKNOWLEDGES AT (I) NO REPRESENTATIVE, AGENT OR ATTORNEY OF ANY OTHER PARTY HAS REPRESENTED, EXPRESSLY OR OTHERWISE, THAT CH OTHER PARTY WOULD NOT, IN THE EVENT OF LITIGATION, SEEK TO ENFORCE THE FOREGOING WAIVER, (II) EACH SUCH PARTY NDERSTANDS AND HAS CONSIDERED THE IMPLICATIONS OF THIS WAIVER, (III) EACH SUCH PARTY MAKES THIS WAIVER OLUNTARILY, AND (IV) EACH SUCH PARTY HAS BEEN INDUCED TO ENTER INTO THIS SPONSOR AGREEMENT BY, AMONG OTHER INGS, THE MUTUAL WAIVERS AND CERTIFICATIONS IN THIS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94" w:lineRule="exact"/>
        <w:rPr>
          <w:sz w:val="20"/>
          <w:szCs w:val="20"/>
          <w:color w:val="auto"/>
        </w:rPr>
      </w:pPr>
    </w:p>
    <w:p>
      <w:pPr>
        <w:jc w:val="both"/>
        <w:ind w:firstLine="1080"/>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Assignment</w:t>
      </w:r>
      <w:r>
        <w:rPr>
          <w:rFonts w:ascii="Arial" w:cs="Arial" w:eastAsia="Arial" w:hAnsi="Arial"/>
          <w:sz w:val="18"/>
          <w:szCs w:val="18"/>
          <w:color w:val="auto"/>
        </w:rPr>
        <w:t>. This Sponsor Agreement and all of the provisions hereof will be binding upon and inure to the benefit of the parties reto and their respective heirs, successors and permitted assigns. Neither this Sponsor Agreement nor any of the rights, interests or obligations hereunder will assigned (including by operation of law) without the prior written consent of the parties hereto.</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6985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8" w:right="339" w:bottom="1440" w:gutter="0" w:footer="0" w:header="0"/>
        </w:sectPr>
      </w:pPr>
    </w:p>
    <w:bookmarkStart w:id="143" w:name="page144"/>
    <w:bookmarkEnd w:id="143"/>
    <w:p>
      <w:pPr>
        <w:jc w:val="both"/>
        <w:ind w:firstLine="1080"/>
        <w:spacing w:after="0" w:line="275"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hereto agree that irreparable damage may occur in the event that any of the provisions of this onsor Agreement were not performed in accordance with their specific terms or were otherwise breached. It is accordingly agreed that the parties hereto shall entitled to enforce specifically the terms and provisions of this Sponsor Agreement in any court of the United States or any state having jurisdiction and mediate injunctive relief to prevent breaches of this Agreement, without the necessity of proving the inadequacy of money damages as a remedy and without nd or other security being required, this being in addition to any other remedy to which they are entitled at law or in equity.</w:t>
      </w:r>
    </w:p>
    <w:p>
      <w:pPr>
        <w:spacing w:after="0" w:line="176" w:lineRule="exact"/>
        <w:rPr>
          <w:sz w:val="20"/>
          <w:szCs w:val="20"/>
          <w:color w:val="auto"/>
        </w:rPr>
      </w:pPr>
    </w:p>
    <w:p>
      <w:pPr>
        <w:jc w:val="both"/>
        <w:ind w:right="20" w:firstLine="1080"/>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Amendment</w:t>
      </w:r>
      <w:r>
        <w:rPr>
          <w:rFonts w:ascii="Arial" w:cs="Arial" w:eastAsia="Arial" w:hAnsi="Arial"/>
          <w:sz w:val="18"/>
          <w:szCs w:val="18"/>
          <w:color w:val="auto"/>
        </w:rPr>
        <w:t>. This Sponsor Agreement may not be amended, changed, supplemented, waived or otherwise modified or terminated, cept upon the execution and delivery of a written agreement executed by Sponsor, Parent and the Company.</w:t>
      </w:r>
    </w:p>
    <w:p>
      <w:pPr>
        <w:spacing w:after="0" w:line="170" w:lineRule="exact"/>
        <w:rPr>
          <w:sz w:val="20"/>
          <w:szCs w:val="20"/>
          <w:color w:val="auto"/>
        </w:rPr>
      </w:pPr>
    </w:p>
    <w:p>
      <w:pPr>
        <w:jc w:val="both"/>
        <w:ind w:firstLine="1080"/>
        <w:spacing w:after="0" w:line="263"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Sponsor Agreement is held invalid or unenforceable by any court of competent jurisdiction, other provisions of this Sponsor Agreement will remain in full force and effect. Any provision of this Sponsor Agreement held invalid or unenforceable only part or degree will remain in full force and effect to the extent not held invalid or unenforceable.</w:t>
      </w:r>
    </w:p>
    <w:p>
      <w:pPr>
        <w:spacing w:after="0" w:line="184" w:lineRule="exact"/>
        <w:rPr>
          <w:sz w:val="20"/>
          <w:szCs w:val="20"/>
          <w:color w:val="auto"/>
        </w:rPr>
      </w:pPr>
    </w:p>
    <w:p>
      <w:pPr>
        <w:jc w:val="both"/>
        <w:ind w:firstLine="1080"/>
        <w:spacing w:after="0" w:line="274"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(a) on the date ablished by the sender as having been delivered personally; (b) one (1) Business Day after being sent by a nationally recognized overnight courier</w:t>
      </w:r>
    </w:p>
    <w:p>
      <w:pPr>
        <w:jc w:val="both"/>
        <w:ind w:left="40" w:hanging="48"/>
        <w:spacing w:after="0" w:line="234" w:lineRule="auto"/>
        <w:rPr>
          <w:sz w:val="20"/>
          <w:szCs w:val="20"/>
          <w:color w:val="auto"/>
        </w:rPr>
      </w:pPr>
      <w:r>
        <w:rPr>
          <w:rFonts w:ascii="Arial" w:cs="Arial" w:eastAsia="Arial" w:hAnsi="Arial"/>
          <w:sz w:val="16"/>
          <w:szCs w:val="16"/>
          <w:color w:val="auto"/>
        </w:rPr>
        <w:t>aranteeing overnight delivery; (c) on the date delivered, if delivered by email, with confirmation of transmission; or (d) on the 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after date mailed, by certified or registered mail, return receipt requested, postage prepaid. Such communications, to be valid, must be addressed as follows:</w:t>
      </w:r>
    </w:p>
    <w:p>
      <w:pPr>
        <w:spacing w:after="0" w:line="203" w:lineRule="exact"/>
        <w:rPr>
          <w:sz w:val="20"/>
          <w:szCs w:val="20"/>
          <w:color w:val="auto"/>
        </w:rPr>
      </w:pPr>
    </w:p>
    <w:p>
      <w:pPr>
        <w:ind w:left="1400"/>
        <w:spacing w:after="0"/>
        <w:rPr>
          <w:sz w:val="20"/>
          <w:szCs w:val="20"/>
          <w:color w:val="auto"/>
        </w:rPr>
      </w:pPr>
      <w:r>
        <w:rPr>
          <w:rFonts w:ascii="Arial" w:cs="Arial" w:eastAsia="Arial" w:hAnsi="Arial"/>
          <w:sz w:val="18"/>
          <w:szCs w:val="18"/>
          <w:u w:val="single" w:color="auto"/>
          <w:color w:val="auto"/>
        </w:rPr>
        <w:t>If to Parent or Sponsor</w:t>
      </w:r>
      <w:r>
        <w:rPr>
          <w:rFonts w:ascii="Arial" w:cs="Arial" w:eastAsia="Arial" w:hAnsi="Arial"/>
          <w:sz w:val="18"/>
          <w:szCs w:val="18"/>
          <w:color w:val="auto"/>
        </w:rPr>
        <w:t>:</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 CM Life Sciences, Inc.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Eli Casdin</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eli@casdincapital.com</w:t>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York, NY 10020-1095</w:t>
      </w:r>
    </w:p>
    <w:p>
      <w:pPr>
        <w:spacing w:after="0" w:line="9" w:lineRule="exact"/>
        <w:rPr>
          <w:sz w:val="20"/>
          <w:szCs w:val="20"/>
          <w:color w:val="auto"/>
        </w:rPr>
      </w:pPr>
    </w:p>
    <w:p>
      <w:pPr>
        <w:ind w:left="1400"/>
        <w:spacing w:after="0"/>
        <w:tabs>
          <w:tab w:leader="none" w:pos="2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Joel L. Rubinstein</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Matthew Kautz</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6985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8" w:right="339" w:bottom="1440" w:gutter="0" w:footer="0" w:header="0"/>
        </w:sectPr>
      </w:pPr>
    </w:p>
    <w:bookmarkStart w:id="144" w:name="page145"/>
    <w:bookmarkEnd w:id="144"/>
    <w:p>
      <w:pPr>
        <w:ind w:left="14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joel.rubinstein@whitecase.com</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mkautz@whitecase.com</w:t>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8"/>
          <w:szCs w:val="18"/>
          <w:u w:val="single" w:color="auto"/>
          <w:color w:val="auto"/>
        </w:rPr>
        <w:t>If to Company</w:t>
      </w:r>
      <w:r>
        <w:rPr>
          <w:rFonts w:ascii="Arial" w:cs="Arial" w:eastAsia="Arial" w:hAnsi="Arial"/>
          <w:sz w:val="18"/>
          <w:szCs w:val="18"/>
          <w:color w:val="auto"/>
        </w:rPr>
        <w:t>:</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Stamford, Connecticut 06902 Attention: General Counsel</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legal@sema4.com</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with a copy (which shall not constitute notice) to:</w:t>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Ethan Skerry, Robert A. Freedman and David K. Michaels</w:t>
      </w:r>
    </w:p>
    <w:p>
      <w:pPr>
        <w:spacing w:after="0" w:line="9"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eskerry@fenwick.com</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rfreedman@fenwick.com</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dmichaels@fenwick.com</w:t>
      </w:r>
    </w:p>
    <w:p>
      <w:pPr>
        <w:spacing w:after="0" w:line="211" w:lineRule="exact"/>
        <w:rPr>
          <w:sz w:val="20"/>
          <w:szCs w:val="20"/>
          <w:color w:val="auto"/>
        </w:rPr>
      </w:pPr>
    </w:p>
    <w:p>
      <w:pPr>
        <w:jc w:val="both"/>
        <w:ind w:firstLine="1080"/>
        <w:spacing w:after="0" w:line="30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Counterparts</w:t>
      </w:r>
      <w:r>
        <w:rPr>
          <w:rFonts w:ascii="Arial" w:cs="Arial" w:eastAsia="Arial" w:hAnsi="Arial"/>
          <w:sz w:val="17"/>
          <w:szCs w:val="17"/>
          <w:color w:val="auto"/>
        </w:rPr>
        <w:t>. This Sponsor Agreement may be executed in two (2) or more counterparts (any of which may be delivered by ctronic transmission), each of which shall constitute an original, and all of which taken together shall constitute one and the same instrument.</w:t>
      </w:r>
    </w:p>
    <w:p>
      <w:pPr>
        <w:spacing w:after="0" w:line="146" w:lineRule="exact"/>
        <w:rPr>
          <w:sz w:val="20"/>
          <w:szCs w:val="20"/>
          <w:color w:val="auto"/>
        </w:rPr>
      </w:pPr>
    </w:p>
    <w:p>
      <w:pPr>
        <w:jc w:val="both"/>
        <w:ind w:firstLine="1080"/>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Trust Account Waiver</w:t>
      </w:r>
      <w:r>
        <w:rPr>
          <w:rFonts w:ascii="Arial" w:cs="Arial" w:eastAsia="Arial" w:hAnsi="Arial"/>
          <w:sz w:val="18"/>
          <w:szCs w:val="18"/>
          <w:color w:val="auto"/>
        </w:rPr>
        <w:t>. Section 7.7 (</w:t>
      </w:r>
      <w:r>
        <w:rPr>
          <w:rFonts w:ascii="Arial" w:cs="Arial" w:eastAsia="Arial" w:hAnsi="Arial"/>
          <w:sz w:val="18"/>
          <w:szCs w:val="18"/>
          <w:i w:val="1"/>
          <w:iCs w:val="1"/>
          <w:color w:val="auto"/>
        </w:rPr>
        <w:t>No Claim Against Trust Account</w:t>
      </w:r>
      <w:r>
        <w:rPr>
          <w:rFonts w:ascii="Arial" w:cs="Arial" w:eastAsia="Arial" w:hAnsi="Arial"/>
          <w:sz w:val="18"/>
          <w:szCs w:val="18"/>
          <w:color w:val="auto"/>
        </w:rPr>
        <w:t xml:space="preserve">) of the Merger Agreement is hereby incorporated into this onsor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right="20" w:firstLine="1080"/>
        <w:spacing w:after="0" w:line="26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Sponsor Agreement and the agreements referenced herein constitute the entire agreement and derstanding of the parties hereto in respect of the subject matter hereof and supersede all prior understandings, agreements or representations by or among the rties hereto to the extent they relate in any way to the subject matter hereof.</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8" w:right="339" w:bottom="1440" w:gutter="0" w:footer="0" w:header="0"/>
        </w:sectPr>
      </w:pPr>
    </w:p>
    <w:bookmarkStart w:id="145" w:name="page146"/>
    <w:bookmarkEnd w:id="145"/>
    <w:p>
      <w:pPr>
        <w:ind w:firstLine="648"/>
        <w:spacing w:after="0" w:line="277" w:lineRule="auto"/>
        <w:rPr>
          <w:sz w:val="20"/>
          <w:szCs w:val="20"/>
          <w:color w:val="auto"/>
        </w:rPr>
      </w:pPr>
      <w:r>
        <w:rPr>
          <w:rFonts w:ascii="Arial" w:cs="Arial" w:eastAsia="Arial" w:hAnsi="Arial"/>
          <w:sz w:val="18"/>
          <w:szCs w:val="18"/>
          <w:color w:val="auto"/>
        </w:rPr>
        <w:t>IN WITNESS WHEREOF, Sponsor, Parent, and the Company have each caused this Sponsor Support Agreement to be duly executed as of the date first written above.</w:t>
      </w:r>
    </w:p>
    <w:p>
      <w:pPr>
        <w:spacing w:after="0" w:line="3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SPONSOR: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CMLS Holdings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Eli Casdin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firstLine="648"/>
        <w:spacing w:after="0" w:line="277" w:lineRule="auto"/>
        <w:rPr>
          <w:sz w:val="20"/>
          <w:szCs w:val="20"/>
          <w:color w:val="auto"/>
        </w:rPr>
      </w:pPr>
      <w:r>
        <w:rPr>
          <w:rFonts w:ascii="Arial" w:cs="Arial" w:eastAsia="Arial" w:hAnsi="Arial"/>
          <w:sz w:val="18"/>
          <w:szCs w:val="18"/>
          <w:color w:val="auto"/>
        </w:rPr>
        <w:t>IN WITNESS WHEREOF, Sponsor, Parent, and the Company have each caused this Sponsor Support Agreement to be duly executed as of the date first written above.</w:t>
      </w:r>
    </w:p>
    <w:p>
      <w:pPr>
        <w:spacing w:after="0" w:line="3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PARENT:</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Eli Casdin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firstLine="648"/>
        <w:spacing w:after="0" w:line="277" w:lineRule="auto"/>
        <w:rPr>
          <w:sz w:val="20"/>
          <w:szCs w:val="20"/>
          <w:color w:val="auto"/>
        </w:rPr>
      </w:pPr>
      <w:r>
        <w:rPr>
          <w:rFonts w:ascii="Arial" w:cs="Arial" w:eastAsia="Arial" w:hAnsi="Arial"/>
          <w:sz w:val="18"/>
          <w:szCs w:val="18"/>
          <w:color w:val="auto"/>
        </w:rPr>
        <w:t>IN WITNESS WHEREOF, Sponsor, Parent, and the Company have each caused this Sponsor Support Agreement to be duly executed as of the date first written above.</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Mount Sinai Genomics,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Dr.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Dr. Eric Schadt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jc w:val="center"/>
        <w:ind w:right="312"/>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9" w:lineRule="exact"/>
        <w:rPr>
          <w:sz w:val="20"/>
          <w:szCs w:val="20"/>
          <w:color w:val="auto"/>
        </w:rPr>
      </w:pPr>
    </w:p>
    <w:p>
      <w:pPr>
        <w:ind w:left="328" w:hanging="328"/>
        <w:spacing w:after="0" w:line="277" w:lineRule="auto"/>
        <w:tabs>
          <w:tab w:leader="none" w:pos="32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Warrant Agreement, dated September 1, 2020, by and between CM Life Sciences, Inc. and Continental Stock Transfer &amp; Trust Company, as warrant agent.</w:t>
      </w:r>
    </w:p>
    <w:p>
      <w:pPr>
        <w:spacing w:after="0" w:line="19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460375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49" w:name="page150"/>
    <w:bookmarkEnd w:id="149"/>
    <w:p>
      <w:pPr>
        <w:jc w:val="center"/>
        <w:ind w:right="312"/>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9" w:lineRule="exact"/>
        <w:rPr>
          <w:sz w:val="20"/>
          <w:szCs w:val="20"/>
          <w:color w:val="auto"/>
        </w:rPr>
      </w:pPr>
    </w:p>
    <w:p>
      <w:pPr>
        <w:ind w:left="328" w:right="20" w:hanging="328"/>
        <w:spacing w:after="0" w:line="258" w:lineRule="auto"/>
        <w:tabs>
          <w:tab w:leader="none" w:pos="32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Arrangement pursuant to which Keith Meister and Eli Casdin paid $12,500 each to White &amp; Case in connection with the initial formation matters on behalf of CM Life Sciences, Inc.</w:t>
      </w:r>
    </w:p>
    <w:p>
      <w:pPr>
        <w:spacing w:after="0" w:line="1" w:lineRule="exact"/>
        <w:rPr>
          <w:rFonts w:ascii="Arial" w:cs="Arial" w:eastAsia="Arial" w:hAnsi="Arial"/>
          <w:sz w:val="18"/>
          <w:szCs w:val="18"/>
          <w:color w:val="auto"/>
        </w:rPr>
      </w:pPr>
    </w:p>
    <w:p>
      <w:pPr>
        <w:ind w:left="328" w:hanging="328"/>
        <w:spacing w:after="0" w:line="260" w:lineRule="auto"/>
        <w:tabs>
          <w:tab w:leader="none" w:pos="32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Purchase Agreements with advised clients of Corvex Mangement LP and Casdin Capital LLC who agree to purchase Class A common shares under the Forward Purchase Agreement.</w:t>
      </w:r>
    </w:p>
    <w:p>
      <w:pPr>
        <w:spacing w:after="0" w:line="21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168910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 FORFEITURE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CMLS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Forfeiture of Certain Sponsor Class B Common Stock and Private Placement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Reference is hereby made to:</w:t>
      </w:r>
    </w:p>
    <w:p>
      <w:pPr>
        <w:spacing w:after="0" w:line="225" w:lineRule="exact"/>
        <w:rPr>
          <w:sz w:val="20"/>
          <w:szCs w:val="20"/>
          <w:color w:val="auto"/>
        </w:rPr>
      </w:pPr>
    </w:p>
    <w:p>
      <w:pPr>
        <w:jc w:val="both"/>
        <w:ind w:left="1160" w:hanging="653"/>
        <w:spacing w:after="0" w:line="259" w:lineRule="auto"/>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that certain Agreement and Plan of Merger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dated as of the date hereof, among CM Life Sciences, Inc., a Delaware corporation and publicly traded NASDAQ-listed acquisition company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S-IV Sub, Inc., a Delaware corporation and a direct, wholly-owned subsidiary of Parent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and Mount Sinai Genomics, Inc., a Delaware corporation, d/b/a Sema4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1160" w:hanging="653"/>
        <w:spacing w:after="0" w:line="279" w:lineRule="auto"/>
        <w:tabs>
          <w:tab w:leader="none" w:pos="11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that certain Private Placement Warrants Purchase Agreement (the “</w:t>
      </w:r>
      <w:r>
        <w:rPr>
          <w:rFonts w:ascii="Arial" w:cs="Arial" w:eastAsia="Arial" w:hAnsi="Arial"/>
          <w:sz w:val="17"/>
          <w:szCs w:val="17"/>
          <w:b w:val="1"/>
          <w:bCs w:val="1"/>
          <w:i w:val="1"/>
          <w:iCs w:val="1"/>
          <w:color w:val="auto"/>
        </w:rPr>
        <w:t>Warrant Purchase Agreement</w:t>
      </w:r>
      <w:r>
        <w:rPr>
          <w:rFonts w:ascii="Arial" w:cs="Arial" w:eastAsia="Arial" w:hAnsi="Arial"/>
          <w:sz w:val="17"/>
          <w:szCs w:val="17"/>
          <w:color w:val="auto"/>
        </w:rPr>
        <w:t>”), dated September 1, 2020, among Parent, CMLS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the other parties thereto, pursuant to which the Sponsor and the other purchasers set forth on the signature pages thereto (the “</w:t>
      </w:r>
      <w:r>
        <w:rPr>
          <w:rFonts w:ascii="Arial" w:cs="Arial" w:eastAsia="Arial" w:hAnsi="Arial"/>
          <w:sz w:val="17"/>
          <w:szCs w:val="17"/>
          <w:b w:val="1"/>
          <w:bCs w:val="1"/>
          <w:i w:val="1"/>
          <w:iCs w:val="1"/>
          <w:color w:val="auto"/>
        </w:rPr>
        <w:t>Purchasers</w:t>
      </w:r>
      <w:r>
        <w:rPr>
          <w:rFonts w:ascii="Arial" w:cs="Arial" w:eastAsia="Arial" w:hAnsi="Arial"/>
          <w:sz w:val="17"/>
          <w:szCs w:val="17"/>
          <w:color w:val="auto"/>
        </w:rPr>
        <w:t>”) acquired redeemable warrants to purchase shares of Parent’s Class A common stock (the ”</w:t>
      </w:r>
      <w:r>
        <w:rPr>
          <w:rFonts w:ascii="Arial" w:cs="Arial" w:eastAsia="Arial" w:hAnsi="Arial"/>
          <w:sz w:val="17"/>
          <w:szCs w:val="17"/>
          <w:b w:val="1"/>
          <w:bCs w:val="1"/>
          <w:i w:val="1"/>
          <w:iCs w:val="1"/>
          <w:color w:val="auto"/>
        </w:rPr>
        <w:t>Sponsor Warrants”</w:t>
      </w:r>
      <w:r>
        <w:rPr>
          <w:rFonts w:ascii="Arial" w:cs="Arial" w:eastAsia="Arial" w:hAnsi="Arial"/>
          <w:sz w:val="17"/>
          <w:szCs w:val="17"/>
          <w:color w:val="auto"/>
        </w:rPr>
        <w:t>), as more specifically set forth therein; and</w:t>
      </w:r>
    </w:p>
    <w:p>
      <w:pPr>
        <w:spacing w:after="0" w:line="171" w:lineRule="exact"/>
        <w:rPr>
          <w:rFonts w:ascii="Arial" w:cs="Arial" w:eastAsia="Arial" w:hAnsi="Arial"/>
          <w:sz w:val="17"/>
          <w:szCs w:val="17"/>
          <w:color w:val="auto"/>
        </w:rPr>
      </w:pPr>
    </w:p>
    <w:p>
      <w:pPr>
        <w:jc w:val="both"/>
        <w:ind w:left="1160" w:hanging="653"/>
        <w:spacing w:after="0" w:line="263" w:lineRule="auto"/>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that certain Securities Subscription Agreement (the “</w:t>
      </w:r>
      <w:r>
        <w:rPr>
          <w:rFonts w:ascii="Arial" w:cs="Arial" w:eastAsia="Arial" w:hAnsi="Arial"/>
          <w:sz w:val="18"/>
          <w:szCs w:val="18"/>
          <w:b w:val="1"/>
          <w:bCs w:val="1"/>
          <w:i w:val="1"/>
          <w:iCs w:val="1"/>
          <w:color w:val="auto"/>
        </w:rPr>
        <w:t>Subscription Agreement</w:t>
      </w:r>
      <w:r>
        <w:rPr>
          <w:rFonts w:ascii="Arial" w:cs="Arial" w:eastAsia="Arial" w:hAnsi="Arial"/>
          <w:sz w:val="18"/>
          <w:szCs w:val="18"/>
          <w:color w:val="auto"/>
        </w:rPr>
        <w:t>”), dated July 16, 2020, between the Sponsor and Parent, pursuant to which the Sponsor subscribed for shares of Class B common stock of Parent (the “</w:t>
      </w:r>
      <w:r>
        <w:rPr>
          <w:rFonts w:ascii="Arial" w:cs="Arial" w:eastAsia="Arial" w:hAnsi="Arial"/>
          <w:sz w:val="18"/>
          <w:szCs w:val="18"/>
          <w:b w:val="1"/>
          <w:bCs w:val="1"/>
          <w:i w:val="1"/>
          <w:iCs w:val="1"/>
          <w:color w:val="auto"/>
        </w:rPr>
        <w:t>Sponsor Class B Shares”</w:t>
      </w:r>
      <w:r>
        <w:rPr>
          <w:rFonts w:ascii="Arial" w:cs="Arial" w:eastAsia="Arial" w:hAnsi="Arial"/>
          <w:sz w:val="18"/>
          <w:szCs w:val="18"/>
          <w:color w:val="auto"/>
        </w:rPr>
        <w:t>), as more specifically set forth therein.</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Capitalized terms used but not defined herein shall have the meanings ascribed to them in the Merger Agreement, the Warrant Purchase Agreement or the Subscription Agreement, as applicable.</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order to induce Parent and the Company to enter into the Merger Agreement and to proceed with the transactions contemplated therein and thereby, and for other good and valuable consideration, the receipt and sufficiency of which are hereby acknowledged, Parent, the Company and the Sponsor, hereby agree, pursuant to this letter agreement (this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as follows:</w:t>
      </w:r>
    </w:p>
    <w:p>
      <w:pPr>
        <w:spacing w:after="0" w:line="184" w:lineRule="exact"/>
        <w:rPr>
          <w:sz w:val="20"/>
          <w:szCs w:val="20"/>
          <w:color w:val="auto"/>
        </w:rPr>
      </w:pPr>
    </w:p>
    <w:p>
      <w:pPr>
        <w:ind w:left="660" w:right="20" w:hanging="652"/>
        <w:spacing w:after="0" w:line="277"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Forfeiture of Sponsor Warrants</w:t>
      </w:r>
      <w:r>
        <w:rPr>
          <w:rFonts w:ascii="Arial" w:cs="Arial" w:eastAsia="Arial" w:hAnsi="Arial"/>
          <w:sz w:val="18"/>
          <w:szCs w:val="18"/>
          <w:color w:val="auto"/>
        </w:rPr>
        <w:t>. Effective immediately prior to (and contingent upon) the Closing, the Sponsor agrees to forfeit a certain number of the Sponsor Warrants, calculated as follows: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In the event that Parent Stockholder Redemptions reduce the aggregate amount of funds held in the Trust Account, the Sponsor agrees to forfeit a number of the Sponsor Warrants equal to the </w:t>
      </w:r>
      <w:r>
        <w:rPr>
          <w:rFonts w:ascii="Arial" w:cs="Arial" w:eastAsia="Arial" w:hAnsi="Arial"/>
          <w:sz w:val="18"/>
          <w:szCs w:val="18"/>
          <w:u w:val="single" w:color="auto"/>
          <w:color w:val="auto"/>
        </w:rPr>
        <w:t>product of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 xml:space="preserve">one-third (1/3) of the Sponsor Warrants; </w:t>
      </w:r>
      <w:r>
        <w:rPr>
          <w:rFonts w:ascii="Arial" w:cs="Arial" w:eastAsia="Arial" w:hAnsi="Arial"/>
          <w:sz w:val="18"/>
          <w:szCs w:val="18"/>
          <w:u w:val="single" w:color="auto"/>
          <w:color w:val="auto"/>
        </w:rPr>
        <w:t>multiplied by</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ind w:left="1960" w:right="20" w:hanging="656"/>
        <w:spacing w:after="0" w:line="277" w:lineRule="auto"/>
        <w:tabs>
          <w:tab w:leader="none" w:pos="1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percentage equal to the quotient of the dollar amount of Parent Stockholder Redemptions divided by dollar value of the aggregate amount of funds held in the Trust Account as of the date hereof (the “</w:t>
      </w:r>
      <w:r>
        <w:rPr>
          <w:rFonts w:ascii="Arial" w:cs="Arial" w:eastAsia="Arial" w:hAnsi="Arial"/>
          <w:sz w:val="18"/>
          <w:szCs w:val="18"/>
          <w:b w:val="1"/>
          <w:bCs w:val="1"/>
          <w:i w:val="1"/>
          <w:iCs w:val="1"/>
          <w:color w:val="auto"/>
        </w:rPr>
        <w:t>Forfeiture Percentage</w:t>
      </w:r>
      <w:r>
        <w:rPr>
          <w:rFonts w:ascii="Arial" w:cs="Arial" w:eastAsia="Arial" w:hAnsi="Arial"/>
          <w:sz w:val="18"/>
          <w:szCs w:val="18"/>
          <w:color w:val="auto"/>
        </w:rPr>
        <w:t>”).</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Such product, rounded down to the nearest whole number of Sponsor Warrants, the “</w:t>
      </w:r>
      <w:r>
        <w:rPr>
          <w:rFonts w:ascii="Arial" w:cs="Arial" w:eastAsia="Arial" w:hAnsi="Arial"/>
          <w:sz w:val="18"/>
          <w:szCs w:val="18"/>
          <w:b w:val="1"/>
          <w:bCs w:val="1"/>
          <w:i w:val="1"/>
          <w:iCs w:val="1"/>
          <w:color w:val="auto"/>
        </w:rPr>
        <w:t>Forfeited Sponsor Warrants</w:t>
      </w:r>
      <w:r>
        <w:rPr>
          <w:rFonts w:ascii="Arial" w:cs="Arial" w:eastAsia="Arial" w:hAnsi="Arial"/>
          <w:sz w:val="18"/>
          <w:szCs w:val="18"/>
          <w:color w:val="auto"/>
        </w:rPr>
        <w:t>,” and the forfeiture thereof, the “</w:t>
      </w:r>
      <w:r>
        <w:rPr>
          <w:rFonts w:ascii="Arial" w:cs="Arial" w:eastAsia="Arial" w:hAnsi="Arial"/>
          <w:sz w:val="18"/>
          <w:szCs w:val="18"/>
          <w:b w:val="1"/>
          <w:bCs w:val="1"/>
          <w:i w:val="1"/>
          <w:iCs w:val="1"/>
          <w:color w:val="auto"/>
        </w:rPr>
        <w:t>Warrant Forfeiture</w:t>
      </w:r>
      <w:r>
        <w:rPr>
          <w:rFonts w:ascii="Arial" w:cs="Arial" w:eastAsia="Arial" w:hAnsi="Arial"/>
          <w:sz w:val="18"/>
          <w:szCs w:val="18"/>
          <w:color w:val="auto"/>
        </w:rPr>
        <w:t>.”</w:t>
      </w:r>
    </w:p>
    <w:p>
      <w:pPr>
        <w:spacing w:after="0" w:line="170" w:lineRule="exact"/>
        <w:rPr>
          <w:sz w:val="20"/>
          <w:szCs w:val="20"/>
          <w:color w:val="auto"/>
        </w:rPr>
      </w:pPr>
    </w:p>
    <w:p>
      <w:pPr>
        <w:ind w:left="660" w:right="20" w:firstLine="648"/>
        <w:spacing w:after="0" w:line="342" w:lineRule="auto"/>
        <w:rPr>
          <w:sz w:val="20"/>
          <w:szCs w:val="20"/>
          <w:color w:val="auto"/>
        </w:rPr>
      </w:pPr>
      <w:r>
        <w:rPr>
          <w:rFonts w:ascii="Arial" w:cs="Arial" w:eastAsia="Arial" w:hAnsi="Arial"/>
          <w:sz w:val="16"/>
          <w:szCs w:val="16"/>
          <w:color w:val="auto"/>
        </w:rPr>
        <w:t>For the avoidance of doubt, in no event shall the number of Forfeited Sponsor Warrants be less than zero or greater than one-third (1/3) of the Sponsor Warrants. Notwithstanding the foregoing, no Warrant Forfeiture will be required if the Forfeiture Percentage is less than 3%.</w:t>
      </w:r>
    </w:p>
    <w:p>
      <w:pPr>
        <w:spacing w:after="0" w:line="124" w:lineRule="exact"/>
        <w:rPr>
          <w:sz w:val="20"/>
          <w:szCs w:val="20"/>
          <w:color w:val="auto"/>
        </w:rPr>
      </w:pPr>
    </w:p>
    <w:p>
      <w:pPr>
        <w:ind w:left="660" w:right="20" w:hanging="652"/>
        <w:spacing w:after="0" w:line="277"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Forfeiture of Sponsor Class B Shares</w:t>
      </w:r>
      <w:r>
        <w:rPr>
          <w:rFonts w:ascii="Arial" w:cs="Arial" w:eastAsia="Arial" w:hAnsi="Arial"/>
          <w:sz w:val="18"/>
          <w:szCs w:val="18"/>
          <w:color w:val="auto"/>
        </w:rPr>
        <w:t>. Effective immediately prior to (and contingent upon) the Closing, the Sponsor agrees to forfeit a certain number of the Sponsor Class B Shares, calculated as follows: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In the event that Parent Stockholder Redemptions reduce the aggregate amount of funds held in the Trust Account, the Sponsor agrees to forfeit a number of the Sponsor Class B Shares equal to the </w:t>
      </w:r>
      <w:r>
        <w:rPr>
          <w:rFonts w:ascii="Arial" w:cs="Arial" w:eastAsia="Arial" w:hAnsi="Arial"/>
          <w:sz w:val="18"/>
          <w:szCs w:val="18"/>
          <w:u w:val="single" w:color="auto"/>
          <w:color w:val="auto"/>
        </w:rPr>
        <w:t>product of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 xml:space="preserve">one-third (1/3) of the Sponsor Class B Shares; </w:t>
      </w:r>
      <w:r>
        <w:rPr>
          <w:rFonts w:ascii="Arial" w:cs="Arial" w:eastAsia="Arial" w:hAnsi="Arial"/>
          <w:sz w:val="18"/>
          <w:szCs w:val="18"/>
          <w:u w:val="single" w:color="auto"/>
          <w:color w:val="auto"/>
        </w:rPr>
        <w:t>multiplied by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the Forfeiture Percentage.</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Such product, rounded down to the nearest whole number of Sponsor Class B Shares, the “</w:t>
      </w:r>
      <w:r>
        <w:rPr>
          <w:rFonts w:ascii="Arial" w:cs="Arial" w:eastAsia="Arial" w:hAnsi="Arial"/>
          <w:sz w:val="18"/>
          <w:szCs w:val="18"/>
          <w:b w:val="1"/>
          <w:bCs w:val="1"/>
          <w:i w:val="1"/>
          <w:iCs w:val="1"/>
          <w:color w:val="auto"/>
        </w:rPr>
        <w:t>Forfeited Sponsor Class B Shares</w:t>
      </w:r>
      <w:r>
        <w:rPr>
          <w:rFonts w:ascii="Arial" w:cs="Arial" w:eastAsia="Arial" w:hAnsi="Arial"/>
          <w:sz w:val="18"/>
          <w:szCs w:val="18"/>
          <w:color w:val="auto"/>
        </w:rPr>
        <w:t>,” and the forfeiture thereof, the “</w:t>
      </w:r>
      <w:r>
        <w:rPr>
          <w:rFonts w:ascii="Arial" w:cs="Arial" w:eastAsia="Arial" w:hAnsi="Arial"/>
          <w:sz w:val="18"/>
          <w:szCs w:val="18"/>
          <w:b w:val="1"/>
          <w:bCs w:val="1"/>
          <w:i w:val="1"/>
          <w:iCs w:val="1"/>
          <w:color w:val="auto"/>
        </w:rPr>
        <w:t>Share Forfeiture</w:t>
      </w:r>
      <w:r>
        <w:rPr>
          <w:rFonts w:ascii="Arial" w:cs="Arial" w:eastAsia="Arial" w:hAnsi="Arial"/>
          <w:sz w:val="18"/>
          <w:szCs w:val="18"/>
          <w:color w:val="auto"/>
        </w:rPr>
        <w:t>.”</w:t>
      </w:r>
    </w:p>
    <w:p>
      <w:pPr>
        <w:spacing w:after="0" w:line="170" w:lineRule="exact"/>
        <w:rPr>
          <w:sz w:val="20"/>
          <w:szCs w:val="20"/>
          <w:color w:val="auto"/>
        </w:rPr>
      </w:pPr>
    </w:p>
    <w:p>
      <w:pPr>
        <w:ind w:left="660" w:firstLine="648"/>
        <w:spacing w:after="0" w:line="342" w:lineRule="auto"/>
        <w:rPr>
          <w:sz w:val="20"/>
          <w:szCs w:val="20"/>
          <w:color w:val="auto"/>
        </w:rPr>
      </w:pPr>
      <w:r>
        <w:rPr>
          <w:rFonts w:ascii="Arial" w:cs="Arial" w:eastAsia="Arial" w:hAnsi="Arial"/>
          <w:sz w:val="16"/>
          <w:szCs w:val="16"/>
          <w:color w:val="auto"/>
        </w:rPr>
        <w:t>For the avoidance of doubt, in no event shall the number of Forfeited Class B Shares be less than zero or greater than one-third (1/3) of the Sponsor Class B Shares. Notwithstanding the foregoing, no Share Forfeiture will be required if the Forfeiture Percentage is less than 3%.</w:t>
      </w:r>
    </w:p>
    <w:p>
      <w:pPr>
        <w:spacing w:after="0" w:line="124"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To effect the Warrant Forfeiture and the Share Forfeiture (together, the “</w:t>
      </w:r>
      <w:r>
        <w:rPr>
          <w:rFonts w:ascii="Arial" w:cs="Arial" w:eastAsia="Arial" w:hAnsi="Arial"/>
          <w:sz w:val="16"/>
          <w:szCs w:val="16"/>
          <w:b w:val="1"/>
          <w:bCs w:val="1"/>
          <w:i w:val="1"/>
          <w:iCs w:val="1"/>
          <w:color w:val="auto"/>
        </w:rPr>
        <w:t>Forfeitures</w:t>
      </w:r>
      <w:r>
        <w:rPr>
          <w:rFonts w:ascii="Arial" w:cs="Arial" w:eastAsia="Arial" w:hAnsi="Arial"/>
          <w:sz w:val="16"/>
          <w:szCs w:val="16"/>
          <w:color w:val="auto"/>
        </w:rPr>
        <w:t>”), immediately prior to (and contingent upon) the Closing:</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Sponsor shall surrender the Forfeited Sponsor Warrants and the Forfeited Sponsor Class B Shares (together, the “</w:t>
      </w:r>
      <w:r>
        <w:rPr>
          <w:rFonts w:ascii="Arial" w:cs="Arial" w:eastAsia="Arial" w:hAnsi="Arial"/>
          <w:sz w:val="18"/>
          <w:szCs w:val="18"/>
          <w:b w:val="1"/>
          <w:bCs w:val="1"/>
          <w:i w:val="1"/>
          <w:iCs w:val="1"/>
          <w:color w:val="auto"/>
        </w:rPr>
        <w:t>Forfeited Sponsor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the Company for cancellation and in exchange for no consideration;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Company shall immediately retire and cancel all of the Forfeited Sponsor Securities (and shall direct the Company’s transfer agent (or such other intermediaries as appropriate) to take any and all such actions incident thereto); and</w:t>
      </w:r>
    </w:p>
    <w:p>
      <w:pPr>
        <w:spacing w:after="0" w:line="170"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Sponsor and the Company each shall take such actions as are necessary to cause the Forfeited Sponsor Securities to be retired and cancelled, after which the Forfeited Sponsor Securities shall no longer be issued, outstanding, convertible, or exercisable, and the Sponsor shall provide the Company with evidence that such retirement and cancellation has occurred.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Sponsor hereby represents and warrants to the Company, as of the date hereof and as of the Closing, that the Sponsor owns, and holds of record, all of the Forfeited Sponsor Securities, free and clear of all Liens and other obligations in respect of the Forfeited Sponsor Securities.</w:t>
      </w:r>
    </w:p>
    <w:p>
      <w:pPr>
        <w:spacing w:after="0" w:line="123"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party hereto may assign either this Letter Agreement or any of its rights, interests, or obligations hereunder without the prior written consent of each of the other parties hereto. Any purported assignment in violation of this paragraph shall be void and ineffectual and shall not operate to transfer or assign any interest or title to the purported assignee. This Letter Agreement shall be binding on the Sponsor, the Company, and their respective successors and assigns.</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ind w:left="660" w:hanging="652"/>
        <w:spacing w:after="0" w:line="342" w:lineRule="auto"/>
        <w:tabs>
          <w:tab w:leader="none" w:pos="6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2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This Letter Agreement shall immediately terminate, without any further action by the parties hereto, at such time, if at all, that the Merger Agreement is terminated in accordance with its terms.</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Section 11.3 (</w:t>
      </w:r>
      <w:r>
        <w:rPr>
          <w:rFonts w:ascii="Arial" w:cs="Arial" w:eastAsia="Arial" w:hAnsi="Arial"/>
          <w:sz w:val="17"/>
          <w:szCs w:val="17"/>
          <w:i w:val="1"/>
          <w:iCs w:val="1"/>
          <w:color w:val="auto"/>
        </w:rPr>
        <w:t>Counterparts</w:t>
      </w:r>
      <w:r>
        <w:rPr>
          <w:rFonts w:ascii="Arial" w:cs="Arial" w:eastAsia="Arial" w:hAnsi="Arial"/>
          <w:sz w:val="17"/>
          <w:szCs w:val="17"/>
          <w:color w:val="auto"/>
        </w:rPr>
        <w:t>), Section 11.4 (</w:t>
      </w:r>
      <w:r>
        <w:rPr>
          <w:rFonts w:ascii="Arial" w:cs="Arial" w:eastAsia="Arial" w:hAnsi="Arial"/>
          <w:sz w:val="17"/>
          <w:szCs w:val="17"/>
          <w:i w:val="1"/>
          <w:iCs w:val="1"/>
          <w:color w:val="auto"/>
        </w:rPr>
        <w:t>Entire Agreement</w:t>
      </w:r>
      <w:r>
        <w:rPr>
          <w:rFonts w:ascii="Arial" w:cs="Arial" w:eastAsia="Arial" w:hAnsi="Arial"/>
          <w:sz w:val="17"/>
          <w:szCs w:val="17"/>
          <w:color w:val="auto"/>
        </w:rPr>
        <w:t>), Section 11.5 (</w:t>
      </w:r>
      <w:r>
        <w:rPr>
          <w:rFonts w:ascii="Arial" w:cs="Arial" w:eastAsia="Arial" w:hAnsi="Arial"/>
          <w:sz w:val="17"/>
          <w:szCs w:val="17"/>
          <w:i w:val="1"/>
          <w:iCs w:val="1"/>
          <w:color w:val="auto"/>
        </w:rPr>
        <w:t>Severability</w:t>
      </w:r>
      <w:r>
        <w:rPr>
          <w:rFonts w:ascii="Arial" w:cs="Arial" w:eastAsia="Arial" w:hAnsi="Arial"/>
          <w:sz w:val="17"/>
          <w:szCs w:val="17"/>
          <w:color w:val="auto"/>
        </w:rPr>
        <w:t>), Section 11.7 (</w:t>
      </w:r>
      <w:r>
        <w:rPr>
          <w:rFonts w:ascii="Arial" w:cs="Arial" w:eastAsia="Arial" w:hAnsi="Arial"/>
          <w:sz w:val="17"/>
          <w:szCs w:val="17"/>
          <w:i w:val="1"/>
          <w:iCs w:val="1"/>
          <w:color w:val="auto"/>
        </w:rPr>
        <w:t>Governing Law</w:t>
      </w:r>
      <w:r>
        <w:rPr>
          <w:rFonts w:ascii="Arial" w:cs="Arial" w:eastAsia="Arial" w:hAnsi="Arial"/>
          <w:sz w:val="17"/>
          <w:szCs w:val="17"/>
          <w:color w:val="auto"/>
        </w:rPr>
        <w:t>), Section 11.8 (</w:t>
      </w:r>
      <w:r>
        <w:rPr>
          <w:rFonts w:ascii="Arial" w:cs="Arial" w:eastAsia="Arial" w:hAnsi="Arial"/>
          <w:sz w:val="17"/>
          <w:szCs w:val="17"/>
          <w:i w:val="1"/>
          <w:iCs w:val="1"/>
          <w:color w:val="auto"/>
        </w:rPr>
        <w:t>Consent to</w:t>
      </w:r>
      <w:r>
        <w:rPr>
          <w:rFonts w:ascii="Arial" w:cs="Arial" w:eastAsia="Arial" w:hAnsi="Arial"/>
          <w:sz w:val="17"/>
          <w:szCs w:val="17"/>
          <w:color w:val="auto"/>
        </w:rPr>
        <w:t xml:space="preserve"> </w:t>
      </w:r>
      <w:r>
        <w:rPr>
          <w:rFonts w:ascii="Arial" w:cs="Arial" w:eastAsia="Arial" w:hAnsi="Arial"/>
          <w:sz w:val="17"/>
          <w:szCs w:val="17"/>
          <w:i w:val="1"/>
          <w:iCs w:val="1"/>
          <w:color w:val="auto"/>
        </w:rPr>
        <w:t>Jurisdiction; Waiver of Jury Trial</w:t>
      </w:r>
      <w:r>
        <w:rPr>
          <w:rFonts w:ascii="Arial" w:cs="Arial" w:eastAsia="Arial" w:hAnsi="Arial"/>
          <w:sz w:val="17"/>
          <w:szCs w:val="17"/>
          <w:color w:val="auto"/>
        </w:rPr>
        <w:t>), Section 11.12 (</w:t>
      </w:r>
      <w:r>
        <w:rPr>
          <w:rFonts w:ascii="Arial" w:cs="Arial" w:eastAsia="Arial" w:hAnsi="Arial"/>
          <w:sz w:val="17"/>
          <w:szCs w:val="17"/>
          <w:i w:val="1"/>
          <w:iCs w:val="1"/>
          <w:color w:val="auto"/>
        </w:rPr>
        <w:t>Amendment</w:t>
      </w:r>
      <w:r>
        <w:rPr>
          <w:rFonts w:ascii="Arial" w:cs="Arial" w:eastAsia="Arial" w:hAnsi="Arial"/>
          <w:sz w:val="17"/>
          <w:szCs w:val="17"/>
          <w:color w:val="auto"/>
        </w:rPr>
        <w:t>), and Section 11.13 (</w:t>
      </w:r>
      <w:r>
        <w:rPr>
          <w:rFonts w:ascii="Arial" w:cs="Arial" w:eastAsia="Arial" w:hAnsi="Arial"/>
          <w:sz w:val="17"/>
          <w:szCs w:val="17"/>
          <w:i w:val="1"/>
          <w:iCs w:val="1"/>
          <w:color w:val="auto"/>
        </w:rPr>
        <w:t>Waiver</w:t>
      </w:r>
      <w:r>
        <w:rPr>
          <w:rFonts w:ascii="Arial" w:cs="Arial" w:eastAsia="Arial" w:hAnsi="Arial"/>
          <w:sz w:val="17"/>
          <w:szCs w:val="17"/>
          <w:color w:val="auto"/>
        </w:rPr>
        <w:t>) of the Merger Agreement are hereby incorporated into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Letter Agreement, </w:t>
      </w:r>
      <w:r>
        <w:rPr>
          <w:rFonts w:ascii="Arial" w:cs="Arial" w:eastAsia="Arial" w:hAnsi="Arial"/>
          <w:sz w:val="17"/>
          <w:szCs w:val="17"/>
          <w:i w:val="1"/>
          <w:iCs w:val="1"/>
          <w:color w:val="auto"/>
        </w:rPr>
        <w:t>mutatis mutandis</w:t>
      </w:r>
      <w:r>
        <w:rPr>
          <w:rFonts w:ascii="Arial" w:cs="Arial" w:eastAsia="Arial" w:hAnsi="Arial"/>
          <w:sz w:val="17"/>
          <w:szCs w:val="17"/>
          <w:color w:val="auto"/>
        </w:rPr>
        <w:t>, as though set out in their entirety in this paragraph 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to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Agreement has been duly executed and delivered by each Party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Eli Casdin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Member</w:t>
            </w: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Mount Sinai Genomics, Inc.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Schadt</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Dr. Eric Schadt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Sponsor Forfeiture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 REGISTRATION RIGHTS AGREEMENT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AMENDED AND RESTATED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dated as of [__], 2021, is made and entered into by and among CM Life 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CMLS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the undersigned parties listed on the signature page hereto under “Existing Holders” (the “</w:t>
      </w:r>
      <w:r>
        <w:rPr>
          <w:rFonts w:ascii="Arial" w:cs="Arial" w:eastAsia="Arial" w:hAnsi="Arial"/>
          <w:sz w:val="17"/>
          <w:szCs w:val="17"/>
          <w:b w:val="1"/>
          <w:bCs w:val="1"/>
          <w:i w:val="1"/>
          <w:iCs w:val="1"/>
          <w:color w:val="auto"/>
        </w:rPr>
        <w:t>Existing Holders</w:t>
      </w:r>
      <w:r>
        <w:rPr>
          <w:rFonts w:ascii="Arial" w:cs="Arial" w:eastAsia="Arial" w:hAnsi="Arial"/>
          <w:sz w:val="17"/>
          <w:szCs w:val="17"/>
          <w:color w:val="auto"/>
        </w:rPr>
        <w:t>”), the undersigned parties listed on the signature page hereto as “New Holders” (the “</w:t>
      </w:r>
      <w:r>
        <w:rPr>
          <w:rFonts w:ascii="Arial" w:cs="Arial" w:eastAsia="Arial" w:hAnsi="Arial"/>
          <w:sz w:val="17"/>
          <w:szCs w:val="17"/>
          <w:b w:val="1"/>
          <w:bCs w:val="1"/>
          <w:i w:val="1"/>
          <w:iCs w:val="1"/>
          <w:color w:val="auto"/>
        </w:rPr>
        <w:t>New Holders</w:t>
      </w:r>
      <w:r>
        <w:rPr>
          <w:rFonts w:ascii="Arial" w:cs="Arial" w:eastAsia="Arial" w:hAnsi="Arial"/>
          <w:sz w:val="17"/>
          <w:szCs w:val="17"/>
          <w:color w:val="auto"/>
        </w:rPr>
        <w:t xml:space="preserve">” and, together with the Existing Holders and any person or entity who hereafter becomes a party to this Agreement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Agreement,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1, 2020, the Company and the Sponsor entered into that certain Registration Rights Agreement (the “</w:t>
      </w:r>
      <w:r>
        <w:rPr>
          <w:rFonts w:ascii="Arial" w:cs="Arial" w:eastAsia="Arial" w:hAnsi="Arial"/>
          <w:sz w:val="18"/>
          <w:szCs w:val="18"/>
          <w:b w:val="1"/>
          <w:bCs w:val="1"/>
          <w:i w:val="1"/>
          <w:iCs w:val="1"/>
          <w:color w:val="auto"/>
        </w:rPr>
        <w:t>Existing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the Company granted the Existing Holders certain registration rights with respect to certain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entered into that certain Agreement and Plan of Merger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dated as of February 9, 2021,</w:t>
      </w:r>
      <w:r>
        <w:rPr>
          <w:rFonts w:ascii="Arial" w:cs="Arial" w:eastAsia="Arial" w:hAnsi="Arial"/>
          <w:sz w:val="16"/>
          <w:szCs w:val="16"/>
          <w:b w:val="1"/>
          <w:bCs w:val="1"/>
          <w:color w:val="auto"/>
        </w:rPr>
        <w:t xml:space="preserve"> </w:t>
      </w:r>
      <w:r>
        <w:rPr>
          <w:rFonts w:ascii="Arial" w:cs="Arial" w:eastAsia="Arial" w:hAnsi="Arial"/>
          <w:sz w:val="16"/>
          <w:szCs w:val="16"/>
          <w:color w:val="auto"/>
        </w:rPr>
        <w:t>by and among the Company, S-IV Sub, Inc., a Delaware corporation, and Mount Sinai Genomics D/B/A Sema4, a Delaware corporation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closing of the transactions contemplated by the Merger Agreement and subject to the terms and conditions set forth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the Existing Holders and New Holders will hold shares of Class A common stock, par value $0.0001 per share, of the Company (“</w:t>
      </w:r>
      <w:r>
        <w:rPr>
          <w:rFonts w:ascii="Arial" w:cs="Arial" w:eastAsia="Arial" w:hAnsi="Arial"/>
          <w:sz w:val="18"/>
          <w:szCs w:val="18"/>
          <w:b w:val="1"/>
          <w:bCs w:val="1"/>
          <w:i w:val="1"/>
          <w:iCs w:val="1"/>
          <w:color w:val="auto"/>
        </w:rPr>
        <w:t>Class A 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in each case, in such amounts and subject to such terms and conditions as set forth in the Merger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contemplated by the Merger Agreement, the Company is conducting a private placement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(the “</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 pursuant to the terms of one or more Subscription Agreements, and certain Holders may purchase additional shares of Class A Common Stock pursuant thereto (the “</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New Holders may receive additional shares of Class A Common Stock (the “</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pursuant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in the Merger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Existing Registration Rights Agreement, the provisions, covenants and conditions set forth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amended or modified upon the written consent of the Company and the holders of a majority-in-interest of the “Registrable Securities” (as such term is defined in the Existing Registration Rights Agreement) at the time in question;</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Target and certain of the signatories hereto are parties to that certain Second Amended and Restated Stockholders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among Mount Sinai Genomics, Inc. d/b/a Sema4 and the Stockholders named therein, dated as of July 27, 2020 (the “</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xml:space="preserve"> ”) and that certain Registration Rights Agreement, by and between Icahn School of Medicine at Mount Sinai and Mount Sinai Genomics, Inc., dated as of March 28, 2016 (the “</w:t>
      </w:r>
      <w:r>
        <w:rPr>
          <w:rFonts w:ascii="Arial" w:cs="Arial" w:eastAsia="Arial" w:hAnsi="Arial"/>
          <w:sz w:val="18"/>
          <w:szCs w:val="18"/>
          <w:b w:val="1"/>
          <w:bCs w:val="1"/>
          <w:i w:val="1"/>
          <w:iCs w:val="1"/>
          <w:color w:val="auto"/>
        </w:rPr>
        <w:t>ISMMS Registration Rights Agreement</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inducement for the Company, the Target and Merger Sub to enter into the Merger Agreement, the Target and the New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will agree that, effective at the Closing Date, the Stockholders’ Agreement, the ISMMS Registration Rights Agreement and certain other agreements with the Target will terminate and be of no further force and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Sponsor desire to amend and restate the Existing Registration Rights Agreement in its entirety in order to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the Existing Holders and the New Holders certain registration rights with respect to certain securities of the Company, as set forth in this Agreement.</w:t>
      </w:r>
    </w:p>
    <w:p>
      <w:pPr>
        <w:spacing w:after="0" w:line="11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The terms defined in this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shall, for all purposes of this Agreement, have the respective meanings set forth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Disclosure Process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Adverse Disclosure</w:t>
      </w:r>
      <w:r>
        <w:rPr>
          <w:rFonts w:ascii="Arial" w:cs="Arial" w:eastAsia="Arial" w:hAnsi="Arial"/>
          <w:sz w:val="17"/>
          <w:szCs w:val="17"/>
          <w:color w:val="auto"/>
        </w:rPr>
        <w:t>” shall mean any public disclosure of material non-public information the disclosure of which, in the good-faith determination of the Company, after consultation with counsel to the Company, (i) would be required to be made in any Registration Statement or Prospectus in order for the applicable Registration Statement or Prospectus not to contain any Misstatement, (ii) would not be required to be made at such time if the Registration Statement were not being filed, and (iii) which the Company has a bona fide business purpose for not making public.</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who, directly or indirectly, controls, is controlled by, or is under direct or indirect common control with, such Person, and, in the case of an individual, also includes any member of such individual’s Immediate Family; provided that the Company and its subsidiaries will not be deemed to be Affiliates of any holder of Registrable Securities. As used in this definition, “control,” (including, with its correlative meanings, “controlling,” “controlled by” and “under common control”) shall mean possession, directly or indirectly, of power to direct or cause the direction of the management and policies of a Person, directly or indirectly, whether through ownership of voting securities or partnership or other ownership interests, by contract or otherwise.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 Trade</w:t>
      </w:r>
      <w:r>
        <w:rPr>
          <w:rFonts w:ascii="Arial" w:cs="Arial" w:eastAsia="Arial" w:hAnsi="Arial"/>
          <w:sz w:val="18"/>
          <w:szCs w:val="18"/>
          <w:color w:val="auto"/>
        </w:rPr>
        <w:t>” means an offering or sale of Registrable Securities by any Holder on a block trade or underwritten basis (whether firm commitment or otherwise) effected pursuant to a Registration Statement without substantial marketing efforts prior to pricing, including, without limitation, a same day trade, overnight trade or similar transaction.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a day that is not a Saturday or Sunday or a day on which banks in New York City are authorized or requested by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close.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shall mean Class B common stock, par value $0.0001 per share, of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shall mean the date of the consummation of the transactions contemplated by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Commission’s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Shelf Takedown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Holders</w:t>
      </w:r>
      <w:r>
        <w:rPr>
          <w:rFonts w:ascii="Arial" w:cs="Arial" w:eastAsia="Arial" w:hAnsi="Arial"/>
          <w:sz w:val="18"/>
          <w:szCs w:val="18"/>
          <w:color w:val="auto"/>
        </w:rPr>
        <w:t>” shall mean, as applicable, (a) the Existing Holders of at least a majority in interest of the then-outstanding number of Registrable Securities held by the Existing Holders, (b) the New Holders of at least a majority in interest of the then-outstanding number of Registrable Securities held by the New Holders or (c) any Holder meeting the Minimum Amount.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DWAC</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Effectiveness Deadline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Registration Rights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mean all shares of Class B Common Stock that are issued and outstanding as of the date hereof and all shares of Class A Common Stock issued upon conversion thereof.</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held by the Existing Holders or their Permitted Transferees, the period ending on the earlier of (a) one year after the Closing Date, (b) the first date that the closing price of the Class A Common Stock equals or exceeds $12.00 per share (as adjusted for stock splits, stock dividends, reorganizations, recapitalizations and the like) for any twenty (20) trading days within any thirty (30)-trading-day period commencing at least one hundred and fifty (150) days after the Closing Date, and (c) the date on which the Company completes a liquidation, merger, capital stock exchange, reorganization or other similar transaction that results in all of the Company’s stockholders having the right to exchange their shares of Class A Common Stock for cash, securities or other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xml:space="preserve">” shall mean the Existing Holders and the New Holders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shall mean any child, stepchild, grandchild, parent, stepparent, grandparent, spouse, sibling, mother-in-law, father-in-law, son-in-law, daughter-in-law, brother-in-law, sister-in-law and shall include adoptive relationships.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September 1, 2020, by and among the Company, the Sponsor and each of the Company’s officers, directors and director nominees.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ISMMS Registration Rights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Amount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any Prospectus in the light of the circumstances under which they were made) not misleading.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MNPI Provisions</w:t>
      </w:r>
      <w:r>
        <w:rPr>
          <w:rFonts w:ascii="Arial" w:cs="Arial" w:eastAsia="Arial" w:hAnsi="Arial"/>
          <w:sz w:val="18"/>
          <w:szCs w:val="18"/>
          <w:color w:val="auto"/>
        </w:rPr>
        <w:t xml:space="preserve">” shall have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Necessary Disclosure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color w:val="auto"/>
        </w:rPr>
        <w:t xml:space="preserve">” shall mean (a) with respect to an Existing Holder, any Person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Existing Holder and the Company, and to any transferee thereafter; and (b) with respect to a New Holder, (i) in the case of an individual, any Person to whom a Holder transfers Registrable Securities (1) by gift to a member of the individual’s Immediate Family, to a trust, the beneficiary of which is a member of the individual’s Immediate Family or an Affiliate of such Person, or to a charitable organization, (2) by virtue of laws of descent and distribution upon death of the individual and (3) pursuant to a qualified domestic relations order; or (ii) in the case of an entity, any Person to whom a Holder transfers Registrable Securities (1) by distribution to such entity’s members, partners, stockholders or equityholders, (2) to any of such entity’s Affiliates or to any fund or other entity controlled or managed by such entity or any of its Affiliates, or to investment manager or investment advisor of such entity or an Affiliate of any such investment manager or investment advisor, and (3) to a nominee or custodian of a person or entity to whom a disposition or transfer would be permissible under clause (b)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transferee to which a transfer is being made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if not a Holder, enters into a written agreement with the Company agreeing to be bound by the restrictions, including restrictions specific to certain holders, herein.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corporation, partnership, limited liability company, unincorporated association or other legal entity or business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the Private Placement Warrants and shares of Class A Common Stock issuable upon the exercise or conversion of the Private Placement Warrants, and that are held by the initial purchasers of the Private Placement Warrants or their Permitted Transferees, the period ending thirty (30) days after the Closing Date.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mean the warrants to purchase shares of Class A Common Stock purchased by the Sponsor pursuant to the Private Placement Warrants Purchase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 Purchase Agreement</w:t>
      </w:r>
      <w:r>
        <w:rPr>
          <w:rFonts w:ascii="Arial" w:cs="Arial" w:eastAsia="Arial" w:hAnsi="Arial"/>
          <w:sz w:val="18"/>
          <w:szCs w:val="18"/>
          <w:color w:val="auto"/>
        </w:rPr>
        <w:t>” shall mean that certain Private Placement Warrants Purchase Agreement by and between the Company and the Sponsor, dated as of September 1,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shall mean the prospectus included in any Registration Statement, including any preliminary prospectus and free writing prospectus, in each case, as supplemented by any and all prospectus supplements and as amended by any and all post-effective amendments and including all material incorporated by reference in such prospectus.</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xml:space="preserve">” shall mean (a) the Founder Shares and the shares of Class A Common Stock issued or issuable upon the conversion of the Founder Shares, (b) the Private Placement Warrants (including any shares of Class A Common Stock issued or issuable upon the exercise of the Private Placement Warrants), (c) any issued and outstanding shares of Class A Common Stock or any other equity security (including the shares of Class A Common Stock issued or issuable upon the exercise of any other equity security) of the Company held by a Holder as of the date of this Agreement, (d) any equity securities (including the shares of Class A Common Stock issued or issuable upon the exercise of any such equity security) of the Company issuable upon conversion of any working capital loans in an amount up to $1,500,000 made to the Company by a Holder (including the Working Capital Warrants and shares of Class A Common Stock issued or issuable upon the exercise of the Working Capital Warrants), (e) any outstanding shares of Class A Common Stock or any other equity security of the Company held by a New Holder issued in connection with the transactions contemplated by the Merger Agreement (including any Earnout Shares), (f) any PIPE Shares, (g) any other equity securities (including shares of Class A Common Stock) of the Company held by a New Holder at the Closing Date and (h) any other equity security of the Company issued or issuable with respect to any such share of Class A Common Stock by way of a stock dividend or stock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ceased to be outstanding; (iii) such securities have been otherwise transferred, new certificates for such securities not bearing a legend restricting further transfer shall have been delivered by the Company and subsequent public distribution of such securities shall not require registration under the Securities Act; (iv) with respect to a Holder, all such securities held by such Holder could be sold pursuant to Rule 144 promulgated under the Securities Act (or any successor rule promulgated thereafter by the Commission) without restriction on volume or manner of sale in any three-month period and without the requirement for the Company to be in compliance with the public information required under Rule 144; or (v) such securities have been sold to, or through, a broker, dealer or underwriter in a public distribution or other public securities transaction.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 provided a holder of Registrable Securities may only request that Registrable Securities in the form of Class A Common Stock be registered pursuant to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left="660" w:right="20" w:firstLine="644"/>
        <w:spacing w:after="0" w:line="277" w:lineRule="auto"/>
        <w:tabs>
          <w:tab w:leader="none" w:pos="157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registration, qualification and filing fees (including fees with respect to filings required to be made with the Financial Industry Regulatory Authority, Inc.) and any securities exchange on which the Class A Common Stock is then listed;</w:t>
      </w:r>
    </w:p>
    <w:p>
      <w:pPr>
        <w:spacing w:after="0" w:line="170" w:lineRule="exact"/>
        <w:rPr>
          <w:rFonts w:ascii="Arial" w:cs="Arial" w:eastAsia="Arial" w:hAnsi="Arial"/>
          <w:sz w:val="18"/>
          <w:szCs w:val="18"/>
          <w:color w:val="auto"/>
        </w:rPr>
      </w:pPr>
    </w:p>
    <w:p>
      <w:pPr>
        <w:ind w:left="660" w:firstLine="644"/>
        <w:spacing w:after="0" w:line="277" w:lineRule="auto"/>
        <w:tabs>
          <w:tab w:leader="none" w:pos="158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660" w:firstLine="644"/>
        <w:spacing w:after="0" w:line="277" w:lineRule="auto"/>
        <w:tabs>
          <w:tab w:leader="none" w:pos="160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Demanding Holders, not to exceed $75,000.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Trigger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 Guidance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and the rules and regulations of the Commission promulgated thereafter, all as the same shall be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Take Down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Underwritten Offering</w:t>
      </w:r>
      <w:r>
        <w:rPr>
          <w:rFonts w:ascii="Arial" w:cs="Arial" w:eastAsia="Arial" w:hAnsi="Arial"/>
          <w:sz w:val="18"/>
          <w:szCs w:val="18"/>
          <w:color w:val="auto"/>
        </w:rPr>
        <w:t>” shall mean an underwritten offering that is registered pursuant to a Shelf, including a Block Trade.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shall means those certain subscription agreements dated February 9, 2021 by and between the Company and certain subscribers to shares of Class A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Event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Conditions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3.5.2</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2.1.1 The Company shall, as soon as practicable, but in any event within thirty (30) days after the Closing Date (the “</w:t>
      </w:r>
      <w:r>
        <w:rPr>
          <w:rFonts w:ascii="Arial" w:cs="Arial" w:eastAsia="Arial" w:hAnsi="Arial"/>
          <w:sz w:val="16"/>
          <w:szCs w:val="16"/>
          <w:b w:val="1"/>
          <w:bCs w:val="1"/>
          <w:i w:val="1"/>
          <w:iCs w:val="1"/>
          <w:color w:val="auto"/>
        </w:rPr>
        <w:t>Filing Deadline</w:t>
      </w:r>
      <w:r>
        <w:rPr>
          <w:rFonts w:ascii="Arial" w:cs="Arial" w:eastAsia="Arial" w:hAnsi="Arial"/>
          <w:sz w:val="16"/>
          <w:szCs w:val="16"/>
          <w:color w:val="auto"/>
        </w:rPr>
        <w:t>”), file a Registration Statement under the Securities Act (the “</w:t>
      </w:r>
      <w:r>
        <w:rPr>
          <w:rFonts w:ascii="Arial" w:cs="Arial" w:eastAsia="Arial" w:hAnsi="Arial"/>
          <w:sz w:val="16"/>
          <w:szCs w:val="16"/>
          <w:b w:val="1"/>
          <w:bCs w:val="1"/>
          <w:i w:val="1"/>
          <w:iCs w:val="1"/>
          <w:color w:val="auto"/>
        </w:rPr>
        <w:t>Initial Shelf</w:t>
      </w:r>
      <w:r>
        <w:rPr>
          <w:rFonts w:ascii="Arial" w:cs="Arial" w:eastAsia="Arial" w:hAnsi="Arial"/>
          <w:sz w:val="16"/>
          <w:szCs w:val="16"/>
          <w:color w:val="auto"/>
        </w:rPr>
        <w:t xml:space="preserve">”) to permit the public resale of all the Registrable Securities held by the Holders from time to time as permitted by Rule 415 under the Securities Act (or any successor or similar provision adopted by the Commission then in effect) on the terms and conditions specified in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use its commercially reasonable efforts to cause such Initial Shelf to be declared effective as soon as practicable after the filing thereof, but in no event later than the earlier of (i) sixty (60) days following the Filing Deadline and (ii) five</w:t>
      </w:r>
    </w:p>
    <w:p>
      <w:pPr>
        <w:spacing w:after="0" w:line="2" w:lineRule="exact"/>
        <w:rPr>
          <w:sz w:val="20"/>
          <w:szCs w:val="20"/>
          <w:color w:val="auto"/>
        </w:rPr>
      </w:pPr>
    </w:p>
    <w:p>
      <w:pPr>
        <w:jc w:val="both"/>
        <w:ind w:firstLine="8"/>
        <w:spacing w:after="0" w:line="281" w:lineRule="auto"/>
        <w:tabs>
          <w:tab w:leader="none" w:pos="28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Business Days after the Commission notifies the Company that it will not review the Initial Shelf, if applicable (the “</w:t>
      </w:r>
      <w:r>
        <w:rPr>
          <w:rFonts w:ascii="Arial" w:cs="Arial" w:eastAsia="Arial" w:hAnsi="Arial"/>
          <w:sz w:val="16"/>
          <w:szCs w:val="16"/>
          <w:b w:val="1"/>
          <w:bCs w:val="1"/>
          <w:i w:val="1"/>
          <w:iCs w:val="1"/>
          <w:color w:val="auto"/>
        </w:rPr>
        <w:t>Effectiveness Deadline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Effectiveness Deadline shall be extended to ninety (90) days after the Filing Deadline if the Initial Shelf is reviewed by, and receives comments from, the Commission. Without limiting the foregoing, as soon as practicable, but in no event later than three (3) Business Days, following the resolution or clearance of all Commission comments or, if applicable, following notification by the Commission that the Initial Shelf or any amendment thereto will not be subject to review, the Company shall file a request for acceleration of effectiveness of such Initial Shelf (to the extent required, by declaration or ordering of effectiveness, of such Initial Shelf or amendment thereto by the Commission) to a time and date not later than two (2) Business Days after the submission of such request. The Initial Shelf filed with the Commission pursuant to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be on Form S-1 or such other form of registration statement as is then available to effect a registration for resale of the Registrable Securities, provided, that the Company shall file, within thirty (30) days of such time as Form S-3 is available for the Initial Shelf, a post-effective amendment to the Initial Shelf then in effect, or otherwise file a Registration Statement on Form S-3, registering the Registrable Securities for resale on Form S-3 (provided that the Company shall use commercially reasonable efforts to maintain the effectiveness of the Initial Shelf then in effect until such time as a Registration Statement (or post-effective amendment) on Form S-3 covering such Registrable Securities has been declared effective by the Commission. The Initial Shelf shall cover all Registrable Securities, and shall contain a Prospectus in such form as permits any Holder to sell such Registrable Securities pursuant to Rule 415 under the Securities Act (or any successor or similar provision adopted by the Commission then in effect) at any time beginning on the effective date for such Initial Shelf and the Company shall file with the Commission the final form of such Prospectus pursuant to Rule 424 (or successor thereto) under the Securities Act no later than the</w:t>
      </w:r>
    </w:p>
    <w:p>
      <w:pPr>
        <w:spacing w:after="0" w:line="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after the Initial Shelf becomes effective. The Initial Shelf shall provide for the resale pursuant to any method or combination of methods legally available to, and requested by, the Holders and shall include a customary “plan of distribution.” The Company shall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Initial Shelf, but in any event within three (3) Business Days of such date, the Company shall notify the Holders of the effectiveness of such the Initial Shelf.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jc w:val="both"/>
        <w:ind w:firstLine="1296"/>
        <w:spacing w:after="0" w:line="27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Form of Registration</w:t>
      </w:r>
      <w:r>
        <w:rPr>
          <w:rFonts w:ascii="Arial" w:cs="Arial" w:eastAsia="Arial" w:hAnsi="Arial"/>
          <w:sz w:val="17"/>
          <w:szCs w:val="17"/>
          <w:color w:val="auto"/>
        </w:rPr>
        <w:t>. If the Company files the Initial Shelf on Form S-3 (a “</w:t>
      </w:r>
      <w:r>
        <w:rPr>
          <w:rFonts w:ascii="Arial" w:cs="Arial" w:eastAsia="Arial" w:hAnsi="Arial"/>
          <w:sz w:val="17"/>
          <w:szCs w:val="17"/>
          <w:b w:val="1"/>
          <w:bCs w:val="1"/>
          <w:i w:val="1"/>
          <w:iCs w:val="1"/>
          <w:color w:val="auto"/>
        </w:rPr>
        <w:t>Form S-3 Shelf</w:t>
      </w:r>
      <w:r>
        <w:rPr>
          <w:rFonts w:ascii="Arial" w:cs="Arial" w:eastAsia="Arial" w:hAnsi="Arial"/>
          <w:sz w:val="17"/>
          <w:szCs w:val="17"/>
          <w:color w:val="auto"/>
        </w:rPr>
        <w:t>”) and thereafter the Company becomes ineligible to use Form S-3 for secondary sales, the Company shall use its commercially reasonable efforts to file the Initial Shelf on Form S-1 as promptly as practicable to replace the shelf registration statement that is on Form S-3 and have the Initial Shelf declared effective as promptly as practicable and to cause such Initial Shelf to remain effective, and to be supplemented and amended to the extent necessary to ensure that such Initial Shelf is available or, if not available, that another Registration Statement is available, for the public resale of all the Registrable Securities held by the Holders until all such Registrable Securities have ceased to be Registrable Securities.</w:t>
      </w:r>
    </w:p>
    <w:p>
      <w:pPr>
        <w:spacing w:after="0" w:line="178"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Shelf Takedowns</w:t>
      </w:r>
      <w:r>
        <w:rPr>
          <w:rFonts w:ascii="Arial" w:cs="Arial" w:eastAsia="Arial" w:hAnsi="Arial"/>
          <w:sz w:val="16"/>
          <w:szCs w:val="16"/>
          <w:color w:val="auto"/>
        </w:rPr>
        <w:t xml:space="preserve">. At any time and from time to time following the effectiveness of the Initial Shelf, any Holder may request to sell all or a portion of their Registrable Securities in a Shelf Underwritten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Holder(s) reasonably expects to sell Registrable Securities yielding aggregate gross proceeds in excess of $50,000,000 from such Shelf Underwritten Offering (such amount of Registrable Securities, the “</w:t>
      </w:r>
      <w:r>
        <w:rPr>
          <w:rFonts w:ascii="Arial" w:cs="Arial" w:eastAsia="Arial" w:hAnsi="Arial"/>
          <w:sz w:val="16"/>
          <w:szCs w:val="16"/>
          <w:b w:val="1"/>
          <w:bCs w:val="1"/>
          <w:i w:val="1"/>
          <w:iCs w:val="1"/>
          <w:color w:val="auto"/>
        </w:rPr>
        <w:t>Minimum Amount</w:t>
      </w:r>
      <w:r>
        <w:rPr>
          <w:rFonts w:ascii="Arial" w:cs="Arial" w:eastAsia="Arial" w:hAnsi="Arial"/>
          <w:sz w:val="16"/>
          <w:szCs w:val="16"/>
          <w:color w:val="auto"/>
        </w:rPr>
        <w:t>”). All requests for a Shelf Underwritten Offering shall be made by giving written notice to the Company (the “</w:t>
      </w:r>
      <w:r>
        <w:rPr>
          <w:rFonts w:ascii="Arial" w:cs="Arial" w:eastAsia="Arial" w:hAnsi="Arial"/>
          <w:sz w:val="16"/>
          <w:szCs w:val="16"/>
          <w:b w:val="1"/>
          <w:bCs w:val="1"/>
          <w:i w:val="1"/>
          <w:iCs w:val="1"/>
          <w:color w:val="auto"/>
        </w:rPr>
        <w:t>Shelf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Take Down Notice</w:t>
      </w:r>
      <w:r>
        <w:rPr>
          <w:rFonts w:ascii="Arial" w:cs="Arial" w:eastAsia="Arial" w:hAnsi="Arial"/>
          <w:sz w:val="16"/>
          <w:szCs w:val="16"/>
          <w:color w:val="auto"/>
        </w:rPr>
        <w:t>”). Each Shelf Take Down Notice shall specify the approximate number of Registrable Securities proposed to be sold in the Shelf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Underwritten Offering and the expected price range (net of underwriting discounts and commissions) of such Shelf Underwritten Offering. Except with respect to any Registrable Securities distributed by the Sponsor to its members following the expiration of the Founder Shares Lock-up Period or the Private Placement Lock-up Period, as applicable, within five (5) days after receipt of any Shelf Take Down Notice, the Company shall, subject to </w:t>
      </w:r>
      <w:r>
        <w:rPr>
          <w:rFonts w:ascii="Arial" w:cs="Arial" w:eastAsia="Arial" w:hAnsi="Arial"/>
          <w:sz w:val="16"/>
          <w:szCs w:val="16"/>
          <w:u w:val="single" w:color="auto"/>
          <w:color w:val="auto"/>
        </w:rPr>
        <w:t>subsections 3.5.3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3.5.4</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MNPI Provisions</w:t>
      </w:r>
      <w:r>
        <w:rPr>
          <w:rFonts w:ascii="Arial" w:cs="Arial" w:eastAsia="Arial" w:hAnsi="Arial"/>
          <w:sz w:val="16"/>
          <w:szCs w:val="16"/>
          <w:color w:val="auto"/>
        </w:rPr>
        <w:t>”), give written notice of such requested Shelf Underwritten Offering to all other Holders of Registrable Securities (the “</w:t>
      </w:r>
      <w:r>
        <w:rPr>
          <w:rFonts w:ascii="Arial" w:cs="Arial" w:eastAsia="Arial" w:hAnsi="Arial"/>
          <w:sz w:val="16"/>
          <w:szCs w:val="16"/>
          <w:b w:val="1"/>
          <w:bCs w:val="1"/>
          <w:i w:val="1"/>
          <w:iCs w:val="1"/>
          <w:color w:val="auto"/>
        </w:rPr>
        <w:t>Company Shelf Takedown Notice</w:t>
      </w:r>
      <w:r>
        <w:rPr>
          <w:rFonts w:ascii="Arial" w:cs="Arial" w:eastAsia="Arial" w:hAnsi="Arial"/>
          <w:sz w:val="16"/>
          <w:szCs w:val="16"/>
          <w:color w:val="auto"/>
        </w:rPr>
        <w:t xml:space="preserve">”) and, subject to the provisions of </w:t>
      </w:r>
      <w:r>
        <w:rPr>
          <w:rFonts w:ascii="Arial" w:cs="Arial" w:eastAsia="Arial" w:hAnsi="Arial"/>
          <w:sz w:val="16"/>
          <w:szCs w:val="16"/>
          <w:u w:val="single" w:color="auto"/>
          <w:color w:val="auto"/>
        </w:rPr>
        <w:t>subsection 2.2.4</w:t>
      </w:r>
      <w:r>
        <w:rPr>
          <w:rFonts w:ascii="Arial" w:cs="Arial" w:eastAsia="Arial" w:hAnsi="Arial"/>
          <w:sz w:val="16"/>
          <w:szCs w:val="16"/>
          <w:color w:val="auto"/>
        </w:rPr>
        <w:t xml:space="preserve">, shall include in such Shelf Underwritten Offering all Registrable Securities with respect to which the Company has received written requests for inclusion therein, within five (5) days after sending the Company Shelf Takedown Notice. The Company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 or delayed) by, the Company and shall take all such other reasonable actions as are requested by the managing Underwriter or Underwriters in order to expedite or facilitate the disposition of such Registrable Securities. In connection with any Shelf Underwritten Offering contemplated by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the underwriting agreement into which each Holder and the Company shall enter shall contain such representations, covenants, indemnities and other rights and obligations of the Company and the selling stockholders as are customary in underwritten offerings of securities by the Company. The New Holders, on the one hand, and the Existing Holders, on the other hand, may each demand not more than two (2) Shelf Underwritten Offerings pursuant to this Section 2.1.3 in any 12-month period.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1296"/>
        <w:spacing w:after="0" w:line="286" w:lineRule="auto"/>
        <w:rPr>
          <w:sz w:val="20"/>
          <w:szCs w:val="20"/>
          <w:color w:val="auto"/>
        </w:rPr>
      </w:pPr>
      <w:r>
        <w:rPr>
          <w:rFonts w:ascii="Arial" w:cs="Arial" w:eastAsia="Arial" w:hAnsi="Arial"/>
          <w:sz w:val="16"/>
          <w:szCs w:val="16"/>
          <w:color w:val="auto"/>
        </w:rPr>
        <w:t xml:space="preserve">2.1.4 At least ten (10) Business Days prior to the first anticipated filing date of a Registration Statement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the Company shall use reasonable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requested agreements or certificates, on or prior to the third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Business Day prior to the first anticipated filing date of a Registration Statement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2.1.5 Notwithstanding the registration obligations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in the event that, despite the Company’s efforts to include all of the Registrable Securities in any Registration Statement filed pursuant to subsection 2.1.1, the Commission informs the Company (the “</w:t>
      </w:r>
      <w:r>
        <w:rPr>
          <w:rFonts w:ascii="Arial" w:cs="Arial" w:eastAsia="Arial" w:hAnsi="Arial"/>
          <w:sz w:val="16"/>
          <w:szCs w:val="16"/>
          <w:b w:val="1"/>
          <w:bCs w:val="1"/>
          <w:i w:val="1"/>
          <w:iCs w:val="1"/>
          <w:color w:val="auto"/>
        </w:rPr>
        <w:t>Commission’s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that all of the Registrable Securities cannot, as a result of the application of Rule 415 or otherwise, be registered for resale as a secondary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 single Registration Statement, the Company agrees to promptly (i) inform each of the holders thereof and use its commercially reasonable efforts to file amendments to the Initial Shelf as required by the Commission and (ii) as soon as practicable but in no event later than the twentieth (20th) day following the first date on which such Registrable Securities may then be included in a Registration Statement, file an additional Registration Statement (a “</w:t>
      </w:r>
      <w:r>
        <w:rPr>
          <w:rFonts w:ascii="Arial" w:cs="Arial" w:eastAsia="Arial" w:hAnsi="Arial"/>
          <w:sz w:val="16"/>
          <w:szCs w:val="16"/>
          <w:b w:val="1"/>
          <w:bCs w:val="1"/>
          <w:i w:val="1"/>
          <w:iCs w:val="1"/>
          <w:color w:val="auto"/>
        </w:rPr>
        <w:t>New Registration Statement</w:t>
      </w:r>
      <w:r>
        <w:rPr>
          <w:rFonts w:ascii="Arial" w:cs="Arial" w:eastAsia="Arial" w:hAnsi="Arial"/>
          <w:sz w:val="16"/>
          <w:szCs w:val="16"/>
          <w:color w:val="auto"/>
        </w:rPr>
        <w:t>”), on Form S-3, or if Form S-3 is not then available to the Company for such Registration Statement, on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b w:val="1"/>
          <w:bCs w:val="1"/>
          <w:i w:val="1"/>
          <w:iCs w:val="1"/>
          <w:color w:val="auto"/>
        </w:rPr>
        <w:t>SEC Guidance</w:t>
      </w:r>
      <w:r>
        <w:rPr>
          <w:rFonts w:ascii="Arial" w:cs="Arial" w:eastAsia="Arial" w:hAnsi="Arial"/>
          <w:sz w:val="16"/>
          <w:szCs w:val="16"/>
          <w:color w:val="auto"/>
        </w:rPr>
        <w:t>”), including without limitation, the Manual of Publicly Available Telephone Interpretations D.29. The Holders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In the event the Company amends the Initial Shelf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Shelf, as amended, or the New Registration Statement.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jc w:val="both"/>
        <w:ind w:firstLine="1296"/>
        <w:spacing w:after="0" w:line="254" w:lineRule="auto"/>
        <w:rPr>
          <w:sz w:val="20"/>
          <w:szCs w:val="20"/>
          <w:color w:val="auto"/>
        </w:rPr>
      </w:pPr>
      <w:r>
        <w:rPr>
          <w:rFonts w:ascii="Arial" w:cs="Arial" w:eastAsia="Arial" w:hAnsi="Arial"/>
          <w:sz w:val="18"/>
          <w:szCs w:val="18"/>
          <w:color w:val="auto"/>
        </w:rPr>
        <w:t>2.1.6 No Holder shall be named as an “underwriter” in any Registration Statement filed pursuant to this Section 2 without the Holder’s prior written consent; provided that if the Commission requests that a Holder be identified as a statutory underwriter in the Registration Statement, then such Holder will have the option, in its sole and absolute discretion, to either (i) have the opportunity to withdraw from the Registration Statement upon its prompt written request to the Company, in which case the Company’s obligation to register such Holder’s Registrable Securities shall be deemed satisfied or (ii) be included as such in the Registration Statement. Each Registration Statement (and each amendment or supplement thereto) shall be provided to (and shall be subject to the approval, which shall not be unreasonably withheld or delayed, of) the Holders prior to its filing with, or other submission to, the Commission.</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2.1.7 In the event that on any Trading Day (as defined below) (the “</w:t>
      </w:r>
      <w:r>
        <w:rPr>
          <w:rFonts w:ascii="Arial" w:cs="Arial" w:eastAsia="Arial" w:hAnsi="Arial"/>
          <w:sz w:val="16"/>
          <w:szCs w:val="16"/>
          <w:b w:val="1"/>
          <w:bCs w:val="1"/>
          <w:i w:val="1"/>
          <w:iCs w:val="1"/>
          <w:color w:val="auto"/>
        </w:rPr>
        <w:t>Registration Trigger Date</w:t>
      </w:r>
      <w:r>
        <w:rPr>
          <w:rFonts w:ascii="Arial" w:cs="Arial" w:eastAsia="Arial" w:hAnsi="Arial"/>
          <w:sz w:val="16"/>
          <w:szCs w:val="16"/>
          <w:color w:val="auto"/>
        </w:rPr>
        <w:t>”) the number of shares available under the Registration Statements filed pursuant to this Section 2 is insufficient to cover all of the Registrable Securities (without giving effect to any limitations on the exercise or conversion of any securities exercisable for, or convertible into, Registrable Securities and, in the case of Registrable Securities issuable upon the exercise of warrants, assuming the exercise of such warrants for cash), the Company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The Company shall use its commercially reasonable efforts to cause such amendment and/or new Registration Statement to become effective as soon as practicable following the filing thereof, but in any event no later than sixty (60) days of the Registration Trigger Date (or ninety (90) days if the applicable Registration Statement or amendment is reviewed by, and comments are thereto provided from, the Commission) or as promptly as practicable in the event the Company is required to increase its authorized shares.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shall mean any day on which the Class A Common Stock is traded for any period on the principal securities exchange or market on which the Class A Common Stock is then being traded.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does not have an effective Registration Statement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outstanding covering all of the Registrable Securities, following the expiration of the Founder Shares Lock-up Period, the Private Placement Lock-up Period or any other applicable lock-up period, as the case may be, a Demanding Holder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Subject to the MNPI Provisions, the Company shall, within five (5) days of the Company’s receipt of the Demand Registration, notify,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to the Company, subject to </w:t>
      </w:r>
      <w:r>
        <w:rPr>
          <w:rFonts w:ascii="Arial" w:cs="Arial" w:eastAsia="Arial" w:hAnsi="Arial"/>
          <w:sz w:val="16"/>
          <w:szCs w:val="16"/>
          <w:u w:val="single" w:color="auto"/>
          <w:color w:val="auto"/>
        </w:rPr>
        <w:t>subsection 2.2.4</w:t>
      </w:r>
      <w:r>
        <w:rPr>
          <w:rFonts w:ascii="Arial" w:cs="Arial" w:eastAsia="Arial" w:hAnsi="Arial"/>
          <w:sz w:val="16"/>
          <w:szCs w:val="16"/>
          <w:color w:val="auto"/>
        </w:rPr>
        <w:t xml:space="preserve"> below, such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by the Existing Holders and an aggregate of five (5) Registration pursuant to a Demand Registration by the New Holders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Notwithstanding the foregoing, (i) the Company shall not be required to give effect to a Demand Registration from a Demanding Holder if the Company has registered Registrable Securities pursuant to a Demand Registration (which has become effective) from such Demanding Holder in the preceding one hundred and twenty (120) days, and (ii) the Company’s obligations with respect to any Demand Registration shall be deemed satisfied so long as the Registration Statement filed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includes all of such Demanding Holder’s Registrable Securities and is effective.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firstLine="1296"/>
        <w:spacing w:after="0" w:line="269"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above or any other part of this Agreement, a Registration pursuant to a Demand Registration shall not count as a Registration unless and until (a) the Registration Statement filed with the Commission with respect to a Registration pursuant to a Demand Registration has been declared effective by the Commission and, (b)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thereafter, of such election. The Company shall not be obligated or required to file another Registration Statement until the Registration Statement that has been previously filed with respect to a Registration pursuant to a Demand Registration by the same Demanding Holder becomes effective or is subsequently terminated.</w:t>
      </w:r>
    </w:p>
    <w:p>
      <w:pPr>
        <w:spacing w:after="0" w:line="18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shall enter into an underwriting agreement in customary form with the Company and the Underwriter(s) selected for such Underwritten Offering by a majority-in-interest of the Demanding Holders initiating the Demand Registration after consultation with, and approval by, the Company (which shall not be unreasonably withheld, conditioned or delayed).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both"/>
        <w:ind w:firstLine="1296"/>
        <w:spacing w:after="0" w:line="25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Reduction of Underwritten Offering</w:t>
      </w:r>
      <w:r>
        <w:rPr>
          <w:rFonts w:ascii="Arial" w:cs="Arial" w:eastAsia="Arial" w:hAnsi="Arial"/>
          <w:sz w:val="18"/>
          <w:szCs w:val="18"/>
          <w:color w:val="auto"/>
        </w:rPr>
        <w:t>. 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Class A Common Stock or other equity securities that the Company desires to sell for its own account and the Class A Common Stock,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then the Company shall include in such Underwritten Offering, as follows:</w:t>
      </w:r>
    </w:p>
    <w:p>
      <w:pPr>
        <w:spacing w:after="0" w:line="196" w:lineRule="exact"/>
        <w:rPr>
          <w:sz w:val="20"/>
          <w:szCs w:val="20"/>
          <w:color w:val="auto"/>
        </w:rPr>
      </w:pPr>
    </w:p>
    <w:p>
      <w:pPr>
        <w:jc w:val="both"/>
        <w:ind w:firstLine="2600"/>
        <w:spacing w:after="0" w:line="259" w:lineRule="auto"/>
        <w:tabs>
          <w:tab w:leader="none" w:pos="285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(such proportion is referred to herein as “</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that can be sold without exceeding the Maximum Number of Securities;</w:t>
      </w:r>
    </w:p>
    <w:p>
      <w:pPr>
        <w:spacing w:after="0" w:line="186" w:lineRule="exact"/>
        <w:rPr>
          <w:rFonts w:ascii="Arial" w:cs="Arial" w:eastAsia="Arial" w:hAnsi="Arial"/>
          <w:sz w:val="18"/>
          <w:szCs w:val="18"/>
          <w:color w:val="auto"/>
        </w:rPr>
      </w:pPr>
    </w:p>
    <w:p>
      <w:pPr>
        <w:jc w:val="both"/>
        <w:ind w:firstLine="2600"/>
        <w:spacing w:after="0" w:line="286" w:lineRule="auto"/>
        <w:tabs>
          <w:tab w:leader="none" w:pos="2855" w:val="left"/>
        </w:tabs>
        <w:numPr>
          <w:ilvl w:val="1"/>
          <w:numId w:val="171"/>
        </w:numPr>
        <w:rPr>
          <w:rFonts w:ascii="Arial" w:cs="Arial" w:eastAsia="Arial" w:hAnsi="Arial"/>
          <w:sz w:val="17"/>
          <w:szCs w:val="17"/>
          <w:color w:val="auto"/>
        </w:rPr>
      </w:pPr>
      <w:r>
        <w:rPr>
          <w:rFonts w:ascii="Arial" w:cs="Arial" w:eastAsia="Arial" w:hAnsi="Arial"/>
          <w:sz w:val="17"/>
          <w:szCs w:val="17"/>
          <w:color w:val="auto"/>
        </w:rPr>
        <w:t>second, to the extent that the Maximum Number of Securities has not been reached under the foregoing clause (a), the Registrable Securities of Holders (Pro Rata, based on the respective number of Registrable Securities held by each Holder) exercising their rights to register their Registrable Securities pursuant to subsection 2.3.1 hereof, without exceeding the Maximum Number of Securities;</w:t>
      </w:r>
    </w:p>
    <w:p>
      <w:pPr>
        <w:spacing w:after="0" w:line="165" w:lineRule="exact"/>
        <w:rPr>
          <w:rFonts w:ascii="Arial" w:cs="Arial" w:eastAsia="Arial" w:hAnsi="Arial"/>
          <w:sz w:val="17"/>
          <w:szCs w:val="17"/>
          <w:color w:val="auto"/>
        </w:rPr>
      </w:pPr>
    </w:p>
    <w:p>
      <w:pPr>
        <w:jc w:val="both"/>
        <w:ind w:firstLine="2600"/>
        <w:spacing w:after="0" w:line="263" w:lineRule="auto"/>
        <w:tabs>
          <w:tab w:leader="none" w:pos="285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third, to the extent that the Maximum Number of Securities has not been reached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(b),</w:t>
      </w:r>
      <w:r>
        <w:rPr>
          <w:rFonts w:ascii="Arial" w:cs="Arial" w:eastAsia="Arial" w:hAnsi="Arial"/>
          <w:sz w:val="18"/>
          <w:szCs w:val="18"/>
          <w:color w:val="auto"/>
        </w:rPr>
        <w:t xml:space="preserve"> the Class A Common Stock or other equity securities that the Company desires to sell for its own account, which can be sold without exceeding the Maximum Number of Securities; and</w:t>
      </w:r>
    </w:p>
    <w:p>
      <w:pPr>
        <w:spacing w:after="0" w:line="183" w:lineRule="exact"/>
        <w:rPr>
          <w:rFonts w:ascii="Arial" w:cs="Arial" w:eastAsia="Arial" w:hAnsi="Arial"/>
          <w:sz w:val="18"/>
          <w:szCs w:val="18"/>
          <w:color w:val="auto"/>
        </w:rPr>
      </w:pPr>
    </w:p>
    <w:p>
      <w:pPr>
        <w:ind w:left="2860" w:hanging="260"/>
        <w:spacing w:after="0"/>
        <w:tabs>
          <w:tab w:leader="none" w:pos="286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fourth, to the extent that the Maximum Number of Securities has not been reached under the foregoing </w:t>
      </w:r>
      <w:r>
        <w:rPr>
          <w:rFonts w:ascii="Arial" w:cs="Arial" w:eastAsia="Arial" w:hAnsi="Arial"/>
          <w:sz w:val="16"/>
          <w:szCs w:val="16"/>
          <w:u w:val="single" w:color="auto"/>
          <w:color w:val="auto"/>
        </w:rPr>
        <w:t>clauses (a),</w:t>
      </w:r>
    </w:p>
    <w:p>
      <w:pPr>
        <w:spacing w:after="0" w:line="46" w:lineRule="exact"/>
        <w:rPr>
          <w:rFonts w:ascii="Arial" w:cs="Arial" w:eastAsia="Arial" w:hAnsi="Arial"/>
          <w:sz w:val="16"/>
          <w:szCs w:val="16"/>
          <w:color w:val="auto"/>
        </w:rPr>
      </w:pPr>
    </w:p>
    <w:p>
      <w:pPr>
        <w:ind w:firstLine="8"/>
        <w:spacing w:after="0" w:line="323" w:lineRule="auto"/>
        <w:tabs>
          <w:tab w:leader="none" w:pos="268" w:val="left"/>
        </w:tabs>
        <w:numPr>
          <w:ilvl w:val="0"/>
          <w:numId w:val="172"/>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(c)</w:t>
      </w:r>
      <w:r>
        <w:rPr>
          <w:rFonts w:ascii="Arial" w:cs="Arial" w:eastAsia="Arial" w:hAnsi="Arial"/>
          <w:sz w:val="16"/>
          <w:szCs w:val="16"/>
          <w:color w:val="auto"/>
        </w:rPr>
        <w:t>, the Class A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38"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u w:val="single" w:color="auto"/>
          <w:color w:val="auto"/>
        </w:rPr>
        <w:t>Demand Registration Withdrawa</w:t>
      </w:r>
      <w:r>
        <w:rPr>
          <w:rFonts w:ascii="Arial" w:cs="Arial" w:eastAsia="Arial" w:hAnsi="Arial"/>
          <w:sz w:val="16"/>
          <w:szCs w:val="16"/>
          <w:color w:val="auto"/>
        </w:rPr>
        <w:t xml:space="preserve">l. A Demanding Holder or a Requesting Holder shall have the right to withdraw all or a portion of its Registrable Securities included in a Demand Registration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or a Shelf Underwritten Offering pursuant to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for any or no reason whatsoever upon written notification to the Company and the Underwriter or Underwriters (if any) of its intention to so withdraw (a) in the case of a Demand Registration not involving an Underwritten Offering, one (1) Business Day prior to the effectiveness of the applicable Registration Statement or (b) in the case of any Demand Registration involving an Underwritten Offering or any Shelf Underwritten Offering, prior to the pricing of such Underwritten Offering or Shelf Underwritten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For the avoidance of doubt, any Demand Registration withdrawn pursuant to this </w:t>
      </w:r>
      <w:r>
        <w:rPr>
          <w:rFonts w:ascii="Arial" w:cs="Arial" w:eastAsia="Arial" w:hAnsi="Arial"/>
          <w:sz w:val="16"/>
          <w:szCs w:val="16"/>
          <w:u w:val="single" w:color="auto"/>
          <w:color w:val="auto"/>
        </w:rPr>
        <w:t>subsection 2.2.5</w:t>
      </w:r>
      <w:r>
        <w:rPr>
          <w:rFonts w:ascii="Arial" w:cs="Arial" w:eastAsia="Arial" w:hAnsi="Arial"/>
          <w:sz w:val="16"/>
          <w:szCs w:val="16"/>
          <w:color w:val="auto"/>
        </w:rPr>
        <w:t xml:space="preserve"> shall be counted toward the aggregate number of Demand Registrations the Company is obligated to effect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unless (A)(1) the Demanding Holders reimburse the Company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the Company or the underwriters in connection with such Demand Registration, or (B) such withdrawal or revocation occurs following the issuance by the Company of a Suspension Notice. Notwithstanding anything to the contrary in this Agreement, the Company shall be responsible for the Registration Expenses incurred by it in connection with a Registration pursuant to a Demand Registration or a Shelf Underwritten Offering prior to its withdrawal under this subsection 2.2.5.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Piggyback Rights</w:t>
      </w:r>
      <w:r>
        <w:rPr>
          <w:rFonts w:ascii="Arial" w:cs="Arial" w:eastAsia="Arial" w:hAnsi="Arial"/>
          <w:sz w:val="17"/>
          <w:szCs w:val="17"/>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other than a Registration Statement (a) filed in connection with any employee stock option or other benefit plan, (b) for an exchange offer or offering of securities solely to the Company’s existing stockholders, (c) for an offering solely of debt that is convertible into equity securities of the Company, (d) for a dividend reinvestment plan, (e) for any issuances of securities in connection with a transaction involving a merger, consolidation, sale, exchange, issuance, transfer, reorganization or other extraordinary transaction between the Company or any of its Affiliates and any third party, or (f) filed pursuant to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then, subject to the MNPI Provisions, the Company shall give written notice of such proposed filing to all of the Holders of Registrable Securities (excluding the Sponsor with respect to any Registrable Securities distributed by the Sponsor to its members following the expiration of the Founder Shares Lock-up Period or the Private Placement Lock-up Period, as applicable) as soon as practicable but not less than twenty (20)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 and (iii)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The Company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shall enter into an underwriting agreement in customary form with the Underwriter(s) selected for such Underwritten Offering by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jc w:val="both"/>
        <w:ind w:firstLine="1296"/>
        <w:spacing w:after="0" w:line="272"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in its opinion, the dollar amount or number of the Class A Common Stock that the Company desires to sell, taken together with (a) the Class A Common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and (c) the Class A Common Stock, if any, as to which Registration has been requested pursuant to separate written contractual piggy-back registration rights of other stockholders of the Company, exceeds the Maximum Number of Securities, then:</w:t>
      </w:r>
    </w:p>
    <w:p>
      <w:pPr>
        <w:spacing w:after="0" w:line="177" w:lineRule="exact"/>
        <w:rPr>
          <w:sz w:val="20"/>
          <w:szCs w:val="20"/>
          <w:color w:val="auto"/>
        </w:rPr>
      </w:pPr>
    </w:p>
    <w:p>
      <w:pPr>
        <w:jc w:val="both"/>
        <w:ind w:firstLine="2112"/>
        <w:spacing w:after="0" w:line="285" w:lineRule="auto"/>
        <w:rPr>
          <w:sz w:val="20"/>
          <w:szCs w:val="20"/>
          <w:color w:val="auto"/>
        </w:rPr>
      </w:pPr>
      <w:r>
        <w:rPr>
          <w:rFonts w:ascii="Arial" w:cs="Arial" w:eastAsia="Arial" w:hAnsi="Arial"/>
          <w:sz w:val="16"/>
          <w:szCs w:val="16"/>
          <w:color w:val="auto"/>
        </w:rPr>
        <w:t xml:space="preserve">2.3.2.1 if the Registration is undertaken for the Company’s account, the Company shall include in any such Registration (a) first, the Class A Common Stock or other equity securities that the Company desires to sell, which can be sold without exceeding the Maximum Number of Securities; (b) second,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Holders exercising their rights to register their Registrable Securities pursuant to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hereof, Pro Rata, which can be sold without exceeding the Maximum Number of Securities; and (c) third, to the extent that the Maximum Number of Securities has not been reached under the foregoing </w:t>
      </w:r>
      <w:r>
        <w:rPr>
          <w:rFonts w:ascii="Arial" w:cs="Arial" w:eastAsia="Arial" w:hAnsi="Arial"/>
          <w:sz w:val="16"/>
          <w:szCs w:val="16"/>
          <w:u w:val="single" w:color="auto"/>
          <w:color w:val="auto"/>
        </w:rPr>
        <w:t>clauses</w:t>
      </w:r>
    </w:p>
    <w:p>
      <w:pPr>
        <w:spacing w:after="0" w:line="2" w:lineRule="exact"/>
        <w:rPr>
          <w:sz w:val="20"/>
          <w:szCs w:val="20"/>
          <w:color w:val="auto"/>
        </w:rPr>
      </w:pPr>
    </w:p>
    <w:p>
      <w:pPr>
        <w:ind w:firstLine="8"/>
        <w:spacing w:after="0" w:line="260" w:lineRule="auto"/>
        <w:tabs>
          <w:tab w:leader="none" w:pos="245" w:val="left"/>
        </w:tabs>
        <w:numPr>
          <w:ilvl w:val="0"/>
          <w:numId w:val="173"/>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 the Class A Common Stock, if any, as to which Registration has been requested pursuant to written contractual piggy-back registration rights of other stockholders of the Company, which can be sold without exceeding the Maximum Number of Securities; and</w:t>
      </w:r>
    </w:p>
    <w:p>
      <w:pPr>
        <w:spacing w:after="0" w:line="185" w:lineRule="exact"/>
        <w:rPr>
          <w:sz w:val="20"/>
          <w:szCs w:val="20"/>
          <w:color w:val="auto"/>
        </w:rPr>
      </w:pPr>
    </w:p>
    <w:p>
      <w:pPr>
        <w:jc w:val="both"/>
        <w:ind w:firstLine="2112"/>
        <w:spacing w:after="0" w:line="288" w:lineRule="auto"/>
        <w:rPr>
          <w:sz w:val="20"/>
          <w:szCs w:val="20"/>
          <w:color w:val="auto"/>
        </w:rPr>
      </w:pPr>
      <w:r>
        <w:rPr>
          <w:rFonts w:ascii="Arial" w:cs="Arial" w:eastAsia="Arial" w:hAnsi="Arial"/>
          <w:sz w:val="16"/>
          <w:szCs w:val="16"/>
          <w:color w:val="auto"/>
        </w:rPr>
        <w:t xml:space="preserve">2.3.2.2 if the Registration is pursuant to a request by persons or entities other than the Holders of Registrable Securities, then the Company shall include in any such Registration (a) first, the Class A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Holders exercising their rights to register their Registrable Securities pursuant to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hereof, Pro Rata, which can be sold without exceeding the Maximum Number of Securities; (c) third, to the extent that the Maximum Number of Securities has not been reached under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Class A Common Stock or other equity securities that the Company desires to sell for its own account, which can be sold without exceeding the Maximum Number of Securities; and (d) fourth, to the extent that the Maximum Number of Securities has not been reached under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the Class A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6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Piggyback Registration Withdrawa</w:t>
      </w:r>
      <w:r>
        <w:rPr>
          <w:rFonts w:ascii="Arial" w:cs="Arial" w:eastAsia="Arial" w:hAnsi="Arial"/>
          <w:sz w:val="16"/>
          <w:szCs w:val="16"/>
          <w:color w:val="auto"/>
        </w:rPr>
        <w:t>l. 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The Company (whether on its own good-faith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or a Shelf Underwritten Offering effected under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Reserved.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ind w:left="6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Block Trades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2.5.1 Notwithstanding any other provision of this Agreement, but subject to </w:t>
      </w:r>
      <w:r>
        <w:rPr>
          <w:rFonts w:ascii="Arial" w:cs="Arial" w:eastAsia="Arial" w:hAnsi="Arial"/>
          <w:sz w:val="16"/>
          <w:szCs w:val="16"/>
          <w:u w:val="single" w:color="auto"/>
          <w:color w:val="auto"/>
        </w:rPr>
        <w:t>Sections 2.4 and 3.4</w:t>
      </w:r>
      <w:r>
        <w:rPr>
          <w:rFonts w:ascii="Arial" w:cs="Arial" w:eastAsia="Arial" w:hAnsi="Arial"/>
          <w:sz w:val="16"/>
          <w:szCs w:val="16"/>
          <w:color w:val="auto"/>
        </w:rPr>
        <w:t xml:space="preserve">, if a Demanding Holder desires to effect a Block Trade with a total offering price reasonably expected to exceed, in the aggregate, either (x) the Minimum Amount or (y) all remaining Registrable Securities held by the Demanding Holder, then notwithstanding the time periods provided for in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such Demanding Holder shall notify the Company of the Block Trade at least five (5) Business Days prior to the day such offering is to commence and the Company shall as expeditiously as possible use its commercially reasonable efforts to facilitate such Block Trade;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Demanding Holders wishing to engage in the Block Trade shall use commercially reasonable efforts to work with the Company and any Underwriters or placement agents or sales agents prior to making such request in order to facilitate preparation of the registration statement, prospectus and other offering documentation related to the Block Trade.</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2.5.2 Prior to the filing of the applicable “red herring” prospectus or prospectus supplement used in connection with a Block Trade, any Demanding Holders shall have the right to submit a Withdrawal Notice to the Company and the Underwriter or Underwriters or placement agents or sales agents (if any) of their intention to withdraw from such Block Trade.</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Market Stand-Off</w:t>
      </w:r>
      <w:r>
        <w:rPr>
          <w:rFonts w:ascii="Arial" w:cs="Arial" w:eastAsia="Arial" w:hAnsi="Arial"/>
          <w:sz w:val="17"/>
          <w:szCs w:val="17"/>
          <w:color w:val="auto"/>
        </w:rPr>
        <w:t>. In connection with any Underwritten Offering of equity securities of the Company (other than a Block Trade), each Holder participating in the Underwritten Offering pursuant to the terms of this Agreement agrees that it shall not Transfer any shares of Class A Common Stock or other equity securities of the Company (other than those included in such offering pursuant to this Agreement), without the prior written consent of the Company, during the 90-day period beginning on the date of pricing of such offering or such shorter period during which the Company agrees not to conduct an underwritten primary offering of Class A Common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If the Company is required to effect the Registration of Registrable Securities, the Company shall use its commercially reasonable efforts to effect such Registration to permit the sale of such Registrable Securities in accordance with the intended plan of distribution thereof. When effective, the Registration Statements filed pursuant to this Agreement (including the documents incorporated therein by reference) will comply as to form in all material respects with all applicable requirements of the Securities Act and the Exchange Act and will not contain a Misstatement. In connection with effecting a Registration of Registrable Securities pursuant to this Agreement, the Company shall, as expeditiously as possible:</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except as otherwise set forth herein, use its commercially reasonable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jc w:val="both"/>
        <w:ind w:firstLine="1296"/>
        <w:spacing w:after="0" w:line="272"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 and no document shall be filed with the Commission to which any Holder or its counsel reasonably objects in good faith;</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3.1.4 prior to any public offering of Registrable Securities, but in any case no later than the effective date of the applicable Registration Statement, use its commercially reasonable efforts to (a)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(b) take such action necessary to cause such Registrable Securities covered by the Registration Statement to be registered with or approved by such other governmental authorities or securities exchanges, including the applicable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xml:space="preserve">”), as may be necessary by virtue of the business and operations of the Company or otherwise and do any and all other acts and things that may be necessary or advisable, in each case,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 no later than the effective date of such Registration Statement;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3.1.7 advise each seller of such Registrable Securities, promptly after it shall receive notice or obtain knowledge thereof, of (i) subject to the MNPI Provisions, any request by the Commission that the Company amend or supplement such Registration Statement or Prospectus or (ii) the issuance of any stop order by the Commission suspending the effectiveness of such Registration Statement or Prospectus or the initiation or threatening of any proceeding for such purpose and promptly use its commercially reasonable efforts to amend or supplement such Registration Statement or Prospectus or prevent the issuance of any stop order or to obtain its withdrawal if such stop order should be issued, as applicable;</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3.1.8 at least five (5) Business Days (or, in the case of a Block Trade, at least one (1) day)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 including, without limitation, providing, upon request of a Holder, copies promptly upon receipt of any comment letters received with respect to any such Registration Statement or Prospectus;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jc w:val="both"/>
        <w:ind w:firstLine="1296"/>
        <w:spacing w:after="0" w:line="259" w:lineRule="auto"/>
        <w:rPr>
          <w:sz w:val="20"/>
          <w:szCs w:val="20"/>
          <w:color w:val="auto"/>
        </w:rPr>
      </w:pPr>
      <w:r>
        <w:rPr>
          <w:rFonts w:ascii="Arial" w:cs="Arial" w:eastAsia="Arial" w:hAnsi="Arial"/>
          <w:sz w:val="18"/>
          <w:szCs w:val="18"/>
          <w:color w:val="auto"/>
        </w:rPr>
        <w:t xml:space="preserve">3.1.9 notify the Holders promptly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correct such Misstatement or include such information as is necessary to comply with law, in each case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3.1.10 permit a representative of a majority-in-interest of the New Holders, the Underwriters, if any, and any attorney or accountant retained by such Holders or Underwriter to participate, at each such person’s own expense, in the preparation of any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requested by the Company, such representatives or Underwriters shall be required to enter into a confidentiality agreement, in form and substance reasonably satisfactory to the Company, prior to the release or disclosure of any such information;</w:t>
      </w:r>
    </w:p>
    <w:p>
      <w:pPr>
        <w:spacing w:after="0" w:line="19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3.1.11 obtain a “cold comfort” letter (including a bring-down letter dated as of the date the Registrable Securities are delivered for sale pursuant to such Registration) from the Company’s independent registered public 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7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3.1.12 on the date the Registrable Securities are delivered for sale pursuant to such Registration, obtain an opinion and negative assurance letter,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and any Underwriter;</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3.1.14 otherwise use its commercially reasonable efforts to comply with all applicable rules and regulations of the Commission, and to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the rules and regulations thereunder, including Rule 158 thereunder (or any successor rule promulgated thereafter by the Commission);</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a majority-in-interest of the participating Holders or the Underwriter in any Underwritten Offering;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firstLine="1296"/>
        <w:spacing w:after="0" w:line="259" w:lineRule="auto"/>
        <w:rPr>
          <w:sz w:val="20"/>
          <w:szCs w:val="20"/>
          <w:color w:val="auto"/>
        </w:rPr>
      </w:pPr>
      <w:r>
        <w:rPr>
          <w:rFonts w:ascii="Arial" w:cs="Arial" w:eastAsia="Arial" w:hAnsi="Arial"/>
          <w:sz w:val="18"/>
          <w:szCs w:val="18"/>
          <w:color w:val="auto"/>
        </w:rPr>
        <w:t>3.1.16 if applicable, promptly effect a filing with FINRA pursuant to FINRA Rule 5110 (or successor thereto) with respect to the public offering contemplated by resales of securities under the Initial Shelf (an “</w:t>
      </w:r>
      <w:r>
        <w:rPr>
          <w:rFonts w:ascii="Arial" w:cs="Arial" w:eastAsia="Arial" w:hAnsi="Arial"/>
          <w:sz w:val="18"/>
          <w:szCs w:val="18"/>
          <w:b w:val="1"/>
          <w:bCs w:val="1"/>
          <w:i w:val="1"/>
          <w:iCs w:val="1"/>
          <w:color w:val="auto"/>
        </w:rPr>
        <w:t>Issuer Filing</w:t>
      </w:r>
      <w:r>
        <w:rPr>
          <w:rFonts w:ascii="Arial" w:cs="Arial" w:eastAsia="Arial" w:hAnsi="Arial"/>
          <w:sz w:val="18"/>
          <w:szCs w:val="18"/>
          <w:color w:val="auto"/>
        </w:rPr>
        <w:t>”), pay the filing fee required by such Issuer Filing and use its commercially reasonable efforts to complete the Issuer Filing until FINRA issues a letter confirming that it does not object to the terms of the offering contemplated by the Initial Shelf.</w:t>
      </w:r>
    </w:p>
    <w:p>
      <w:pPr>
        <w:spacing w:after="0" w:line="18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3.1.17 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 denominations or amounts, as the case may be, or (ii) crediting of the Registrable Securities that have been offered and sold pursuant to a Registration Statement to the applicable account (or accounts) with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through its Deposit/Withdrawal At Custodian (“</w:t>
      </w:r>
      <w:r>
        <w:rPr>
          <w:rFonts w:ascii="Arial" w:cs="Arial" w:eastAsia="Arial" w:hAnsi="Arial"/>
          <w:sz w:val="16"/>
          <w:szCs w:val="16"/>
          <w:b w:val="1"/>
          <w:bCs w:val="1"/>
          <w:i w:val="1"/>
          <w:iCs w:val="1"/>
          <w:color w:val="auto"/>
        </w:rPr>
        <w:t>DWAC</w:t>
      </w:r>
      <w:r>
        <w:rPr>
          <w:rFonts w:ascii="Arial" w:cs="Arial" w:eastAsia="Arial" w:hAnsi="Arial"/>
          <w:sz w:val="16"/>
          <w:szCs w:val="16"/>
          <w:color w:val="auto"/>
        </w:rPr>
        <w:t>”) system, in any such case as such Holder or Underwriter, if any, may reasonably request;</w:t>
      </w:r>
    </w:p>
    <w:p>
      <w:pPr>
        <w:spacing w:after="0" w:line="16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3.1.18 for so long as this Agreement remains effective, use reasonable best effects to (a) cause the Class A Common Stock to be eligible for clearing through DTC, through its DWAC system; (b) be eligible and participating in the Direct Registration System (DRS) of DTC with respect to the Class A Common Stock; and (c) ensure that the transfer agent for the Class A Common Stock is a participant in, and that the Class A Common Stock is eligible for transfer pursuant to, DTC’s Fast Automated Securities Transfer Program (or successor thereto); and</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3.1.19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Except as otherwise provided herein,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and, other than as set forth in the definition of “Registration Expenses,” all reasonable fees and expenses of any legal counsel representing the Holders except as otherwise provided herein.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(a) agrees to sell such Person’s securities on the basis provided in any underwriting arrangements approved by the Company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firstLine="648"/>
        <w:spacing w:after="0" w:line="283"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Restrictions on Registration Rights; Suspension of Sales; Adverse Disclosure</w:t>
      </w:r>
      <w:r>
        <w:rPr>
          <w:rFonts w:ascii="Arial" w:cs="Arial" w:eastAsia="Arial" w:hAnsi="Arial"/>
          <w:sz w:val="16"/>
          <w:szCs w:val="16"/>
          <w:color w:val="auto"/>
        </w:rPr>
        <w:t xml:space="preserve">. If (a) during the period starting with the date sixty (60) days prior to the Company’s good-faith estimate of the date of the filing of, and ending on a date one hundred and twenty (120) days after the effective date of, a Registration Statement in respect of a Company initiated underwritten Registration the Company receives a Demand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and it continues to actively employ, in good faith, all reasonable efforts to cause the applicable Company-initiated Registration Statement to become effective, (b) the Holders have requested an Underwritten Registration and the Company and the Holders are unable to obtain the commitment of the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good-faith judgment of the Board it would be seriously detrimental to the Company for a Registration Statement with respect to such Demand Registration to be filed in the near future and that it is therefore essential to defer the filing of such Registration Statement, the Company shall have the right to defer such filing for a period of not more than sixty (60) days. For the avoidance of doubt, the foregoing ability to defer the filing of a Registration Statement shall not apply to the Company’s obligation to file the Initial Shelf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instructs is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(a “</w:t>
      </w:r>
      <w:r>
        <w:rPr>
          <w:rFonts w:ascii="Arial" w:cs="Arial" w:eastAsia="Arial" w:hAnsi="Arial"/>
          <w:sz w:val="16"/>
          <w:szCs w:val="16"/>
          <w:b w:val="1"/>
          <w:bCs w:val="1"/>
          <w:i w:val="1"/>
          <w:iCs w:val="1"/>
          <w:color w:val="auto"/>
        </w:rPr>
        <w:t>Suspension Event</w:t>
      </w:r>
      <w:r>
        <w:rPr>
          <w:rFonts w:ascii="Arial" w:cs="Arial" w:eastAsia="Arial" w:hAnsi="Arial"/>
          <w:sz w:val="16"/>
          <w:szCs w:val="16"/>
          <w:color w:val="auto"/>
        </w:rPr>
        <w:t>”), the Company may, subject to the MNPI Provisions, upon giving prompt written notice of such action to the Holders (a “</w:t>
      </w:r>
      <w:r>
        <w:rPr>
          <w:rFonts w:ascii="Arial" w:cs="Arial" w:eastAsia="Arial" w:hAnsi="Arial"/>
          <w:sz w:val="16"/>
          <w:szCs w:val="16"/>
          <w:b w:val="1"/>
          <w:bCs w:val="1"/>
          <w:i w:val="1"/>
          <w:iCs w:val="1"/>
          <w:color w:val="auto"/>
        </w:rPr>
        <w:t>Suspension Notice</w:t>
      </w:r>
      <w:r>
        <w:rPr>
          <w:rFonts w:ascii="Arial" w:cs="Arial" w:eastAsia="Arial" w:hAnsi="Arial"/>
          <w:sz w:val="16"/>
          <w:szCs w:val="16"/>
          <w:color w:val="auto"/>
        </w:rPr>
        <w:t xml:space="preserve">”), no later than three (3) Business Days from the date of such Suspension Event, delay the filing or initial effectiveness of, or suspend use of, such Registration Statement for the shortest period of time required to resolve such issue, but in no event more than forty-five (45) consecutive days, determined in good faith by the Board to be necessary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defer its obligations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more than twice during any twelve (12)-month period; provided further, that in no event shall the Company be entitled to delay or defer the filing or effectiveness of the Initial Shelf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In the event the Company exercises its rights under the preceding sentence, the Holders agree to suspend, immediately upon their receipt of the Suspension Notice, their use of the Prospectus relating to any Registration in connection with any sale or offer to sell Registrable Securities; provided, for the avoidance of doubt, that the foregoing shall not restrict or otherwise affect the consummation of any sale pursuant to a contract entered into, or order placed, by any Holder prior to delivery of the Suspension Notice. The Company shall immediately notify the Holders of the expiration of any period during which it exercised its rights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The Holders agree that, except as required by applicable law, the Holders shall treat as confidential the receipt of a Suspension Notice from the Company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(provided that in no event shall such notice disclose the basis for suspension or contain any material nonpublic information) and shall not disclose the information contained in such written notice without the prior written consent of the Company until such time as the information contained therein is or becomes public, other than as a result of disclosure by a holder of Registrable Securities in breach of the terms of this Agreement.</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3.5.1 The Company will use its commercially reasonable efforts to make and keep public information available, as those terms are understood and defined in Rule 144. Without limiting the foregoing, as long as any Holder shall own Registrable Securities (without taking into account the exclusion of the definition of such term contained in clause (iv) thereof), the Company, at all times while it shall be a reporting company under the Exchange Act, covenants to file timely all reports required to be filed by the Company after the date hereof pursuant to Sections 13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Class A Common Stock held by such Holder without registration under the Securities Act within the limitation of the exemptions provided by Rule 144 promulgated under the Securities Act (or any successor rule promulgated thereafter by the Commission), including providing any legal opinions.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both"/>
        <w:ind w:firstLine="1296"/>
        <w:spacing w:after="0" w:line="267" w:lineRule="auto"/>
        <w:rPr>
          <w:sz w:val="20"/>
          <w:szCs w:val="20"/>
          <w:color w:val="auto"/>
        </w:rPr>
      </w:pPr>
      <w:r>
        <w:rPr>
          <w:rFonts w:ascii="Arial" w:cs="Arial" w:eastAsia="Arial" w:hAnsi="Arial"/>
          <w:sz w:val="17"/>
          <w:szCs w:val="17"/>
          <w:color w:val="auto"/>
        </w:rPr>
        <w:t>3.5.2 Other than with respect to any contractual restriction applicable to any Holder, the stock certificates evidencing the Registrable Securities (without taking into account the exclusion of the definition of such term contained in clause (iv) thereof)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will sell,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Commission) as determined in good faith by counsel to the Company or set forth in a legal opinion delivered by nationally recognized counsel to the Holder (collectively, the “</w:t>
      </w:r>
      <w:r>
        <w:rPr>
          <w:rFonts w:ascii="Arial" w:cs="Arial" w:eastAsia="Arial" w:hAnsi="Arial"/>
          <w:sz w:val="17"/>
          <w:szCs w:val="17"/>
          <w:b w:val="1"/>
          <w:bCs w:val="1"/>
          <w:i w:val="1"/>
          <w:iCs w:val="1"/>
          <w:color w:val="auto"/>
        </w:rPr>
        <w:t>Unrestricted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Conditions</w:t>
      </w:r>
      <w:r>
        <w:rPr>
          <w:rFonts w:ascii="Arial" w:cs="Arial" w:eastAsia="Arial" w:hAnsi="Arial"/>
          <w:sz w:val="17"/>
          <w:szCs w:val="17"/>
          <w:color w:val="auto"/>
        </w:rPr>
        <w:t>”). The Company agrees that at such time as any of the Unrestricted Conditions is met or such legend is otherwise no longer required it will,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later than two (2) Business Days following the delivery by a Holder to the Company or the Company’s transfer agent of a certificate representing any Registrable Securities, issued with a restrictive legend, (or, in the case of Registrable Securities represented by book entries, delivery by a Holder to the Company or the Company’s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Deposit/Withdrawal at Custodian (DWAC) system, in each case, free from all restrictive and other legends and stop transfer or similar instructions or notations. If any of the Unrestricted Conditions is met at the time of issuance of any Registrable Securities (e.g., upon exercise of warrants), then such securities shall be issued free of all legends.</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3.5.3 Notwithstanding anything in this Agreement to the contrary, the Company will not provide any material, nonpublic information to any Holder without the prior written consent of such Holder, and in the event that the Company believes that a notice or communication required by this Agreement to be delivered to any Holder contains material, nonpublic information relating to the Company, its securities, any of its Affiliates or any other Person, the Company shall so indicate to such Holder prior to delivery of such notice or communication, and such indication shall provide such Holder the means to refuse to receive such notice or communication. No Holder nor any of its Affiliates or representatives shall have any duty of trust or confidence with respect to, or obligation not to trade in any securities while aware of, any material, nonpublic information provided to such Holder, Affiliate or representative in violation of this subsection 3.5.3.</w:t>
      </w:r>
    </w:p>
    <w:p>
      <w:pPr>
        <w:spacing w:after="0" w:line="19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3.5.4 Notwithstanding the foregoing, to the extent the Company reasonably and in good faith determines that it is necessary to disclose material non-public information to a Holder in order to comply with its obligations hereunder (a “</w:t>
      </w:r>
      <w:r>
        <w:rPr>
          <w:rFonts w:ascii="Arial" w:cs="Arial" w:eastAsia="Arial" w:hAnsi="Arial"/>
          <w:sz w:val="18"/>
          <w:szCs w:val="18"/>
          <w:b w:val="1"/>
          <w:bCs w:val="1"/>
          <w:i w:val="1"/>
          <w:iCs w:val="1"/>
          <w:color w:val="auto"/>
        </w:rPr>
        <w:t>Necessary Disclosure</w:t>
      </w:r>
      <w:r>
        <w:rPr>
          <w:rFonts w:ascii="Arial" w:cs="Arial" w:eastAsia="Arial" w:hAnsi="Arial"/>
          <w:sz w:val="18"/>
          <w:szCs w:val="18"/>
          <w:color w:val="auto"/>
        </w:rPr>
        <w:t>”), the Company shall inform counsel to such Holder to the extent such counsel has been identified in writing to the Company in advance of such determination without disclosing the applicable material non-public information, and the Company and such counsel on behalf of the applicable Holder shall endeavor to agree upon a process for making such Necessary Disclosure to the applicable Holder or its representatives that is mutually acceptable to such Holder and the Company (an “</w:t>
      </w:r>
      <w:r>
        <w:rPr>
          <w:rFonts w:ascii="Arial" w:cs="Arial" w:eastAsia="Arial" w:hAnsi="Arial"/>
          <w:sz w:val="18"/>
          <w:szCs w:val="18"/>
          <w:b w:val="1"/>
          <w:bCs w:val="1"/>
          <w:i w:val="1"/>
          <w:iCs w:val="1"/>
          <w:color w:val="auto"/>
        </w:rPr>
        <w:t>Agreed Disclosure Process</w:t>
      </w:r>
      <w:r>
        <w:rPr>
          <w:rFonts w:ascii="Arial" w:cs="Arial" w:eastAsia="Arial" w:hAnsi="Arial"/>
          <w:sz w:val="18"/>
          <w:szCs w:val="18"/>
          <w:color w:val="auto"/>
        </w:rPr>
        <w:t>”). Thereafter, the Company shall be permitted to make such Necessary Disclosure (only) in accordance with the Agreed Disclosure Process.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Article II and in connection with the Company’s obligation to comply with federal and applicable state securities laws.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4.1.1 The Company agrees to indemnify, defend and hold harmless, to the fullest extent permitted by law, each Holder of Registrable Securities, each Person who controls such Holder (within the meaning of the Securities Act) and each Holder’s and control Person’s officers, directors, members, partners, and managers against all losses, claims, actions, damages, liabilities and expenses (including, without limitation, reasonable attorneys’ fees) resulting from any Misstatement or alleged Misstatement, except insofar as the same are contained in any information furnished in writing to the Company by such Holder expressly for use in a Registration Statement or Prospectus. The Company shall indemnify the Underwriters, their officers and directors and agents and each Person who controls such Underwriters (within the meaning of the Securities Act) to the same extent as provided in the foregoing with respect to the indemnification of the Holder.</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4.1.2 In connection with any Registration Statement in which a Holder of Registrable Securities is participating, such Holder shall furnish to the Company in writing such information relating to such Holder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Misstatement or alleged Misstatement, but only to the extent that such Misstatement or alleged Misstatement is contained in any information so furnished in writing by such Holder expressly for use in such Registration Statement or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in such offering giving rise to such liability.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8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firstLine="1296"/>
        <w:spacing w:after="0" w:line="257" w:lineRule="auto"/>
        <w:rPr>
          <w:sz w:val="20"/>
          <w:szCs w:val="20"/>
          <w:color w:val="auto"/>
        </w:rPr>
      </w:pPr>
      <w:r>
        <w:rPr>
          <w:rFonts w:ascii="Arial" w:cs="Arial" w:eastAsia="Arial" w:hAnsi="Arial"/>
          <w:sz w:val="18"/>
          <w:szCs w:val="18"/>
          <w:color w:val="auto"/>
        </w:rPr>
        <w:t>4.1.4 The indemnification and contribution provided for under this Agreement shall remain in full force and effect regardless of any investigation made by or on behalf of the indemnified party or any officer, director, manager, or controlling Person of such indemnified party and shall survive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4.1.5 If the indemnification provided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Misstatement or alleged Misstatement, was made by, or relates to information supplied by, such indemnifying party or indemnified party, and the indemnifying party’s and indemnified party’s relative intent, knowledge, access to information and opportunity to correct or prevent such action and the benefits received by the such indemnifying party or indemnified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liability of any Holder under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subsections 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4.1.2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4.1.3</w:t>
      </w:r>
      <w:r>
        <w:rPr>
          <w:rFonts w:ascii="Arial" w:cs="Arial" w:eastAsia="Arial" w:hAnsi="Arial"/>
          <w:sz w:val="17"/>
          <w:szCs w:val="17"/>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from any Person who was not guilty of such fraudulent misrepresentation.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w:t>
      </w:r>
    </w:p>
    <w:p>
      <w:pPr>
        <w:spacing w:after="0" w:line="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or transmitted in the manner described above shall be deemed sufficiently given, served, sent, and received, in the case of mailed notices, on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date on which it is mailed and, in the case of notices delivered by courier service, hand delivery, electronic mail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“bounce back” or notice of non-delivery is received) or facsimile, at such time as it is delivered to the addressee (except in the case of electronic mail, with the delivery receipt) or at such time as delivery is refused by the addressee upon presentation. Any notice or communication under this Agreement must be addressed, if to the Company, to: 333 Ludlow Street, Stamford, CT 06902,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5.2.1 This Agreement and the rights, duties and obligations of the Company and the Holders hereunder may not be assigned or delegated by the Company or the Holders, as the case may be, in whole or in part.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Existing Holder who is subject to either or both the Founder Shares Lock-up Period or the Private Placement Lock-up Period may assign or delegate such Existing Holder’s rights, duties or obligations under this Agreement, in whole or in part, except in connection with a transfer of Registrable Securities by such Holder to a Permitted Transferee, to an Affiliate or as otherwise permitted pursuant to the terms of the Founder Shares Lock-up Period, the Private Placement Lock-up Period or other lock-up period, as applicable.</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applicable Holders, which shall include Permitted Transferees.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5.2.5 No assignment (including to a Permitted Transferee) by any party hereto of such party’s rights, duties and obligations hereunder shall be binding upon or obligate the Company unless and until the Company shall have received (a)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(b)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PDF counterparts or other electronic transmission), each of which shall be deemed an original, and all of which together shall constitute the same instrument, but only one of which need be produced.</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THAT WOULD REQUIRE THE APPLICATION OF THE LAWS OF ANOTHER JURISDICTION AND (II) THE VENUE FOR ANY ACTION TAKEN WITH RESPECT TO THIS AGREEMENT SHALL BE ANY STATE OR FEDERAL COURT IN NEW YORK COUNTY IN THE STATE OF NEW YORK.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jc w:val="both"/>
        <w:ind w:firstLine="648"/>
        <w:spacing w:after="0" w:line="268"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xml:space="preserve">. Upon the written consent of the Company and the Holders of at least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any amendment hereto or waiver hereof that adversely affects either the Existing Holders as a group or the New Holders as a group, respectively, in a manner that is materially adversely different from the Existing Holders or New Holders, as applicable, shall require the consent of at least a majority-in-interest of the Registrable Securities held by such Existing Holders or New Holders, as applicable, at the time in question;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the foregoing,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provided, further, that notwithstanding the foregoing, any amendment to Section 2.6 that affects a party hereto shall require the written consent of such party.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pursuant to the terms of the Subscription Agreements in connection with the PIPE Investment,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The Company represents, warrants and agrees that this Agreement supersedes any other registration rights agreement or agreement with similar terms and conditions among the parties thereto, and in the event of a conflict between any such agreement or agreements and this Agreement, the terms of this Agreement shall prevail. To the extent the Company grants any Person(s) the right to request the Company or any of its subsidiaries to register any equity securities of the Company or any of its subsidiaries or any securities convertible or exchangeable into or exercisable for such securities, the Company shall grant piggyback registration rights to the New Holders in connection therewith.</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earlier of (a) the tenth anniversary of the date of this Agreement, (b) the date as of which all of the Registrable Securities have been sold pursuant to a Registration Statement (but in no event prior to the applicable period referred to in Section 4(a)(3) of the Securities Act and Rule 174 thereunder (or any successor rule promulgated thereafter by the Commission)) or (c) with respect to a particular Holder, the date as of which all Registrable Securities held by such Holder have been sold (x) pursuant to a Registration Statement (but in no event prior to the applicable period referred to in Section 4(a)(3) of the Securities Act and Rule 174 thereunder (or any successor rule promulgated thereafter by the Commission)) or (y) under Rule 144 or another exemption from registration under the Securities Act.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Any provision of this Agreement that refers to the words “include,” “includes” or “including” shall be deemed to be followed by the words “without limitation.” References to numbered or letter articles, sections and subsections refer to articles, sections and subsections, respectively, of this Agreement unless expressly stated otherwise. All references to this Agreement include, whether or not expressly referenced, the exhibits and schedules attached hereto. References to a Section, paragraph, Exhibit or Schedule, such reference shall be to a Section or paragraph of, or Exhibit or Schedule to, this Agreement unless otherwise indicated. The words “hereof,” “herein” and “hereunder” and words of similar import when used in this Agreement shall refer to this Agreement as a whole and not to any particular provision of this Agreement. The word “or” when used in this Agreement is not exclusive. The definitions contained in this Agreement are applicable to the singular as well as the plural forms of such terms and to the masculine as well as to the feminine and neuter genders of such term. Any agreement, instrument, law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includes references to all attachments thereto and instruments incorporated therein unless otherwise indicated. References to a Person are also to its permitted successors and assigns. In the event that any claim is made by any Person relating to any conflict, omission or ambiguity in this Agreement, no presumption or burden of proof or persuasion shall be implied by virtue of the fact that this Agreement was prepared by or at the request of a particular Person or its counsel.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 a Delaware corporation</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EXISTING HOLDERS:</w:t>
      </w:r>
    </w:p>
    <w:p>
      <w:pPr>
        <w:spacing w:after="0" w:line="225" w:lineRule="exact"/>
        <w:rPr>
          <w:sz w:val="20"/>
          <w:szCs w:val="20"/>
          <w:color w:val="auto"/>
        </w:rPr>
      </w:pPr>
    </w:p>
    <w:p>
      <w:pPr>
        <w:ind w:left="6100"/>
        <w:spacing w:after="0"/>
        <w:tabs>
          <w:tab w:leader="none" w:pos="6700" w:val="left"/>
          <w:tab w:leader="none" w:pos="7760" w:val="left"/>
          <w:tab w:leader="none" w:pos="8300" w:val="left"/>
          <w:tab w:leader="none" w:pos="8520" w:val="left"/>
          <w:tab w:leader="none" w:pos="9340" w:val="left"/>
          <w:tab w:leader="none" w:pos="9980" w:val="left"/>
        </w:tabs>
        <w:rPr>
          <w:sz w:val="20"/>
          <w:szCs w:val="20"/>
          <w:color w:val="auto"/>
        </w:rPr>
      </w:pPr>
      <w:r>
        <w:rPr>
          <w:rFonts w:ascii="Arial" w:cs="Arial" w:eastAsia="Arial" w:hAnsi="Arial"/>
          <w:sz w:val="18"/>
          <w:szCs w:val="18"/>
          <w:color w:val="auto"/>
        </w:rPr>
        <w:t>CMLS</w:t>
        <w:tab/>
        <w:t>HOLDINGS</w:t>
        <w:tab/>
        <w:t>LLC,</w:t>
        <w:tab/>
        <w:t>a</w:t>
        <w:tab/>
        <w:t>Delaware</w:t>
        <w:tab/>
        <w:t>limited</w:t>
        <w:tab/>
        <w:t>liability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280035</wp:posOffset>
            </wp:positionV>
            <wp:extent cx="284607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288925</wp:posOffset>
            </wp:positionV>
            <wp:extent cx="284607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288925</wp:posOffset>
            </wp:positionV>
            <wp:extent cx="284607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Nat Turner</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79" w:name="page180"/>
    <w:bookmarkEnd w:id="179"/>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written above.</w:t>
      </w:r>
    </w:p>
    <w:p>
      <w:pPr>
        <w:sectPr>
          <w:pgSz w:w="11900" w:h="16838" w:orient="portrait"/>
          <w:cols w:equalWidth="0" w:num="1">
            <w:col w:w="9479"/>
          </w:cols>
          <w:pgMar w:left="980" w:top="904" w:right="1440" w:bottom="1440" w:gutter="0" w:footer="0" w:header="0"/>
        </w:sectPr>
      </w:pPr>
    </w:p>
    <w:p>
      <w:pPr>
        <w:spacing w:after="0" w:line="252"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[NEW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433705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479"/>
      </w:cols>
      <w:pgMar w:left="980" w:top="90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þ"/>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1)"/>
      <w:numFmt w:val="lowerLetter"/>
      <w:start w:val="1"/>
    </w:lvl>
    <w:lvl w:ilvl="1">
      <w:lvlJc w:val="left"/>
      <w:lvlText w:val="(%2)"/>
      <w:numFmt w:val="lowerLetter"/>
      <w:start w:val="24"/>
    </w:lvl>
  </w:abstractNum>
  <w:abstractNum w:abstractNumId="4">
    <w:nsid w:val="3222E7CD"/>
    <w:multiLevelType w:val="hybridMultilevel"/>
    <w:lvl w:ilvl="0">
      <w:lvlJc w:val="left"/>
      <w:lvlText w:val="(%1)"/>
      <w:numFmt w:val="lowerLetter"/>
      <w:start w:val="1"/>
    </w:lvl>
    <w:lvl w:ilvl="1">
      <w:lvlJc w:val="left"/>
      <w:lvlText w:val="(%2)"/>
      <w:numFmt w:val="lowerRoman"/>
      <w:start w:val="1"/>
    </w:lvl>
  </w:abstractNum>
  <w:abstractNum w:abstractNumId="5">
    <w:nsid w:val="74DE0EE3"/>
    <w:multiLevelType w:val="hybridMultilevel"/>
    <w:lvl w:ilvl="0">
      <w:lvlJc w:val="left"/>
      <w:lvlText w:val="(%1)"/>
      <w:numFmt w:val="lowerLetter"/>
      <w:start w:val="1"/>
    </w:lvl>
  </w:abstractNum>
  <w:abstractNum w:abstractNumId="6">
    <w:nsid w:val="68EBC550"/>
    <w:multiLevelType w:val="hybridMultilevel"/>
    <w:lvl w:ilvl="0">
      <w:lvlJc w:val="left"/>
      <w:lvlText w:val="%1"/>
      <w:numFmt w:val="lowerLetter"/>
      <w:start w:val="1"/>
    </w:lvl>
    <w:lvl w:ilvl="1">
      <w:lvlJc w:val="left"/>
      <w:lvlText w:val="(%2)"/>
      <w:numFmt w:val="lowerLetter"/>
      <w:start w:val="1"/>
    </w:lvl>
  </w:abstractNum>
  <w:abstractNum w:abstractNumId="7">
    <w:nsid w:val="2DF6D648"/>
    <w:multiLevelType w:val="hybridMultilevel"/>
    <w:lvl w:ilvl="0">
      <w:lvlJc w:val="left"/>
      <w:lvlText w:val="(%1)"/>
      <w:numFmt w:val="lowerLetter"/>
      <w:start w:val="9"/>
    </w:lvl>
    <w:lvl w:ilvl="1">
      <w:lvlJc w:val="left"/>
      <w:lvlText w:val="(%2)"/>
      <w:numFmt w:val="lowerLetter"/>
      <w:start w:val="2"/>
    </w:lvl>
  </w:abstractNum>
  <w:abstractNum w:abstractNumId="8">
    <w:nsid w:val="46B7D44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9">
    <w:nsid w:val="4A2AC315"/>
    <w:multiLevelType w:val="hybridMultilevel"/>
    <w:lvl w:ilvl="0">
      <w:lvlJc w:val="left"/>
      <w:lvlText w:val="(%1)"/>
      <w:numFmt w:val="lowerLetter"/>
      <w:start w:val="2"/>
    </w:lvl>
  </w:abstractNum>
  <w:abstractNum w:abstractNumId="10">
    <w:nsid w:val="39EE015C"/>
    <w:multiLevelType w:val="hybridMultilevel"/>
    <w:lvl w:ilvl="0">
      <w:lvlJc w:val="left"/>
      <w:lvlText w:val="(%1)"/>
      <w:numFmt w:val="lowerLetter"/>
      <w:start w:val="3"/>
    </w:lvl>
  </w:abstractNum>
  <w:abstractNum w:abstractNumId="11">
    <w:nsid w:val="57FC4FBB"/>
    <w:multiLevelType w:val="hybridMultilevel"/>
    <w:lvl w:ilvl="0">
      <w:lvlJc w:val="left"/>
      <w:lvlText w:val="(%1)"/>
      <w:numFmt w:val="lowerLetter"/>
      <w:start w:val="1"/>
    </w:lvl>
  </w:abstractNum>
  <w:abstractNum w:abstractNumId="12">
    <w:nsid w:val="CC1016F"/>
    <w:multiLevelType w:val="hybridMultilevel"/>
    <w:lvl w:ilvl="0">
      <w:lvlJc w:val="left"/>
      <w:lvlText w:val="(%1)"/>
      <w:numFmt w:val="lowerLetter"/>
      <w:start w:val="4"/>
    </w:lvl>
  </w:abstractNum>
  <w:abstractNum w:abstractNumId="13">
    <w:nsid w:val="43F18422"/>
    <w:multiLevelType w:val="hybridMultilevel"/>
    <w:lvl w:ilvl="0">
      <w:lvlJc w:val="left"/>
      <w:lvlText w:val="(%1)"/>
      <w:numFmt w:val="lowerLetter"/>
      <w:start w:val="1"/>
    </w:lvl>
  </w:abstractNum>
  <w:abstractNum w:abstractNumId="14">
    <w:nsid w:val="60EF0119"/>
    <w:multiLevelType w:val="hybridMultilevel"/>
    <w:lvl w:ilvl="0">
      <w:lvlJc w:val="left"/>
      <w:lvlText w:val="%1"/>
      <w:numFmt w:val="lowerLetter"/>
      <w:start w:val="1"/>
    </w:lvl>
    <w:lvl w:ilvl="1">
      <w:lvlJc w:val="left"/>
      <w:lvlText w:val="(%2)"/>
      <w:numFmt w:val="lowerLetter"/>
      <w:start w:val="3"/>
    </w:lvl>
  </w:abstractNum>
  <w:abstractNum w:abstractNumId="15">
    <w:nsid w:val="26F324BA"/>
    <w:multiLevelType w:val="hybridMultilevel"/>
    <w:lvl w:ilvl="0">
      <w:lvlJc w:val="left"/>
      <w:lvlText w:val="(%1)"/>
      <w:numFmt w:val="lowerLetter"/>
      <w:start w:val="9"/>
    </w:lvl>
    <w:lvl w:ilvl="1">
      <w:lvlJc w:val="left"/>
      <w:lvlText w:val="(%2)"/>
      <w:numFmt w:val="lowerLetter"/>
      <w:start w:val="5"/>
    </w:lvl>
  </w:abstractNum>
  <w:abstractNum w:abstractNumId="16">
    <w:nsid w:val="7F01579B"/>
    <w:multiLevelType w:val="hybridMultilevel"/>
    <w:lvl w:ilvl="0">
      <w:lvlJc w:val="left"/>
      <w:lvlText w:val="(%1)"/>
      <w:numFmt w:val="lowerLetter"/>
      <w:start w:val="1"/>
    </w:lvl>
    <w:lvl w:ilvl="1">
      <w:lvlJc w:val="left"/>
      <w:lvlText w:val="(%2)"/>
      <w:numFmt w:val="lowerRoman"/>
      <w:start w:val="1"/>
    </w:lvl>
  </w:abstractNum>
  <w:abstractNum w:abstractNumId="17">
    <w:nsid w:val="49DA307D"/>
    <w:multiLevelType w:val="hybridMultilevel"/>
    <w:lvl w:ilvl="0">
      <w:lvlJc w:val="left"/>
      <w:lvlText w:val="(%1)"/>
      <w:numFmt w:val="lowerLetter"/>
      <w:start w:val="2"/>
    </w:lvl>
  </w:abstractNum>
  <w:abstractNum w:abstractNumId="18">
    <w:nsid w:val="7055A5F5"/>
    <w:multiLevelType w:val="hybridMultilevel"/>
    <w:lvl w:ilvl="0">
      <w:lvlJc w:val="left"/>
      <w:lvlText w:val="(%1)"/>
      <w:numFmt w:val="lowerLetter"/>
      <w:start w:val="1"/>
    </w:lvl>
  </w:abstractNum>
  <w:abstractNum w:abstractNumId="19">
    <w:nsid w:val="5FB8370B"/>
    <w:multiLevelType w:val="hybridMultilevel"/>
    <w:lvl w:ilvl="0">
      <w:lvlJc w:val="left"/>
      <w:lvlText w:val="(%1)"/>
      <w:numFmt w:val="lowerLetter"/>
      <w:start w:val="1"/>
    </w:lvl>
  </w:abstractNum>
  <w:abstractNum w:abstractNumId="20">
    <w:nsid w:val="50801EE1"/>
    <w:multiLevelType w:val="hybridMultilevel"/>
    <w:lvl w:ilvl="0">
      <w:lvlJc w:val="left"/>
      <w:lvlText w:val="(%1)"/>
      <w:numFmt w:val="lowerLetter"/>
      <w:start w:val="2"/>
    </w:lvl>
  </w:abstractNum>
  <w:abstractNum w:abstractNumId="21">
    <w:nsid w:val="488AC1A"/>
    <w:multiLevelType w:val="hybridMultilevel"/>
    <w:lvl w:ilvl="0">
      <w:lvlJc w:val="left"/>
      <w:lvlText w:val="(%1)"/>
      <w:numFmt w:val="lowerLetter"/>
      <w:start w:val="1"/>
    </w:lvl>
  </w:abstractNum>
  <w:abstractNum w:abstractNumId="22">
    <w:nsid w:val="5FB8011C"/>
    <w:multiLevelType w:val="hybridMultilevel"/>
    <w:lvl w:ilvl="0">
      <w:lvlJc w:val="left"/>
      <w:lvlText w:val="(%1)"/>
      <w:numFmt w:val="lowerLetter"/>
      <w:start w:val="1"/>
    </w:lvl>
  </w:abstractNum>
  <w:abstractNum w:abstractNumId="23">
    <w:nsid w:val="6AA78F7F"/>
    <w:multiLevelType w:val="hybridMultilevel"/>
    <w:lvl w:ilvl="0">
      <w:lvlJc w:val="left"/>
      <w:lvlText w:val="(%1)"/>
      <w:numFmt w:val="lowerLetter"/>
      <w:start w:val="1"/>
    </w:lvl>
  </w:abstractNum>
  <w:abstractNum w:abstractNumId="24">
    <w:nsid w:val="7672BD23"/>
    <w:multiLevelType w:val="hybridMultilevel"/>
    <w:lvl w:ilvl="0">
      <w:lvlJc w:val="left"/>
      <w:lvlText w:val="(%1)"/>
      <w:numFmt w:val="lowerLetter"/>
      <w:start w:val="1"/>
    </w:lvl>
  </w:abstractNum>
  <w:abstractNum w:abstractNumId="25">
    <w:nsid w:val="6FC75AF8"/>
    <w:multiLevelType w:val="hybridMultilevel"/>
    <w:lvl w:ilvl="0">
      <w:lvlJc w:val="left"/>
      <w:lvlText w:val="(%1)"/>
      <w:numFmt w:val="lowerLetter"/>
      <w:start w:val="2"/>
    </w:lvl>
    <w:lvl w:ilvl="1">
      <w:lvlJc w:val="left"/>
      <w:lvlText w:val="(%2)"/>
      <w:numFmt w:val="lowerRoman"/>
      <w:start w:val="1"/>
    </w:lvl>
  </w:abstractNum>
  <w:abstractNum w:abstractNumId="26">
    <w:nsid w:val="6A5F7029"/>
    <w:multiLevelType w:val="hybridMultilevel"/>
    <w:lvl w:ilvl="0">
      <w:lvlJc w:val="left"/>
      <w:lvlText w:val="%1"/>
      <w:numFmt w:val="decimal"/>
      <w:start w:val="1"/>
    </w:lvl>
    <w:lvl w:ilvl="1">
      <w:lvlJc w:val="left"/>
      <w:lvlText w:val="(%2)"/>
      <w:numFmt w:val="lowerLetter"/>
      <w:start w:val="5"/>
    </w:lvl>
  </w:abstractNum>
  <w:abstractNum w:abstractNumId="27">
    <w:nsid w:val="7D5E18F8"/>
    <w:multiLevelType w:val="hybridMultilevel"/>
    <w:lvl w:ilvl="0">
      <w:lvlJc w:val="left"/>
      <w:lvlText w:val="(%1)"/>
      <w:numFmt w:val="decimal"/>
      <w:start w:val="37"/>
    </w:lvl>
    <w:lvl w:ilvl="1">
      <w:lvlJc w:val="left"/>
      <w:lvlText w:val="(%2)"/>
      <w:numFmt w:val="lowerLetter"/>
      <w:start w:val="6"/>
    </w:lvl>
  </w:abstractNum>
  <w:abstractNum w:abstractNumId="28">
    <w:nsid w:val="5F3534A4"/>
    <w:multiLevelType w:val="hybridMultilevel"/>
    <w:lvl w:ilvl="0">
      <w:lvlJc w:val="left"/>
      <w:lvlText w:val="(%1)"/>
      <w:numFmt w:val="lowerLetter"/>
      <w:start w:val="12"/>
    </w:lvl>
  </w:abstractNum>
  <w:abstractNum w:abstractNumId="29">
    <w:nsid w:val="73A1821B"/>
    <w:multiLevelType w:val="hybridMultilevel"/>
    <w:lvl w:ilvl="0">
      <w:lvlJc w:val="left"/>
      <w:lvlText w:val="%1"/>
      <w:numFmt w:val="lowerLetter"/>
      <w:start w:val="1"/>
    </w:lvl>
    <w:lvl w:ilvl="1">
      <w:lvlJc w:val="left"/>
      <w:lvlText w:val="(%2)"/>
      <w:numFmt w:val="lowerLetter"/>
      <w:start w:val="1"/>
    </w:lvl>
  </w:abstractNum>
  <w:abstractNum w:abstractNumId="30">
    <w:nsid w:val="7DE67713"/>
    <w:multiLevelType w:val="hybridMultilevel"/>
    <w:lvl w:ilvl="0">
      <w:lvlJc w:val="left"/>
      <w:lvlText w:val="(%1)"/>
      <w:numFmt w:val="lowerLetter"/>
      <w:start w:val="35"/>
    </w:lvl>
    <w:lvl w:ilvl="1">
      <w:lvlJc w:val="left"/>
      <w:lvlText w:val="(%2)"/>
      <w:numFmt w:val="lowerLetter"/>
      <w:start w:val="4"/>
    </w:lvl>
  </w:abstractNum>
  <w:abstractNum w:abstractNumId="31">
    <w:nsid w:val="555C55B5"/>
    <w:multiLevelType w:val="hybridMultilevel"/>
    <w:lvl w:ilvl="0">
      <w:lvlJc w:val="left"/>
      <w:lvlText w:val="%1"/>
      <w:numFmt w:val="lowerLetter"/>
      <w:start w:val="1"/>
    </w:lvl>
    <w:lvl w:ilvl="1">
      <w:lvlJc w:val="left"/>
      <w:lvlText w:val="(%2)"/>
      <w:numFmt w:val="lowerLetter"/>
      <w:start w:val="6"/>
    </w:lvl>
  </w:abstractNum>
  <w:abstractNum w:abstractNumId="32">
    <w:nsid w:val="3FA62ACA"/>
    <w:multiLevelType w:val="hybridMultilevel"/>
    <w:lvl w:ilvl="0">
      <w:lvlJc w:val="left"/>
      <w:lvlText w:val="(%1)"/>
      <w:numFmt w:val="lowerLetter"/>
      <w:start w:val="9"/>
    </w:lvl>
    <w:lvl w:ilvl="1">
      <w:lvlJc w:val="left"/>
      <w:lvlText w:val="(%2)"/>
      <w:numFmt w:val="lowerLetter"/>
      <w:start w:val="7"/>
    </w:lvl>
  </w:abstractNum>
  <w:abstractNum w:abstractNumId="33">
    <w:nsid w:val="14FCE74E"/>
    <w:multiLevelType w:val="hybridMultilevel"/>
    <w:lvl w:ilvl="0">
      <w:lvlJc w:val="left"/>
      <w:lvlText w:val="(%1)"/>
      <w:numFmt w:val="lowerLetter"/>
      <w:start w:val="9"/>
    </w:lvl>
    <w:lvl w:ilvl="1">
      <w:lvlJc w:val="left"/>
      <w:lvlText w:val="(%2)"/>
      <w:numFmt w:val="lowerLetter"/>
      <w:start w:val="9"/>
    </w:lvl>
  </w:abstractNum>
  <w:abstractNum w:abstractNumId="34">
    <w:nsid w:val="6A3DD3E8"/>
    <w:multiLevelType w:val="hybridMultilevel"/>
    <w:lvl w:ilvl="0">
      <w:lvlJc w:val="left"/>
      <w:lvlText w:val="(%1)"/>
      <w:numFmt w:val="lowerLetter"/>
      <w:start w:val="1"/>
    </w:lvl>
  </w:abstractNum>
  <w:abstractNum w:abstractNumId="35">
    <w:nsid w:val="71C91298"/>
    <w:multiLevelType w:val="hybridMultilevel"/>
    <w:lvl w:ilvl="0">
      <w:lvlJc w:val="left"/>
      <w:lvlText w:val="(%1)"/>
      <w:numFmt w:val="lowerLetter"/>
      <w:start w:val="3"/>
    </w:lvl>
  </w:abstractNum>
  <w:abstractNum w:abstractNumId="36">
    <w:nsid w:val="9DAF632"/>
    <w:multiLevelType w:val="hybridMultilevel"/>
    <w:lvl w:ilvl="0">
      <w:lvlJc w:val="left"/>
      <w:lvlText w:val="(%1)"/>
      <w:numFmt w:val="lowerLetter"/>
      <w:start w:val="1"/>
    </w:lvl>
  </w:abstractNum>
  <w:abstractNum w:abstractNumId="37">
    <w:nsid w:val="53299938"/>
    <w:multiLevelType w:val="hybridMultilevel"/>
    <w:lvl w:ilvl="0">
      <w:lvlJc w:val="left"/>
      <w:lvlText w:val="(%1)"/>
      <w:numFmt w:val="lowerLetter"/>
      <w:start w:val="9"/>
    </w:lvl>
  </w:abstractNum>
  <w:abstractNum w:abstractNumId="38">
    <w:nsid w:val="1FBFE8E0"/>
    <w:multiLevelType w:val="hybridMultilevel"/>
    <w:lvl w:ilvl="0">
      <w:lvlJc w:val="left"/>
      <w:lvlText w:val="(%1)"/>
      <w:numFmt w:val="lowerLetter"/>
      <w:start w:val="1"/>
    </w:lvl>
  </w:abstractNum>
  <w:abstractNum w:abstractNumId="39">
    <w:nsid w:val="5092CA79"/>
    <w:multiLevelType w:val="hybridMultilevel"/>
    <w:lvl w:ilvl="0">
      <w:lvlJc w:val="left"/>
      <w:lvlText w:val="%1"/>
      <w:numFmt w:val="lowerRoman"/>
      <w:start w:val="1"/>
    </w:lvl>
    <w:lvl w:ilvl="1">
      <w:lvlJc w:val="left"/>
      <w:lvlText w:val="(%2)"/>
      <w:numFmt w:val="lowerLetter"/>
      <w:start w:val="4"/>
    </w:lvl>
  </w:abstractNum>
  <w:abstractNum w:abstractNumId="40">
    <w:nsid w:val="1D545C4D"/>
    <w:multiLevelType w:val="hybridMultilevel"/>
    <w:lvl w:ilvl="0">
      <w:lvlJc w:val="left"/>
      <w:lvlText w:val="(%1)"/>
      <w:numFmt w:val="lowerRoman"/>
      <w:start w:val="4"/>
    </w:lvl>
    <w:lvl w:ilvl="1">
      <w:lvlJc w:val="left"/>
      <w:lvlText w:val="(%2)"/>
      <w:numFmt w:val="lowerLetter"/>
      <w:start w:val="7"/>
    </w:lvl>
  </w:abstractNum>
  <w:abstractNum w:abstractNumId="41">
    <w:nsid w:val="59ADEA3D"/>
    <w:multiLevelType w:val="hybridMultilevel"/>
    <w:lvl w:ilvl="0">
      <w:lvlJc w:val="left"/>
      <w:lvlText w:val="(%1)"/>
      <w:numFmt w:val="lowerLetter"/>
      <w:start w:val="9"/>
    </w:lvl>
  </w:abstractNum>
  <w:abstractNum w:abstractNumId="42">
    <w:nsid w:val="288F1A34"/>
    <w:multiLevelType w:val="hybridMultilevel"/>
    <w:lvl w:ilvl="0">
      <w:lvlJc w:val="left"/>
      <w:lvlText w:val="(%1)"/>
      <w:numFmt w:val="lowerLetter"/>
      <w:start w:val="1"/>
    </w:lvl>
  </w:abstractNum>
  <w:abstractNum w:abstractNumId="43">
    <w:nsid w:val="2A155DBC"/>
    <w:multiLevelType w:val="hybridMultilevel"/>
    <w:lvl w:ilvl="0">
      <w:lvlJc w:val="left"/>
      <w:lvlText w:val="(%1)"/>
      <w:numFmt w:val="lowerLetter"/>
      <w:start w:val="4"/>
    </w:lvl>
  </w:abstractNum>
  <w:abstractNum w:abstractNumId="44">
    <w:nsid w:val="1D9F6E5F"/>
    <w:multiLevelType w:val="hybridMultilevel"/>
    <w:lvl w:ilvl="0">
      <w:lvlJc w:val="left"/>
      <w:lvlText w:val="(%1)"/>
      <w:numFmt w:val="lowerLetter"/>
      <w:start w:val="1"/>
    </w:lvl>
    <w:lvl w:ilvl="1">
      <w:lvlJc w:val="left"/>
      <w:lvlText w:val="(%2)"/>
      <w:numFmt w:val="lowerRoman"/>
      <w:start w:val="1"/>
    </w:lvl>
  </w:abstractNum>
  <w:abstractNum w:abstractNumId="45">
    <w:nsid w:val="97E1B4E"/>
    <w:multiLevelType w:val="hybridMultilevel"/>
    <w:lvl w:ilvl="0">
      <w:lvlJc w:val="left"/>
      <w:lvlText w:val="%1"/>
      <w:numFmt w:val="lowerLetter"/>
      <w:start w:val="1"/>
    </w:lvl>
    <w:lvl w:ilvl="1">
      <w:lvlJc w:val="left"/>
      <w:lvlText w:val="(%2)"/>
      <w:numFmt w:val="lowerRoman"/>
      <w:start w:val="9"/>
    </w:lvl>
  </w:abstractNum>
  <w:abstractNum w:abstractNumId="46">
    <w:nsid w:val="51088277"/>
    <w:multiLevelType w:val="hybridMultilevel"/>
    <w:lvl w:ilvl="0">
      <w:lvlJc w:val="left"/>
      <w:lvlText w:val="(%1)"/>
      <w:numFmt w:val="lowerLetter"/>
      <w:start w:val="2"/>
    </w:lvl>
    <w:lvl w:ilvl="1">
      <w:lvlJc w:val="left"/>
      <w:lvlText w:val="%2"/>
      <w:numFmt w:val="lowerRoman"/>
      <w:start w:val="1"/>
    </w:lvl>
  </w:abstractNum>
  <w:abstractNum w:abstractNumId="47">
    <w:nsid w:val="1CA0C5FA"/>
    <w:multiLevelType w:val="hybridMultilevel"/>
    <w:lvl w:ilvl="0">
      <w:lvlJc w:val="left"/>
      <w:lvlText w:val="(%1)"/>
      <w:numFmt w:val="lowerLetter"/>
      <w:start w:val="1"/>
    </w:lvl>
  </w:abstractNum>
  <w:abstractNum w:abstractNumId="48">
    <w:nsid w:val="53584BCB"/>
    <w:multiLevelType w:val="hybridMultilevel"/>
    <w:lvl w:ilvl="0">
      <w:lvlJc w:val="left"/>
      <w:lvlText w:val="(%1)"/>
      <w:numFmt w:val="lowerLetter"/>
      <w:start w:val="1"/>
    </w:lvl>
  </w:abstractNum>
  <w:abstractNum w:abstractNumId="49">
    <w:nsid w:val="415E286C"/>
    <w:multiLevelType w:val="hybridMultilevel"/>
    <w:lvl w:ilvl="0">
      <w:lvlJc w:val="left"/>
      <w:lvlText w:val="(%1)"/>
      <w:numFmt w:val="lowerLetter"/>
      <w:start w:val="1"/>
    </w:lvl>
  </w:abstractNum>
  <w:abstractNum w:abstractNumId="50">
    <w:nsid w:val="7C58FD05"/>
    <w:multiLevelType w:val="hybridMultilevel"/>
    <w:lvl w:ilvl="0">
      <w:lvlJc w:val="left"/>
      <w:lvlText w:val="%1"/>
      <w:numFmt w:val="upperLetter"/>
      <w:start w:val="1"/>
    </w:lvl>
    <w:lvl w:ilvl="1">
      <w:lvlJc w:val="left"/>
      <w:lvlText w:val="(%2)"/>
      <w:numFmt w:val="lowerLetter"/>
      <w:start w:val="1"/>
    </w:lvl>
  </w:abstractNum>
  <w:abstractNum w:abstractNumId="51">
    <w:nsid w:val="23D86AAC"/>
    <w:multiLevelType w:val="hybridMultilevel"/>
    <w:lvl w:ilvl="0">
      <w:lvlJc w:val="left"/>
      <w:lvlText w:val="(%1)"/>
      <w:numFmt w:val="upperLetter"/>
      <w:start w:val="1"/>
    </w:lvl>
    <w:lvl w:ilvl="1">
      <w:lvlJc w:val="left"/>
      <w:lvlText w:val="(%2)"/>
      <w:numFmt w:val="lowerLetter"/>
      <w:start w:val="5"/>
    </w:lvl>
  </w:abstractNum>
  <w:abstractNum w:abstractNumId="52">
    <w:nsid w:val="45E6D486"/>
    <w:multiLevelType w:val="hybridMultilevel"/>
    <w:lvl w:ilvl="0">
      <w:lvlJc w:val="left"/>
      <w:lvlText w:val="(%1)"/>
      <w:numFmt w:val="lowerLetter"/>
      <w:start w:val="7"/>
    </w:lvl>
  </w:abstractNum>
  <w:abstractNum w:abstractNumId="53">
    <w:nsid w:val="5C10FE21"/>
    <w:multiLevelType w:val="hybridMultilevel"/>
    <w:lvl w:ilvl="0">
      <w:lvlJc w:val="left"/>
      <w:lvlText w:val="(%1)"/>
      <w:numFmt w:val="lowerLetter"/>
      <w:start w:val="1"/>
    </w:lvl>
  </w:abstractNum>
  <w:abstractNum w:abstractNumId="54">
    <w:nsid w:val="E7FFA2B"/>
    <w:multiLevelType w:val="hybridMultilevel"/>
    <w:lvl w:ilvl="0">
      <w:lvlJc w:val="left"/>
      <w:lvlText w:val="(%1)"/>
      <w:numFmt w:val="lowerLetter"/>
      <w:start w:val="1"/>
    </w:lvl>
  </w:abstractNum>
  <w:abstractNum w:abstractNumId="55">
    <w:nsid w:val="3C5991AA"/>
    <w:multiLevelType w:val="hybridMultilevel"/>
    <w:lvl w:ilvl="0">
      <w:lvlJc w:val="left"/>
      <w:lvlText w:val="(%1)"/>
      <w:numFmt w:val="lowerLetter"/>
      <w:start w:val="1"/>
    </w:lvl>
  </w:abstractNum>
  <w:abstractNum w:abstractNumId="56">
    <w:nsid w:val="4BD8591A"/>
    <w:multiLevelType w:val="hybridMultilevel"/>
    <w:lvl w:ilvl="0">
      <w:lvlJc w:val="left"/>
      <w:lvlText w:val="(%1)"/>
      <w:numFmt w:val="lowerLetter"/>
      <w:start w:val="1"/>
    </w:lvl>
  </w:abstractNum>
  <w:abstractNum w:abstractNumId="57">
    <w:nsid w:val="78DF6A55"/>
    <w:multiLevelType w:val="hybridMultilevel"/>
    <w:lvl w:ilvl="0">
      <w:lvlJc w:val="left"/>
      <w:lvlText w:val="(%1)"/>
      <w:numFmt w:val="lowerLetter"/>
      <w:start w:val="1"/>
    </w:lvl>
  </w:abstractNum>
  <w:abstractNum w:abstractNumId="58">
    <w:nsid w:val="39B7AAA2"/>
    <w:multiLevelType w:val="hybridMultilevel"/>
    <w:lvl w:ilvl="0">
      <w:lvlJc w:val="left"/>
      <w:lvlText w:val="(%1)"/>
      <w:numFmt w:val="lowerLetter"/>
      <w:start w:val="1"/>
    </w:lvl>
  </w:abstractNum>
  <w:abstractNum w:abstractNumId="59">
    <w:nsid w:val="2B0D8DBE"/>
    <w:multiLevelType w:val="hybridMultilevel"/>
    <w:lvl w:ilvl="0">
      <w:lvlJc w:val="left"/>
      <w:lvlText w:val="(%1)"/>
      <w:numFmt w:val="lowerLetter"/>
      <w:start w:val="1"/>
    </w:lvl>
  </w:abstractNum>
  <w:abstractNum w:abstractNumId="60">
    <w:nsid w:val="6C80EC70"/>
    <w:multiLevelType w:val="hybridMultilevel"/>
    <w:lvl w:ilvl="0">
      <w:lvlJc w:val="left"/>
      <w:lvlText w:val="(%1)"/>
      <w:numFmt w:val="upperLetter"/>
      <w:start w:val="1"/>
    </w:lvl>
  </w:abstractNum>
  <w:abstractNum w:abstractNumId="61">
    <w:nsid w:val="379E21B5"/>
    <w:multiLevelType w:val="hybridMultilevel"/>
    <w:lvl w:ilvl="0">
      <w:lvlJc w:val="left"/>
      <w:lvlText w:val="(%1)"/>
      <w:numFmt w:val="lowerLetter"/>
      <w:start w:val="1"/>
    </w:lvl>
  </w:abstractNum>
  <w:abstractNum w:abstractNumId="62">
    <w:nsid w:val="69E373"/>
    <w:multiLevelType w:val="hybridMultilevel"/>
    <w:lvl w:ilvl="0">
      <w:lvlJc w:val="left"/>
      <w:lvlText w:val="(%1)"/>
      <w:numFmt w:val="lowerLetter"/>
      <w:start w:val="3"/>
    </w:lvl>
  </w:abstractNum>
  <w:abstractNum w:abstractNumId="63">
    <w:nsid w:val="2C27173B"/>
    <w:multiLevelType w:val="hybridMultilevel"/>
    <w:lvl w:ilvl="0">
      <w:lvlJc w:val="left"/>
      <w:lvlText w:val="%1"/>
      <w:numFmt w:val="lowerRoman"/>
      <w:start w:val="1"/>
    </w:lvl>
    <w:lvl w:ilvl="1">
      <w:lvlJc w:val="left"/>
      <w:lvlText w:val="(%2)"/>
      <w:numFmt w:val="lowerLetter"/>
      <w:start w:val="10"/>
    </w:lvl>
  </w:abstractNum>
  <w:abstractNum w:abstractNumId="64">
    <w:nsid w:val="4C9B0904"/>
    <w:multiLevelType w:val="hybridMultilevel"/>
    <w:lvl w:ilvl="0">
      <w:lvlJc w:val="left"/>
      <w:lvlText w:val="(%1)"/>
      <w:numFmt w:val="lowerRoman"/>
      <w:start w:val="6"/>
    </w:lvl>
    <w:lvl w:ilvl="1">
      <w:lvlJc w:val="left"/>
      <w:lvlText w:val="(%2)"/>
      <w:numFmt w:val="lowerLetter"/>
      <w:start w:val="14"/>
    </w:lvl>
  </w:abstractNum>
  <w:abstractNum w:abstractNumId="65">
    <w:nsid w:val="6AA7B75C"/>
    <w:multiLevelType w:val="hybridMultilevel"/>
    <w:lvl w:ilvl="0">
      <w:lvlJc w:val="left"/>
      <w:lvlText w:val="(%1)"/>
      <w:numFmt w:val="lowerLetter"/>
      <w:start w:val="25"/>
    </w:lvl>
  </w:abstractNum>
  <w:abstractNum w:abstractNumId="66">
    <w:nsid w:val="1DF029D3"/>
    <w:multiLevelType w:val="hybridMultilevel"/>
    <w:lvl w:ilvl="0">
      <w:lvlJc w:val="left"/>
      <w:lvlText w:val="(%1)"/>
      <w:numFmt w:val="lowerLetter"/>
      <w:start w:val="1"/>
    </w:lvl>
  </w:abstractNum>
  <w:abstractNum w:abstractNumId="67">
    <w:nsid w:val="5675FF36"/>
    <w:multiLevelType w:val="hybridMultilevel"/>
    <w:lvl w:ilvl="0">
      <w:lvlJc w:val="left"/>
      <w:lvlText w:val="%1"/>
      <w:numFmt w:val="lowerRoman"/>
      <w:start w:val="1"/>
    </w:lvl>
    <w:lvl w:ilvl="1">
      <w:lvlJc w:val="left"/>
      <w:lvlText w:val="(%2)"/>
      <w:numFmt w:val="lowerLetter"/>
      <w:start w:val="8"/>
    </w:lvl>
  </w:abstractNum>
  <w:abstractNum w:abstractNumId="68">
    <w:nsid w:val="3DD15094"/>
    <w:multiLevelType w:val="hybridMultilevel"/>
    <w:lvl w:ilvl="0">
      <w:lvlJc w:val="left"/>
      <w:lvlText w:val="(%1)"/>
      <w:numFmt w:val="lowerRoman"/>
      <w:start w:val="6"/>
    </w:lvl>
    <w:lvl w:ilvl="1">
      <w:lvlJc w:val="left"/>
      <w:lvlText w:val="(%2)"/>
      <w:numFmt w:val="lowerLetter"/>
      <w:start w:val="9"/>
    </w:lvl>
  </w:abstractNum>
  <w:abstractNum w:abstractNumId="69">
    <w:nsid w:val="3DB012B3"/>
    <w:multiLevelType w:val="hybridMultilevel"/>
    <w:lvl w:ilvl="0">
      <w:lvlJc w:val="left"/>
      <w:lvlText w:val="(%1)"/>
      <w:numFmt w:val="lowerLetter"/>
      <w:start w:val="1"/>
    </w:lvl>
    <w:lvl w:ilvl="1">
      <w:lvlJc w:val="left"/>
      <w:lvlText w:val="(%2)"/>
      <w:numFmt w:val="lowerLetter"/>
      <w:start w:val="9"/>
    </w:lvl>
  </w:abstractNum>
  <w:abstractNum w:abstractNumId="70">
    <w:nsid w:val="2708C9AF"/>
    <w:multiLevelType w:val="hybridMultilevel"/>
    <w:lvl w:ilvl="0">
      <w:lvlJc w:val="left"/>
      <w:lvlText w:val="(%1)"/>
      <w:numFmt w:val="lowerRoman"/>
      <w:start w:val="2"/>
    </w:lvl>
  </w:abstractNum>
  <w:abstractNum w:abstractNumId="71">
    <w:nsid w:val="5B25ACE2"/>
    <w:multiLevelType w:val="hybridMultilevel"/>
    <w:lvl w:ilvl="0">
      <w:lvlJc w:val="left"/>
      <w:lvlText w:val="%1"/>
      <w:numFmt w:val="lowerLetter"/>
      <w:start w:val="1"/>
    </w:lvl>
    <w:lvl w:ilvl="1">
      <w:lvlJc w:val="left"/>
      <w:lvlText w:val="(%2)"/>
      <w:numFmt w:val="lowerRoman"/>
      <w:start w:val="4"/>
    </w:lvl>
  </w:abstractNum>
  <w:abstractNum w:abstractNumId="72">
    <w:nsid w:val="175DFCF0"/>
    <w:multiLevelType w:val="hybridMultilevel"/>
    <w:lvl w:ilvl="0">
      <w:lvlJc w:val="left"/>
      <w:lvlText w:val="(%1)"/>
      <w:numFmt w:val="lowerLetter"/>
      <w:start w:val="2"/>
    </w:lvl>
    <w:lvl w:ilvl="1">
      <w:lvlJc w:val="left"/>
      <w:lvlText w:val="%2"/>
      <w:numFmt w:val="lowerRoman"/>
      <w:start w:val="1"/>
    </w:lvl>
  </w:abstractNum>
  <w:abstractNum w:abstractNumId="73">
    <w:nsid w:val="4F97E3E4"/>
    <w:multiLevelType w:val="hybridMultilevel"/>
    <w:lvl w:ilvl="0">
      <w:lvlJc w:val="left"/>
      <w:lvlText w:val="(%1)"/>
      <w:numFmt w:val="lowerLetter"/>
      <w:start w:val="3"/>
    </w:lvl>
  </w:abstractNum>
  <w:abstractNum w:abstractNumId="74">
    <w:nsid w:val="53B0A9E"/>
    <w:multiLevelType w:val="hybridMultilevel"/>
    <w:lvl w:ilvl="0">
      <w:lvlJc w:val="left"/>
      <w:lvlText w:val="(%1)"/>
      <w:numFmt w:val="lowerLetter"/>
      <w:start w:val="1"/>
    </w:lvl>
  </w:abstractNum>
  <w:abstractNum w:abstractNumId="75">
    <w:nsid w:val="34FD6B4F"/>
    <w:multiLevelType w:val="hybridMultilevel"/>
    <w:lvl w:ilvl="0">
      <w:lvlJc w:val="left"/>
      <w:lvlText w:val="(%1)"/>
      <w:numFmt w:val="lowerLetter"/>
      <w:start w:val="3"/>
    </w:lvl>
  </w:abstractNum>
  <w:abstractNum w:abstractNumId="76">
    <w:nsid w:val="5915FF32"/>
    <w:multiLevelType w:val="hybridMultilevel"/>
    <w:lvl w:ilvl="0">
      <w:lvlJc w:val="left"/>
      <w:lvlText w:val="(%1)"/>
      <w:numFmt w:val="lowerLetter"/>
      <w:start w:val="1"/>
    </w:lvl>
  </w:abstractNum>
  <w:abstractNum w:abstractNumId="77">
    <w:nsid w:val="56438D15"/>
    <w:multiLevelType w:val="hybridMultilevel"/>
    <w:lvl w:ilvl="0">
      <w:lvlJc w:val="left"/>
      <w:lvlText w:val="(%1)"/>
      <w:numFmt w:val="lowerLetter"/>
      <w:start w:val="3"/>
    </w:lvl>
  </w:abstractNum>
  <w:abstractNum w:abstractNumId="78">
    <w:nsid w:val="519E3149"/>
    <w:multiLevelType w:val="hybridMultilevel"/>
    <w:lvl w:ilvl="0">
      <w:lvlJc w:val="left"/>
      <w:lvlText w:val="%1"/>
      <w:numFmt w:val="lowerLetter"/>
      <w:start w:val="1"/>
    </w:lvl>
    <w:lvl w:ilvl="1">
      <w:lvlJc w:val="left"/>
      <w:lvlText w:val="(%2)"/>
      <w:numFmt w:val="lowerLetter"/>
      <w:start w:val="1"/>
    </w:lvl>
  </w:abstractNum>
  <w:abstractNum w:abstractNumId="79">
    <w:nsid w:val="2C6E4AFD"/>
    <w:multiLevelType w:val="hybridMultilevel"/>
    <w:lvl w:ilvl="0">
      <w:lvlJc w:val="left"/>
      <w:lvlText w:val="(%1)"/>
      <w:numFmt w:val="lowerLetter"/>
      <w:start w:val="61"/>
    </w:lvl>
    <w:lvl w:ilvl="1">
      <w:lvlJc w:val="left"/>
      <w:lvlText w:val="%2"/>
      <w:numFmt w:val="lowerLetter"/>
      <w:start w:val="1"/>
    </w:lvl>
  </w:abstractNum>
  <w:abstractNum w:abstractNumId="80">
    <w:nsid w:val="17A1B582"/>
    <w:multiLevelType w:val="hybridMultilevel"/>
    <w:lvl w:ilvl="0">
      <w:lvlJc w:val="left"/>
      <w:lvlText w:val="(%1)"/>
      <w:numFmt w:val="lowerLetter"/>
      <w:start w:val="2"/>
    </w:lvl>
  </w:abstractNum>
  <w:abstractNum w:abstractNumId="81">
    <w:nsid w:val="4DF72E4E"/>
    <w:multiLevelType w:val="hybridMultilevel"/>
    <w:lvl w:ilvl="0">
      <w:lvlJc w:val="left"/>
      <w:lvlText w:val="(%1)"/>
      <w:numFmt w:val="lowerLetter"/>
      <w:start w:val="1"/>
    </w:lvl>
  </w:abstractNum>
  <w:abstractNum w:abstractNumId="82">
    <w:nsid w:val="5046B5A9"/>
    <w:multiLevelType w:val="hybridMultilevel"/>
    <w:lvl w:ilvl="0">
      <w:lvlJc w:val="left"/>
      <w:lvlText w:val="(%1)"/>
      <w:numFmt w:val="lowerLetter"/>
      <w:start w:val="3"/>
    </w:lvl>
  </w:abstractNum>
  <w:abstractNum w:abstractNumId="83">
    <w:nsid w:val="5D888A08"/>
    <w:multiLevelType w:val="hybridMultilevel"/>
    <w:lvl w:ilvl="0">
      <w:lvlJc w:val="left"/>
      <w:lvlText w:val="(%1)"/>
      <w:numFmt w:val="lowerLetter"/>
      <w:start w:val="1"/>
    </w:lvl>
  </w:abstractNum>
  <w:abstractNum w:abstractNumId="84">
    <w:nsid w:val="2A082C70"/>
    <w:multiLevelType w:val="hybridMultilevel"/>
    <w:lvl w:ilvl="0">
      <w:lvlJc w:val="left"/>
      <w:lvlText w:val="(%1)"/>
      <w:numFmt w:val="lowerLetter"/>
      <w:start w:val="1"/>
    </w:lvl>
  </w:abstractNum>
  <w:abstractNum w:abstractNumId="85">
    <w:nsid w:val="5EC6AFD4"/>
    <w:multiLevelType w:val="hybridMultilevel"/>
    <w:lvl w:ilvl="0">
      <w:lvlJc w:val="left"/>
      <w:lvlText w:val="(%1)"/>
      <w:numFmt w:val="lowerLetter"/>
      <w:start w:val="2"/>
    </w:lvl>
  </w:abstractNum>
  <w:abstractNum w:abstractNumId="86">
    <w:nsid w:val="19E21BB2"/>
    <w:multiLevelType w:val="hybridMultilevel"/>
    <w:lvl w:ilvl="0">
      <w:lvlJc w:val="left"/>
      <w:lvlText w:val="(%1)"/>
      <w:numFmt w:val="lowerLetter"/>
      <w:start w:val="1"/>
    </w:lvl>
  </w:abstractNum>
  <w:abstractNum w:abstractNumId="87">
    <w:nsid w:val="75E0858A"/>
    <w:multiLevelType w:val="hybridMultilevel"/>
    <w:lvl w:ilvl="0">
      <w:lvlJc w:val="left"/>
      <w:lvlText w:val="(%1)"/>
      <w:numFmt w:val="lowerLetter"/>
      <w:start w:val="1"/>
    </w:lvl>
  </w:abstractNum>
  <w:abstractNum w:abstractNumId="88">
    <w:nsid w:val="57A61A29"/>
    <w:multiLevelType w:val="hybridMultilevel"/>
    <w:lvl w:ilvl="0">
      <w:lvlJc w:val="left"/>
      <w:lvlText w:val="(%1)"/>
      <w:numFmt w:val="lowerLetter"/>
      <w:start w:val="1"/>
    </w:lvl>
  </w:abstractNum>
  <w:abstractNum w:abstractNumId="89">
    <w:nsid w:val="5399C654"/>
    <w:multiLevelType w:val="hybridMultilevel"/>
    <w:lvl w:ilvl="0">
      <w:lvlJc w:val="left"/>
      <w:lvlText w:val="(%1)"/>
      <w:numFmt w:val="lowerLetter"/>
      <w:start w:val="2"/>
    </w:lvl>
  </w:abstractNum>
  <w:abstractNum w:abstractNumId="90">
    <w:nsid w:val="20EE1348"/>
    <w:multiLevelType w:val="hybridMultilevel"/>
    <w:lvl w:ilvl="0">
      <w:lvlJc w:val="left"/>
      <w:lvlText w:val="(%1)"/>
      <w:numFmt w:val="lowerLetter"/>
      <w:start w:val="1"/>
    </w:lvl>
    <w:lvl w:ilvl="1">
      <w:lvlJc w:val="left"/>
      <w:lvlText w:val="(%2)"/>
      <w:numFmt w:val="lowerRoman"/>
      <w:start w:val="1"/>
    </w:lvl>
  </w:abstractNum>
  <w:abstractNum w:abstractNumId="91">
    <w:nsid w:val="4427069A"/>
    <w:multiLevelType w:val="hybridMultilevel"/>
    <w:lvl w:ilvl="0">
      <w:lvlJc w:val="left"/>
      <w:lvlText w:val="%1"/>
      <w:numFmt w:val="lowerLetter"/>
      <w:start w:val="1"/>
    </w:lvl>
    <w:lvl w:ilvl="1">
      <w:lvlJc w:val="left"/>
      <w:lvlText w:val="(%2)"/>
      <w:numFmt w:val="lowerLetter"/>
      <w:start w:val="1"/>
    </w:lvl>
  </w:abstractNum>
  <w:abstractNum w:abstractNumId="92">
    <w:nsid w:val="B37E80A"/>
    <w:multiLevelType w:val="hybridMultilevel"/>
    <w:lvl w:ilvl="0">
      <w:lvlJc w:val="left"/>
      <w:lvlText w:val="(%1)"/>
      <w:numFmt w:val="lowerLetter"/>
      <w:start w:val="35"/>
    </w:lvl>
    <w:lvl w:ilvl="1">
      <w:lvlJc w:val="left"/>
      <w:lvlText w:val="%2"/>
      <w:numFmt w:val="lowerLetter"/>
      <w:start w:val="1"/>
    </w:lvl>
  </w:abstractNum>
  <w:abstractNum w:abstractNumId="93">
    <w:nsid w:val="2157F6BC"/>
    <w:multiLevelType w:val="hybridMultilevel"/>
    <w:lvl w:ilvl="0">
      <w:lvlJc w:val="left"/>
      <w:lvlText w:val="(%1)"/>
      <w:numFmt w:val="lowerLetter"/>
      <w:start w:val="1"/>
    </w:lvl>
  </w:abstractNum>
  <w:abstractNum w:abstractNumId="94">
    <w:nsid w:val="704E1DD5"/>
    <w:multiLevelType w:val="hybridMultilevel"/>
    <w:lvl w:ilvl="0">
      <w:lvlJc w:val="left"/>
      <w:lvlText w:val="(%1)"/>
      <w:numFmt w:val="lowerLetter"/>
      <w:start w:val="1"/>
    </w:lvl>
  </w:abstractNum>
  <w:abstractNum w:abstractNumId="95">
    <w:nsid w:val="57D2F10E"/>
    <w:multiLevelType w:val="hybridMultilevel"/>
    <w:lvl w:ilvl="0">
      <w:lvlJc w:val="left"/>
      <w:lvlText w:val="(%1)"/>
      <w:numFmt w:val="lowerLetter"/>
      <w:start w:val="3"/>
    </w:lvl>
  </w:abstractNum>
  <w:abstractNum w:abstractNumId="96">
    <w:nsid w:val="BFFAE18"/>
    <w:multiLevelType w:val="hybridMultilevel"/>
    <w:lvl w:ilvl="0">
      <w:lvlJc w:val="left"/>
      <w:lvlText w:val="(%1)"/>
      <w:numFmt w:val="lowerLetter"/>
      <w:start w:val="1"/>
    </w:lvl>
  </w:abstractNum>
  <w:abstractNum w:abstractNumId="97">
    <w:nsid w:val="E3E47A8"/>
    <w:multiLevelType w:val="hybridMultilevel"/>
    <w:lvl w:ilvl="0">
      <w:lvlJc w:val="left"/>
      <w:lvlText w:val="(%1)"/>
      <w:numFmt w:val="lowerLetter"/>
      <w:start w:val="2"/>
    </w:lvl>
  </w:abstractNum>
  <w:abstractNum w:abstractNumId="98">
    <w:nsid w:val="2E48F044"/>
    <w:multiLevelType w:val="hybridMultilevel"/>
    <w:lvl w:ilvl="0">
      <w:lvlJc w:val="left"/>
      <w:lvlText w:val="(%1)"/>
      <w:numFmt w:val="lowerLetter"/>
      <w:start w:val="1"/>
    </w:lvl>
  </w:abstractNum>
  <w:abstractNum w:abstractNumId="99">
    <w:nsid w:val="49D0FEAC"/>
    <w:multiLevelType w:val="hybridMultilevel"/>
    <w:lvl w:ilvl="0">
      <w:lvlJc w:val="left"/>
      <w:lvlText w:val="(%1)"/>
      <w:numFmt w:val="lowerLetter"/>
      <w:start w:val="6"/>
    </w:lvl>
  </w:abstractNum>
  <w:abstractNum w:abstractNumId="100">
    <w:nsid w:val="4BEE5A5B"/>
    <w:multiLevelType w:val="hybridMultilevel"/>
    <w:lvl w:ilvl="0">
      <w:lvlJc w:val="left"/>
      <w:lvlText w:val="(%1)"/>
      <w:numFmt w:val="lowerLetter"/>
      <w:start w:val="1"/>
    </w:lvl>
  </w:abstractNum>
  <w:abstractNum w:abstractNumId="101">
    <w:nsid w:val="5551B9F3"/>
    <w:multiLevelType w:val="hybridMultilevel"/>
    <w:lvl w:ilvl="0">
      <w:lvlJc w:val="left"/>
      <w:lvlText w:val="(%1)"/>
      <w:numFmt w:val="lowerLetter"/>
      <w:start w:val="2"/>
    </w:lvl>
  </w:abstractNum>
  <w:abstractNum w:abstractNumId="102">
    <w:nsid w:val="24F6AB8E"/>
    <w:multiLevelType w:val="hybridMultilevel"/>
    <w:lvl w:ilvl="0">
      <w:lvlJc w:val="left"/>
      <w:lvlText w:val="(%1)"/>
      <w:numFmt w:val="lowerLetter"/>
      <w:start w:val="4"/>
    </w:lvl>
  </w:abstractNum>
  <w:abstractNum w:abstractNumId="103">
    <w:nsid w:val="634C574C"/>
    <w:multiLevelType w:val="hybridMultilevel"/>
    <w:lvl w:ilvl="0">
      <w:lvlJc w:val="left"/>
      <w:lvlText w:val="(%1)"/>
      <w:numFmt w:val="lowerLetter"/>
      <w:start w:val="1"/>
    </w:lvl>
  </w:abstractNum>
  <w:abstractNum w:abstractNumId="104">
    <w:nsid w:val="24E99DD7"/>
    <w:multiLevelType w:val="hybridMultilevel"/>
    <w:lvl w:ilvl="0">
      <w:lvlJc w:val="left"/>
      <w:lvlText w:val="(%1)"/>
      <w:numFmt w:val="lowerLetter"/>
      <w:start w:val="1"/>
    </w:lvl>
  </w:abstractNum>
  <w:abstractNum w:abstractNumId="105">
    <w:nsid w:val="2A31B62D"/>
    <w:multiLevelType w:val="hybridMultilevel"/>
    <w:lvl w:ilvl="0">
      <w:lvlJc w:val="left"/>
      <w:lvlText w:val="(%1)"/>
      <w:numFmt w:val="lowerRoman"/>
      <w:start w:val="2"/>
    </w:lvl>
  </w:abstractNum>
  <w:abstractNum w:abstractNumId="106">
    <w:nsid w:val="1849C29B"/>
    <w:multiLevelType w:val="hybridMultilevel"/>
    <w:lvl w:ilvl="0">
      <w:lvlJc w:val="left"/>
      <w:lvlText w:val="(%1)"/>
      <w:numFmt w:val="lowerRoman"/>
      <w:start w:val="7"/>
    </w:lvl>
  </w:abstractNum>
  <w:abstractNum w:abstractNumId="107">
    <w:nsid w:val="7DFF9D09"/>
    <w:multiLevelType w:val="hybridMultilevel"/>
    <w:lvl w:ilvl="0">
      <w:lvlJc w:val="left"/>
      <w:lvlText w:val="(%1)"/>
      <w:numFmt w:val="lowerLetter"/>
      <w:start w:val="1"/>
    </w:lvl>
  </w:abstractNum>
  <w:abstractNum w:abstractNumId="108">
    <w:nsid w:val="754342"/>
    <w:multiLevelType w:val="hybridMultilevel"/>
    <w:lvl w:ilvl="0">
      <w:lvlJc w:val="left"/>
      <w:lvlText w:val="%1."/>
      <w:numFmt w:val="decimal"/>
      <w:start w:val="1"/>
    </w:lvl>
  </w:abstractNum>
  <w:abstractNum w:abstractNumId="109">
    <w:nsid w:val="69E7F3E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10">
    <w:nsid w:val="2A6DE80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111">
    <w:nsid w:val="1816F8C4"/>
    <w:multiLevelType w:val="hybridMultilevel"/>
    <w:lvl w:ilvl="0">
      <w:lvlJc w:val="left"/>
      <w:lvlText w:val="%1"/>
      <w:numFmt w:val="lowerLetter"/>
      <w:start w:val="1"/>
    </w:lvl>
    <w:lvl w:ilvl="1">
      <w:lvlJc w:val="left"/>
      <w:lvlText w:val="(%2)"/>
      <w:numFmt w:val="lowerRoman"/>
      <w:start w:val="2"/>
    </w:lvl>
  </w:abstractNum>
  <w:abstractNum w:abstractNumId="112">
    <w:nsid w:val="37DF2233"/>
    <w:multiLevelType w:val="hybridMultilevel"/>
    <w:lvl w:ilvl="0">
      <w:lvlJc w:val="left"/>
      <w:lvlText w:val="(%1)"/>
      <w:numFmt w:val="lowerLetter"/>
      <w:start w:val="3"/>
    </w:lvl>
    <w:lvl w:ilvl="1">
      <w:lvlJc w:val="left"/>
      <w:lvlText w:val="(%2)"/>
      <w:numFmt w:val="lowerRoman"/>
      <w:start w:val="1"/>
    </w:lvl>
  </w:abstractNum>
  <w:abstractNum w:abstractNumId="113">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4">
    <w:nsid w:val="759F82C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5">
    <w:nsid w:val="61E74E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6">
    <w:nsid w:val="597B4D84"/>
    <w:multiLevelType w:val="hybridMultilevel"/>
    <w:lvl w:ilvl="0">
      <w:lvlJc w:val="left"/>
      <w:lvlText w:val="%1"/>
      <w:numFmt w:val="lowerLetter"/>
      <w:start w:val="1"/>
    </w:lvl>
    <w:lvl w:ilvl="1">
      <w:lvlJc w:val="left"/>
      <w:lvlText w:val="(%2)"/>
      <w:numFmt w:val="lowerLetter"/>
      <w:start w:val="5"/>
    </w:lvl>
  </w:abstractNum>
  <w:abstractNum w:abstractNumId="117">
    <w:nsid w:val="F819E7F"/>
    <w:multiLevelType w:val="hybridMultilevel"/>
    <w:lvl w:ilvl="0">
      <w:lvlJc w:val="left"/>
      <w:lvlText w:val="(%1)"/>
      <w:numFmt w:val="lowerLetter"/>
      <w:start w:val="35"/>
    </w:lvl>
    <w:lvl w:ilvl="1">
      <w:lvlJc w:val="left"/>
      <w:lvlText w:val="(%2)"/>
      <w:numFmt w:val="lowerLetter"/>
      <w:start w:val="7"/>
    </w:lvl>
  </w:abstractNum>
  <w:abstractNum w:abstractNumId="118">
    <w:nsid w:val="57C7D42D"/>
    <w:multiLevelType w:val="hybridMultilevel"/>
    <w:lvl w:ilvl="0">
      <w:lvlJc w:val="left"/>
      <w:lvlText w:val="(%1)"/>
      <w:numFmt w:val="lowerLetter"/>
      <w:start w:val="8"/>
    </w:lvl>
  </w:abstractNum>
  <w:abstractNum w:abstractNumId="119">
    <w:nsid w:val="312167AD"/>
    <w:multiLevelType w:val="hybridMultilevel"/>
    <w:lvl w:ilvl="0">
      <w:lvlJc w:val="left"/>
      <w:lvlText w:val="(%1)"/>
      <w:numFmt w:val="lowerLetter"/>
      <w:start w:val="12"/>
    </w:lvl>
  </w:abstractNum>
  <w:abstractNum w:abstractNumId="120">
    <w:nsid w:val="631B64D4"/>
    <w:multiLevelType w:val="hybridMultilevel"/>
    <w:lvl w:ilvl="0">
      <w:lvlJc w:val="left"/>
      <w:lvlText w:val="%1"/>
      <w:numFmt w:val="decimal"/>
      <w:start w:val="1"/>
    </w:lvl>
    <w:lvl w:ilvl="1">
      <w:lvlJc w:val="left"/>
      <w:lvlText w:val="(%2)"/>
      <w:numFmt w:val="lowerLetter"/>
      <w:start w:val="18"/>
    </w:lvl>
  </w:abstractNum>
  <w:abstractNum w:abstractNumId="121">
    <w:nsid w:val="78B5E776"/>
    <w:multiLevelType w:val="hybridMultilevel"/>
    <w:lvl w:ilvl="0">
      <w:lvlJc w:val="left"/>
      <w:lvlText w:val="%1."/>
      <w:numFmt w:val="decimal"/>
      <w:start w:val="4"/>
    </w:lvl>
    <w:lvl w:ilvl="1">
      <w:lvlJc w:val="left"/>
      <w:lvlText w:val="(%2)"/>
      <w:numFmt w:val="lowerLetter"/>
      <w:start w:val="1"/>
    </w:lvl>
  </w:abstractNum>
  <w:abstractNum w:abstractNumId="122">
    <w:nsid w:val="75486E47"/>
    <w:multiLevelType w:val="hybridMultilevel"/>
    <w:lvl w:ilvl="0">
      <w:lvlJc w:val="left"/>
      <w:lvlText w:val="(%1)"/>
      <w:numFmt w:val="lowerLetter"/>
      <w:start w:val="3"/>
    </w:lvl>
  </w:abstractNum>
  <w:abstractNum w:abstractNumId="123">
    <w:nsid w:val="6E534CDE"/>
    <w:multiLevelType w:val="hybridMultilevel"/>
    <w:lvl w:ilvl="0">
      <w:lvlJc w:val="left"/>
      <w:lvlText w:val="(%1)"/>
      <w:numFmt w:val="lowerLetter"/>
      <w:start w:val="7"/>
    </w:lvl>
  </w:abstractNum>
  <w:abstractNum w:abstractNumId="124">
    <w:nsid w:val="1A0DDE32"/>
    <w:multiLevelType w:val="hybridMultilevel"/>
    <w:lvl w:ilvl="0">
      <w:lvlJc w:val="left"/>
      <w:lvlText w:val="(%1)"/>
      <w:numFmt w:val="lowerLetter"/>
      <w:start w:val="10"/>
    </w:lvl>
  </w:abstractNum>
  <w:abstractNum w:abstractNumId="125">
    <w:nsid w:val="65968C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6"/>
    </w:lvl>
  </w:abstractNum>
  <w:abstractNum w:abstractNumId="126">
    <w:nsid w:val="46263DEC"/>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7"/>
    </w:lvl>
  </w:abstractNum>
  <w:abstractNum w:abstractNumId="127">
    <w:nsid w:val="260D8C4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8">
    <w:nsid w:val="73D4D3C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29">
    <w:nsid w:val="746F2E30"/>
    <w:multiLevelType w:val="hybridMultilevel"/>
    <w:lvl w:ilvl="0">
      <w:lvlJc w:val="left"/>
      <w:lvlText w:val="(%1)"/>
      <w:numFmt w:val="lowerRoman"/>
      <w:start w:val="3"/>
    </w:lvl>
  </w:abstractNum>
  <w:abstractNum w:abstractNumId="130">
    <w:nsid w:val="6FDE8AF6"/>
    <w:multiLevelType w:val="hybridMultilevel"/>
    <w:lvl w:ilvl="0">
      <w:lvlJc w:val="left"/>
      <w:lvlText w:val="(%1)"/>
      <w:numFmt w:val="lowerLetter"/>
      <w:start w:val="3"/>
    </w:lvl>
  </w:abstractNum>
  <w:abstractNum w:abstractNumId="131">
    <w:nsid w:val="3FC32E20"/>
    <w:multiLevelType w:val="hybridMultilevel"/>
    <w:lvl w:ilvl="0">
      <w:lvlJc w:val="left"/>
      <w:lvlText w:val="(%1)"/>
      <w:numFmt w:val="lowerLetter"/>
      <w:start w:val="5"/>
    </w:lvl>
    <w:lvl w:ilvl="1">
      <w:lvlJc w:val="left"/>
      <w:lvlText w:val="(%2)"/>
      <w:numFmt w:val="lowerRoman"/>
      <w:start w:val="1"/>
    </w:lvl>
  </w:abstractNum>
  <w:abstractNum w:abstractNumId="132">
    <w:nsid w:val="49C0E823"/>
    <w:multiLevelType w:val="hybridMultilevel"/>
    <w:lvl w:ilvl="0">
      <w:lvlJc w:val="left"/>
      <w:lvlText w:val="%1"/>
      <w:numFmt w:val="decimal"/>
      <w:start w:val="1"/>
    </w:lvl>
    <w:lvl w:ilvl="1">
      <w:lvlJc w:val="left"/>
      <w:lvlText w:val="(%2)"/>
      <w:numFmt w:val="lowerRoman"/>
      <w:start w:val="4"/>
    </w:lvl>
  </w:abstractNum>
  <w:abstractNum w:abstractNumId="133">
    <w:nsid w:val="14D53685"/>
    <w:multiLevelType w:val="hybridMultilevel"/>
    <w:lvl w:ilvl="0">
      <w:lvlJc w:val="left"/>
      <w:lvlText w:val="%1."/>
      <w:numFmt w:val="decimal"/>
      <w:start w:val="6"/>
    </w:lvl>
    <w:lvl w:ilvl="1">
      <w:lvlJc w:val="left"/>
      <w:lvlText w:val="%2"/>
      <w:numFmt w:val="lowerRoman"/>
      <w:start w:val="1"/>
    </w:lvl>
  </w:abstractNum>
  <w:abstractNum w:abstractNumId="134">
    <w:nsid w:val="230F856C"/>
    <w:multiLevelType w:val="hybridMultilevel"/>
    <w:lvl w:ilvl="0">
      <w:lvlJc w:val="left"/>
      <w:lvlText w:val="%1."/>
      <w:numFmt w:val="decimal"/>
      <w:start w:val="7"/>
    </w:lvl>
    <w:lvl w:ilvl="1">
      <w:lvlJc w:val="left"/>
      <w:lvlText w:val="(%2)"/>
      <w:numFmt w:val="lowerLetter"/>
      <w:start w:val="1"/>
    </w:lvl>
  </w:abstractNum>
  <w:abstractNum w:abstractNumId="135">
    <w:nsid w:val="6EAA85F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6">
    <w:nsid w:val="3F06ECB2"/>
    <w:multiLevelType w:val="hybridMultilevel"/>
    <w:lvl w:ilvl="0">
      <w:lvlJc w:val="left"/>
      <w:lvlText w:val="%1."/>
      <w:numFmt w:val="decimal"/>
      <w:start w:val="9"/>
    </w:lvl>
    <w:lvl w:ilvl="1">
      <w:lvlJc w:val="left"/>
      <w:lvlText w:val="(%2)"/>
      <w:numFmt w:val="lowerLetter"/>
      <w:start w:val="1"/>
    </w:lvl>
  </w:abstractNum>
  <w:abstractNum w:abstractNumId="137">
    <w:nsid w:val="3B594807"/>
    <w:multiLevelType w:val="hybridMultilevel"/>
    <w:lvl w:ilvl="0">
      <w:lvlJc w:val="left"/>
      <w:lvlText w:val="(%1)"/>
      <w:numFmt w:val="lowerLetter"/>
      <w:start w:val="7"/>
    </w:lvl>
  </w:abstractNum>
  <w:abstractNum w:abstractNumId="138">
    <w:nsid w:val="6CAA2304"/>
    <w:multiLevelType w:val="hybridMultilevel"/>
    <w:lvl w:ilvl="0">
      <w:lvlJc w:val="left"/>
      <w:lvlText w:val="(%1)"/>
      <w:numFmt w:val="lowerLetter"/>
      <w:start w:val="15"/>
    </w:lvl>
  </w:abstractNum>
  <w:abstractNum w:abstractNumId="139">
    <w:nsid w:val="3F7C2FF4"/>
    <w:multiLevelType w:val="hybridMultilevel"/>
    <w:lvl w:ilvl="0">
      <w:lvlJc w:val="left"/>
      <w:lvlText w:val="(%1)"/>
      <w:numFmt w:val="lowerLetter"/>
      <w:start w:val="17"/>
    </w:lvl>
    <w:lvl w:ilvl="1">
      <w:lvlJc w:val="left"/>
      <w:lvlText w:val="(%2)"/>
      <w:numFmt w:val="lowerLetter"/>
      <w:start w:val="9"/>
    </w:lvl>
  </w:abstractNum>
  <w:abstractNum w:abstractNumId="140">
    <w:nsid w:val="25413BEC"/>
    <w:multiLevelType w:val="hybridMultilevel"/>
    <w:lvl w:ilvl="0">
      <w:lvlJc w:val="left"/>
      <w:lvlText w:val="%1"/>
      <w:numFmt w:val="lowerLetter"/>
      <w:start w:val="1"/>
    </w:lvl>
    <w:lvl w:ilvl="1">
      <w:lvlJc w:val="left"/>
      <w:lvlText w:val="(%2)"/>
      <w:numFmt w:val="lowerLetter"/>
      <w:start w:val="35"/>
    </w:lvl>
  </w:abstractNum>
  <w:abstractNum w:abstractNumId="141">
    <w:nsid w:val="17180B0B"/>
    <w:multiLevelType w:val="hybridMultilevel"/>
    <w:lvl w:ilvl="0">
      <w:lvlJc w:val="left"/>
      <w:lvlText w:val="(%1)"/>
      <w:numFmt w:val="lowerLetter"/>
      <w:start w:val="19"/>
    </w:lvl>
    <w:lvl w:ilvl="1">
      <w:lvlJc w:val="left"/>
      <w:lvlText w:val="%2"/>
      <w:numFmt w:val="lowerLetter"/>
      <w:start w:val="1"/>
    </w:lvl>
  </w:abstractNum>
  <w:abstractNum w:abstractNumId="142">
    <w:nsid w:val="579328B9"/>
    <w:multiLevelType w:val="hybridMultilevel"/>
    <w:lvl w:ilvl="0">
      <w:lvlJc w:val="left"/>
      <w:lvlText w:val="(%1)"/>
      <w:numFmt w:val="lowerLetter"/>
      <w:start w:val="20"/>
    </w:lvl>
  </w:abstractNum>
  <w:abstractNum w:abstractNumId="143">
    <w:nsid w:val="5D205E20"/>
    <w:multiLevelType w:val="hybridMultilevel"/>
    <w:lvl w:ilvl="0">
      <w:lvlJc w:val="left"/>
      <w:lvlText w:val="%1."/>
      <w:numFmt w:val="upperLetter"/>
      <w:start w:val="1"/>
    </w:lvl>
    <w:lvl w:ilvl="1">
      <w:lvlJc w:val="left"/>
      <w:lvlText w:val="%2."/>
      <w:numFmt w:val="decimal"/>
      <w:start w:val="1"/>
    </w:lvl>
  </w:abstractNum>
  <w:abstractNum w:abstractNumId="144">
    <w:nsid w:val="11CCA8BA"/>
    <w:multiLevelType w:val="hybridMultilevel"/>
    <w:lvl w:ilvl="0">
      <w:lvlJc w:val="left"/>
      <w:lvlText w:val="%1."/>
      <w:numFmt w:val="upperLetter"/>
      <w:start w:val="2"/>
    </w:lvl>
    <w:lvl w:ilvl="1">
      <w:lvlJc w:val="left"/>
      <w:lvlText w:val="%2."/>
      <w:numFmt w:val="decimal"/>
      <w:start w:val="1"/>
    </w:lvl>
  </w:abstractNum>
  <w:abstractNum w:abstractNumId="145">
    <w:nsid w:val="4D32AB86"/>
    <w:multiLevelType w:val="hybridMultilevel"/>
    <w:lvl w:ilvl="0">
      <w:lvlJc w:val="left"/>
      <w:lvlText w:val="%1."/>
      <w:numFmt w:val="upperLetter"/>
      <w:start w:val="3"/>
    </w:lvl>
    <w:lvl w:ilvl="1">
      <w:lvlJc w:val="left"/>
      <w:lvlText w:val="☐"/>
      <w:numFmt w:val="bullet"/>
      <w:start w:val="1"/>
    </w:lvl>
  </w:abstractNum>
  <w:abstractNum w:abstractNumId="146">
    <w:nsid w:val="3F07ACC3"/>
    <w:multiLevelType w:val="hybridMultilevel"/>
    <w:lvl w:ilvl="0">
      <w:lvlJc w:val="left"/>
      <w:lvlText w:val="☐"/>
      <w:numFmt w:val="bullet"/>
      <w:start w:val="1"/>
    </w:lvl>
  </w:abstractNum>
  <w:abstractNum w:abstractNumId="147">
    <w:nsid w:val="6B47F63E"/>
    <w:multiLevelType w:val="hybridMultilevel"/>
    <w:lvl w:ilvl="0">
      <w:lvlJc w:val="left"/>
      <w:lvlText w:val="☐"/>
      <w:numFmt w:val="bullet"/>
      <w:start w:val="1"/>
    </w:lvl>
  </w:abstractNum>
  <w:abstractNum w:abstractNumId="148">
    <w:nsid w:val="5CB44A05"/>
    <w:multiLevelType w:val="hybridMultilevel"/>
    <w:lvl w:ilvl="0">
      <w:lvlJc w:val="left"/>
      <w:lvlText w:val="☐"/>
      <w:numFmt w:val="bullet"/>
      <w:start w:val="1"/>
    </w:lvl>
  </w:abstractNum>
  <w:abstractNum w:abstractNumId="149">
    <w:nsid w:val="16CF80F1"/>
    <w:multiLevelType w:val="hybridMultilevel"/>
    <w:lvl w:ilvl="0">
      <w:lvlJc w:val="left"/>
      <w:lvlText w:val="%1."/>
      <w:numFmt w:val="decimal"/>
      <w:start w:val="1"/>
    </w:lvl>
  </w:abstractNum>
  <w:abstractNum w:abstractNumId="150">
    <w:nsid w:val="1C695DEC"/>
    <w:multiLevelType w:val="hybridMultilevel"/>
    <w:lvl w:ilvl="0">
      <w:lvlJc w:val="left"/>
      <w:lvlText w:val="%1."/>
      <w:numFmt w:val="decimal"/>
      <w:start w:val="2"/>
    </w:lvl>
  </w:abstractNum>
  <w:abstractNum w:abstractNumId="151">
    <w:nsid w:val="3FCFAED9"/>
    <w:multiLevelType w:val="hybridMultilevel"/>
    <w:lvl w:ilvl="0">
      <w:lvlJc w:val="left"/>
      <w:lvlText w:val="%1."/>
      <w:numFmt w:val="decimal"/>
      <w:start w:val="6"/>
    </w:lvl>
  </w:abstractNum>
  <w:abstractNum w:abstractNumId="152">
    <w:nsid w:val="F856867"/>
    <w:multiLevelType w:val="hybridMultilevel"/>
    <w:lvl w:ilvl="0">
      <w:lvlJc w:val="left"/>
      <w:lvlText w:val="%1."/>
      <w:numFmt w:val="decimal"/>
      <w:start w:val="10"/>
    </w:lvl>
  </w:abstractNum>
  <w:abstractNum w:abstractNumId="153">
    <w:nsid w:val="11B1CC33"/>
    <w:multiLevelType w:val="hybridMultilevel"/>
    <w:lvl w:ilvl="0">
      <w:lvlJc w:val="left"/>
      <w:lvlText w:val="(%1)"/>
      <w:numFmt w:val="lowerLetter"/>
      <w:start w:val="1"/>
    </w:lvl>
    <w:lvl w:ilvl="1">
      <w:lvlJc w:val="left"/>
      <w:lvlText w:val="(%2)"/>
      <w:numFmt w:val="lowerRoman"/>
      <w:start w:val="1"/>
    </w:lvl>
  </w:abstractNum>
  <w:abstractNum w:abstractNumId="154">
    <w:nsid w:val="2E22FBB7"/>
    <w:multiLevelType w:val="hybridMultilevel"/>
    <w:lvl w:ilvl="0">
      <w:lvlJc w:val="left"/>
      <w:lvlText w:val="(%1)"/>
      <w:numFmt w:val="lowerRoman"/>
      <w:start w:val="4"/>
    </w:lvl>
  </w:abstractNum>
  <w:abstractNum w:abstractNumId="155">
    <w:nsid w:val="29934699"/>
    <w:multiLevelType w:val="hybridMultilevel"/>
    <w:lvl w:ilvl="0">
      <w:lvlJc w:val="left"/>
      <w:lvlText w:val="(%1)"/>
      <w:numFmt w:val="lowerLetter"/>
      <w:start w:val="2"/>
    </w:lvl>
  </w:abstractNum>
  <w:abstractNum w:abstractNumId="156">
    <w:nsid w:val="77485850"/>
    <w:multiLevelType w:val="hybridMultilevel"/>
    <w:lvl w:ilvl="0">
      <w:lvlJc w:val="left"/>
      <w:lvlText w:val=","/>
      <w:numFmt w:val="bullet"/>
      <w:start w:val="1"/>
    </w:lvl>
    <w:lvl w:ilvl="1">
      <w:lvlJc w:val="left"/>
      <w:lvlText w:val="(%2)"/>
      <w:numFmt w:val="lowerLetter"/>
      <w:start w:val="1"/>
    </w:lvl>
  </w:abstractNum>
  <w:abstractNum w:abstractNumId="157">
    <w:nsid w:val="744939A3"/>
    <w:multiLevelType w:val="hybridMultilevel"/>
    <w:lvl w:ilvl="0">
      <w:lvlJc w:val="left"/>
      <w:lvlText w:val=","/>
      <w:numFmt w:val="bullet"/>
      <w:start w:val="1"/>
    </w:lvl>
    <w:lvl w:ilvl="1">
      <w:lvlJc w:val="left"/>
      <w:lvlText w:val="(%2)"/>
      <w:numFmt w:val="lowerLetter"/>
      <w:start w:val="4"/>
    </w:lvl>
  </w:abstractNum>
  <w:abstractNum w:abstractNumId="158">
    <w:nsid w:val="4FA0D2E3"/>
    <w:multiLevelType w:val="hybridMultilevel"/>
    <w:lvl w:ilvl="0">
      <w:lvlJc w:val="left"/>
      <w:lvlText w:val="(%1)"/>
      <w:numFmt w:val="lowerLetter"/>
      <w:start w:val="5"/>
    </w:lvl>
  </w:abstractNum>
  <w:abstractNum w:abstractNumId="159">
    <w:nsid w:val="6B1D2C14"/>
    <w:multiLevelType w:val="hybridMultilevel"/>
    <w:lvl w:ilvl="0">
      <w:lvlJc w:val="left"/>
      <w:lvlText w:val="(%1)"/>
      <w:numFmt w:val="lowerLetter"/>
      <w:start w:val="1"/>
    </w:lvl>
  </w:abstractNum>
  <w:abstractNum w:abstractNumId="160">
    <w:nsid w:val="68B867D3"/>
    <w:multiLevelType w:val="hybridMultilevel"/>
    <w:lvl w:ilvl="0">
      <w:lvlJc w:val="left"/>
      <w:lvlText w:val="%1."/>
      <w:numFmt w:val="decimal"/>
      <w:start w:val="1"/>
    </w:lvl>
  </w:abstractNum>
  <w:abstractNum w:abstractNumId="161">
    <w:nsid w:val="3F7F5DD9"/>
    <w:multiLevelType w:val="hybridMultilevel"/>
    <w:lvl w:ilvl="0">
      <w:lvlJc w:val="left"/>
      <w:lvlText w:val="●"/>
      <w:numFmt w:val="bullet"/>
      <w:start w:val="1"/>
    </w:lvl>
  </w:abstractNum>
  <w:abstractNum w:abstractNumId="162">
    <w:nsid w:val="2AE05A34"/>
    <w:multiLevelType w:val="hybridMultilevel"/>
    <w:lvl w:ilvl="0">
      <w:lvlJc w:val="left"/>
      <w:lvlText w:val="(%1)"/>
      <w:numFmt w:val="lowerRoman"/>
      <w:start w:val="1"/>
    </w:lvl>
  </w:abstractNum>
  <w:abstractNum w:abstractNumId="163">
    <w:nsid w:val="32794FF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4">
    <w:nsid w:val="5454945E"/>
    <w:multiLevelType w:val="hybridMultilevel"/>
    <w:lvl w:ilvl="0">
      <w:lvlJc w:val="left"/>
      <w:lvlText w:val="(%1)"/>
      <w:numFmt w:val="lowerRoman"/>
      <w:start w:val="2"/>
    </w:lvl>
  </w:abstractNum>
  <w:abstractNum w:abstractNumId="165">
    <w:nsid w:val="4DEFDFA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6">
    <w:nsid w:val="2123D5F2"/>
    <w:multiLevelType w:val="hybridMultilevel"/>
    <w:lvl w:ilvl="0">
      <w:lvlJc w:val="left"/>
      <w:lvlText w:val="%1."/>
      <w:numFmt w:val="decimal"/>
      <w:start w:val="3"/>
    </w:lvl>
    <w:lvl w:ilvl="1">
      <w:lvlJc w:val="left"/>
      <w:lvlText w:val="(%2)"/>
      <w:numFmt w:val="lowerLetter"/>
      <w:start w:val="1"/>
    </w:lvl>
  </w:abstractNum>
  <w:abstractNum w:abstractNumId="167">
    <w:nsid w:val="135B8110"/>
    <w:multiLevelType w:val="hybridMultilevel"/>
    <w:lvl w:ilvl="0">
      <w:lvlJc w:val="left"/>
      <w:lvlText w:val="%1."/>
      <w:numFmt w:val="decimal"/>
      <w:start w:val="6"/>
    </w:lvl>
  </w:abstractNum>
  <w:abstractNum w:abstractNumId="168">
    <w:nsid w:val="94927A8"/>
    <w:multiLevelType w:val="hybridMultilevel"/>
    <w:lvl w:ilvl="0">
      <w:lvlJc w:val="left"/>
      <w:lvlText w:val="(%1)"/>
      <w:numFmt w:val="lowerLetter"/>
      <w:start w:val="1"/>
    </w:lvl>
  </w:abstractNum>
  <w:abstractNum w:abstractNumId="169">
    <w:nsid w:val="DCDF8F6"/>
    <w:multiLevelType w:val="hybridMultilevel"/>
    <w:lvl w:ilvl="0">
      <w:lvlJc w:val="left"/>
      <w:lvlText w:val="(%1)"/>
      <w:numFmt w:val="decimal"/>
      <w:start w:val="5"/>
    </w:lvl>
  </w:abstractNum>
  <w:abstractNum w:abstractNumId="170">
    <w:nsid w:val="52D7B105"/>
    <w:multiLevelType w:val="hybridMultilevel"/>
    <w:lvl w:ilvl="0">
      <w:lvlJc w:val="left"/>
      <w:lvlText w:val="%1"/>
      <w:numFmt w:val="lowerLetter"/>
      <w:start w:val="1"/>
    </w:lvl>
    <w:lvl w:ilvl="1">
      <w:lvlJc w:val="left"/>
      <w:lvlText w:val="(%2)"/>
      <w:numFmt w:val="lowerLetter"/>
      <w:start w:val="1"/>
    </w:lvl>
  </w:abstractNum>
  <w:abstractNum w:abstractNumId="171">
    <w:nsid w:val="2E8A6394"/>
    <w:multiLevelType w:val="hybridMultilevel"/>
    <w:lvl w:ilvl="0">
      <w:lvlJc w:val="left"/>
      <w:lvlText w:val="(%1)"/>
      <w:numFmt w:val="lowerLetter"/>
      <w:start w:val="2"/>
    </w:lvl>
    <w:lvl w:ilvl="1">
      <w:lvlJc w:val="left"/>
      <w:lvlText w:val="%2"/>
      <w:numFmt w:val="lowerLetter"/>
      <w:start w:val="1"/>
    </w:lvl>
  </w:abstractNum>
  <w:abstractNum w:abstractNumId="172">
    <w:nsid w:val="24E604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2021-02-11T05:41:52Z</dcterms:created>
  <dcterms:modified xsi:type="dcterms:W3CDTF">2021-02-11T05:41:52Z</dcterms:modified>
</cp:coreProperties>
</file>