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___)*</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18978W208**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 September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[_] Rule 13d-1(b)</w:t>
      </w:r>
    </w:p>
    <w:p>
      <w:pPr>
        <w:spacing w:after="0" w:line="233" w:lineRule="exact"/>
        <w:rPr>
          <w:sz w:val="24"/>
          <w:szCs w:val="24"/>
          <w:color w:val="auto"/>
        </w:rPr>
      </w:pPr>
    </w:p>
    <w:p>
      <w:pPr>
        <w:jc w:val="both"/>
        <w:ind w:left="660" w:right="9000" w:hanging="4"/>
        <w:spacing w:after="0" w:line="476" w:lineRule="auto"/>
        <w:tabs>
          <w:tab w:leader="none" w:pos="1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[_] Rule 13d-1(d)</w:t>
      </w:r>
    </w:p>
    <w:p>
      <w:pPr>
        <w:spacing w:after="0" w:line="1" w:lineRule="exact"/>
        <w:rPr>
          <w:sz w:val="24"/>
          <w:szCs w:val="24"/>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sz w:val="24"/>
          <w:szCs w:val="24"/>
          <w:color w:val="auto"/>
        </w:rPr>
      </w:pPr>
    </w:p>
    <w:p>
      <w:pPr>
        <w:ind w:firstLine="8"/>
        <w:spacing w:after="0" w:line="236" w:lineRule="auto"/>
        <w:tabs>
          <w:tab w:leader="none" w:pos="27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the CUSIP number for the Company’s Units, each consisting of one share of Class A common stock and one-third of one redeemable warrant.</w:t>
      </w:r>
    </w:p>
    <w:p>
      <w:pPr>
        <w:spacing w:after="0" w:line="150" w:lineRule="exact"/>
        <w:rPr>
          <w:sz w:val="24"/>
          <w:szCs w:val="24"/>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 on the following pages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 of 9 Pages</w:t>
      </w:r>
    </w:p>
    <w:p>
      <w:pPr>
        <w:jc w:val="center"/>
        <w:ind w:right="-19"/>
        <w:spacing w:after="0"/>
        <w:rPr>
          <w:sz w:val="20"/>
          <w:szCs w:val="20"/>
          <w:color w:val="auto"/>
        </w:rPr>
      </w:pPr>
      <w:r>
        <w:rPr>
          <w:rFonts w:ascii="Times New Roman" w:cs="Times New Roman" w:eastAsia="Times New Roman" w:hAnsi="Times New Roman"/>
          <w:sz w:val="22"/>
          <w:szCs w:val="22"/>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18978W208</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BlueCrest Capital Management Limited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Jersey, Channel Islands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18978W208</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Michael Platt</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1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CM Life Sciences, Inc.</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667 Madison Avenue</w:t>
      </w:r>
    </w:p>
    <w:p>
      <w:pPr>
        <w:ind w:left="660"/>
        <w:spacing w:after="0" w:line="205" w:lineRule="auto"/>
        <w:rPr>
          <w:sz w:val="20"/>
          <w:szCs w:val="20"/>
          <w:color w:val="auto"/>
        </w:rPr>
      </w:pPr>
      <w:r>
        <w:rPr>
          <w:rFonts w:ascii="Times New Roman" w:cs="Times New Roman" w:eastAsia="Times New Roman" w:hAnsi="Times New Roman"/>
          <w:sz w:val="22"/>
          <w:szCs w:val="22"/>
          <w:color w:val="auto"/>
        </w:rPr>
        <w:t>New York, New York 10065</w:t>
      </w:r>
    </w:p>
    <w:p>
      <w:pPr>
        <w:ind w:left="660"/>
        <w:spacing w:after="0"/>
        <w:rPr>
          <w:sz w:val="20"/>
          <w:szCs w:val="20"/>
          <w:color w:val="auto"/>
        </w:rPr>
      </w:pPr>
      <w:r>
        <w:rPr>
          <w:rFonts w:ascii="Times New Roman" w:cs="Times New Roman" w:eastAsia="Times New Roman" w:hAnsi="Times New Roman"/>
          <w:sz w:val="22"/>
          <w:szCs w:val="22"/>
          <w:color w:val="auto"/>
        </w:rPr>
        <w:t>United States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statement is filed by:</w:t>
      </w:r>
    </w:p>
    <w:p>
      <w:pPr>
        <w:spacing w:after="0" w:line="215" w:lineRule="exact"/>
        <w:rPr>
          <w:sz w:val="20"/>
          <w:szCs w:val="20"/>
          <w:color w:val="auto"/>
        </w:rPr>
      </w:pPr>
    </w:p>
    <w:p>
      <w:pPr>
        <w:ind w:left="1300" w:right="4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BlueCrest Capital Management Limited (the “Investment Manager”), which serves as investment manager to Millais Limited, a Cayman Islands exempted company (the “Fund”);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Platt (“Mr. Platt”), who serves as principal, director, and control person of the Investment Manager,</w:t>
      </w:r>
    </w:p>
    <w:p>
      <w:pPr>
        <w:spacing w:after="0" w:line="216" w:lineRule="exact"/>
        <w:rPr>
          <w:sz w:val="20"/>
          <w:szCs w:val="20"/>
          <w:color w:val="auto"/>
        </w:rPr>
      </w:pPr>
    </w:p>
    <w:p>
      <w:pPr>
        <w:ind w:left="660" w:right="220"/>
        <w:spacing w:after="0" w:line="258" w:lineRule="auto"/>
        <w:rPr>
          <w:sz w:val="20"/>
          <w:szCs w:val="20"/>
          <w:color w:val="auto"/>
        </w:rPr>
      </w:pPr>
      <w:r>
        <w:rPr>
          <w:rFonts w:ascii="Times New Roman" w:cs="Times New Roman" w:eastAsia="Times New Roman" w:hAnsi="Times New Roman"/>
          <w:sz w:val="22"/>
          <w:szCs w:val="22"/>
          <w:color w:val="auto"/>
        </w:rPr>
        <w:t>with respect to the Common Shares (as defined herein) held for the account of the Fund. Millais USA LLC acts as sub-investment manager of the Fund, and reports to the Investment Manager.</w:t>
      </w:r>
    </w:p>
    <w:p>
      <w:pPr>
        <w:spacing w:after="0" w:line="145" w:lineRule="exact"/>
        <w:rPr>
          <w:sz w:val="20"/>
          <w:szCs w:val="20"/>
          <w:color w:val="auto"/>
        </w:rPr>
      </w:pPr>
    </w:p>
    <w:p>
      <w:pPr>
        <w:ind w:left="660"/>
        <w:spacing w:after="0" w:line="225" w:lineRule="auto"/>
        <w:rPr>
          <w:sz w:val="20"/>
          <w:szCs w:val="20"/>
          <w:color w:val="auto"/>
        </w:rPr>
      </w:pPr>
      <w:r>
        <w:rPr>
          <w:rFonts w:ascii="Times New Roman" w:cs="Times New Roman" w:eastAsia="Times New Roman" w:hAnsi="Times New Roman"/>
          <w:sz w:val="22"/>
          <w:szCs w:val="22"/>
          <w:color w:val="auto"/>
        </w:rPr>
        <w:t>The Investment Manager and Mr. Platt are hereinafter sometimes collectively referred to as the “Reporting Persons.” Any disclosures herein with respect to persons other than the Reporting Persons are made on information and belief after making inquiry to the appropriate party.</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address of the business office of the Investment Manager and Mr. Platt is: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Ground Floor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Harbour Reach, La Rue de Carteret</w:t>
      </w:r>
    </w:p>
    <w:p>
      <w:pPr>
        <w:ind w:left="660"/>
        <w:spacing w:after="0" w:line="230" w:lineRule="auto"/>
        <w:rPr>
          <w:sz w:val="20"/>
          <w:szCs w:val="20"/>
          <w:color w:val="auto"/>
        </w:rPr>
      </w:pPr>
      <w:r>
        <w:rPr>
          <w:rFonts w:ascii="Times New Roman" w:cs="Times New Roman" w:eastAsia="Times New Roman" w:hAnsi="Times New Roman"/>
          <w:sz w:val="22"/>
          <w:szCs w:val="22"/>
          <w:color w:val="auto"/>
        </w:rPr>
        <w:t>St Helier</w:t>
      </w:r>
    </w:p>
    <w:p>
      <w:pPr>
        <w:ind w:left="660"/>
        <w:spacing w:after="0" w:line="231" w:lineRule="auto"/>
        <w:rPr>
          <w:sz w:val="20"/>
          <w:szCs w:val="20"/>
          <w:color w:val="auto"/>
        </w:rPr>
      </w:pPr>
      <w:r>
        <w:rPr>
          <w:rFonts w:ascii="Times New Roman" w:cs="Times New Roman" w:eastAsia="Times New Roman" w:hAnsi="Times New Roman"/>
          <w:sz w:val="22"/>
          <w:szCs w:val="22"/>
          <w:color w:val="auto"/>
        </w:rPr>
        <w:t>Jersey</w:t>
      </w:r>
    </w:p>
    <w:p>
      <w:pPr>
        <w:ind w:left="660"/>
        <w:spacing w:after="0" w:line="230" w:lineRule="auto"/>
        <w:rPr>
          <w:sz w:val="20"/>
          <w:szCs w:val="20"/>
          <w:color w:val="auto"/>
        </w:rPr>
      </w:pPr>
      <w:r>
        <w:rPr>
          <w:rFonts w:ascii="Times New Roman" w:cs="Times New Roman" w:eastAsia="Times New Roman" w:hAnsi="Times New Roman"/>
          <w:sz w:val="22"/>
          <w:szCs w:val="22"/>
          <w:color w:val="auto"/>
        </w:rPr>
        <w:t>Channel Islands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JE2 4HR</w:t>
      </w:r>
    </w:p>
    <w:p>
      <w:pPr>
        <w:spacing w:after="0" w:line="187" w:lineRule="exact"/>
        <w:rPr>
          <w:sz w:val="20"/>
          <w:szCs w:val="20"/>
          <w:color w:val="auto"/>
        </w:rPr>
      </w:pPr>
    </w:p>
    <w:p>
      <w:pPr>
        <w:ind w:left="660" w:right="10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The Investment Manager is a company organized under the laws of Jersey, Channel Islands, operating solely out of Jersey, Channel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Mr. Platt is a citizen of the United Kingdom.</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and Class of Securities: </w:t>
      </w:r>
      <w:r>
        <w:rPr>
          <w:rFonts w:ascii="Times New Roman" w:cs="Times New Roman" w:eastAsia="Times New Roman" w:hAnsi="Times New Roman"/>
          <w:sz w:val="18"/>
          <w:szCs w:val="18"/>
          <w:color w:val="auto"/>
        </w:rPr>
        <w:t>Common Stock (the “Common Shares”)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18978W208</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 xml:space="preserve">If this statement is filed pursuant to §§ 240.13d-1(b) or 240.13d-2(b) or (c), check whether the person filing is a: </w:t>
      </w: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jc w:val="both"/>
        <w:ind w:left="660" w:hanging="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(b) </w:t>
      </w:r>
      <w:r>
        <w:rPr>
          <w:rFonts w:ascii="Times New Roman" w:cs="Times New Roman" w:eastAsia="Times New Roman" w:hAnsi="Times New Roman"/>
          <w:sz w:val="18"/>
          <w:szCs w:val="18"/>
          <w:color w:val="auto"/>
        </w:rPr>
        <w:t>As of September 2, 2020, each of the Investment Manager and Mr. Platt may be deemed the beneficial owner of 2,500,000 Common Shares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account of the Fund. This amount equates to approximately 6.5% of the Common Shares outstanding. (The percentages used in this Schedule 13G are based upon 38,500,000 Common Shares reported to be outstanding in the Company’s Form 424B4 filed on September 3, 2020.)</w:t>
      </w:r>
    </w:p>
    <w:p>
      <w:pPr>
        <w:spacing w:after="0" w:line="171" w:lineRule="exact"/>
        <w:rPr>
          <w:sz w:val="20"/>
          <w:szCs w:val="20"/>
          <w:color w:val="auto"/>
        </w:rPr>
      </w:pPr>
    </w:p>
    <w:p>
      <w:pPr>
        <w:ind w:left="66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as to which such person has: </w:t>
      </w:r>
      <w:r>
        <w:rPr>
          <w:rFonts w:ascii="Times New Roman" w:cs="Times New Roman" w:eastAsia="Times New Roman" w:hAnsi="Times New Roman"/>
          <w:sz w:val="18"/>
          <w:szCs w:val="18"/>
          <w:color w:val="auto"/>
        </w:rPr>
        <w:t>The Investment Manager and Mr. Platt share the power to vote or direct the vote, and share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to dispose or direct the disposition of the 2,500,000 Common Shares reported herein.</w:t>
      </w:r>
    </w:p>
    <w:p>
      <w:pPr>
        <w:spacing w:after="0" w:line="154"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2,500,000</w:t>
      </w:r>
    </w:p>
    <w:p>
      <w:pPr>
        <w:spacing w:after="0" w:line="225"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2,500,000</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Item5.</w:t>
      </w:r>
      <w:r>
        <w:rPr>
          <w:sz w:val="20"/>
          <w:szCs w:val="20"/>
          <w:color w:val="auto"/>
        </w:rPr>
        <w:tab/>
      </w:r>
      <w:r>
        <w:rPr>
          <w:rFonts w:ascii="Times New Roman" w:cs="Times New Roman" w:eastAsia="Times New Roman" w:hAnsi="Times New Roman"/>
          <w:sz w:val="18"/>
          <w:szCs w:val="18"/>
          <w:b w:val="1"/>
          <w:bCs w:val="1"/>
          <w:color w:val="auto"/>
        </w:rPr>
        <w:t xml:space="preserve">Ownership of Five Percent or Less of a Class. </w:t>
      </w: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 xml:space="preserve">Ownership of more than Five Percent on Behalf of Another Person. </w:t>
      </w:r>
      <w:r>
        <w:rPr>
          <w:rFonts w:ascii="Times New Roman" w:cs="Times New Roman" w:eastAsia="Times New Roman" w:hAnsi="Times New Roman"/>
          <w:sz w:val="18"/>
          <w:szCs w:val="18"/>
          <w:color w:val="auto"/>
        </w:rPr>
        <w:t>See disclosure in Items 2 and 4 hereof. The Fund is known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receive or the power to direct the receipt of dividends from, or the proceeds from the sale of, the Common Shares covered by the Statement that may be deemed to be beneficially owned by the Reporting Persons.</w:t>
      </w:r>
    </w:p>
    <w:p>
      <w:pPr>
        <w:spacing w:after="0" w:line="17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 xml:space="preserve">Identification and classification of the subsidiary which acquired the security being reported on by the parent holding company or control person. </w:t>
      </w:r>
      <w:r>
        <w:rPr>
          <w:rFonts w:ascii="Times New Roman" w:cs="Times New Roman" w:eastAsia="Times New Roman" w:hAnsi="Times New Roman"/>
          <w:sz w:val="18"/>
          <w:szCs w:val="18"/>
          <w:color w:val="auto"/>
        </w:rPr>
        <w:t>See disclosure in Item 2 hereof.</w:t>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 xml:space="preserve">Identification and classification of members of the group. </w:t>
      </w:r>
      <w:r>
        <w:rPr>
          <w:rFonts w:ascii="Times New Roman" w:cs="Times New Roman" w:eastAsia="Times New Roman" w:hAnsi="Times New Roman"/>
          <w:sz w:val="17"/>
          <w:szCs w:val="17"/>
          <w:color w:val="auto"/>
        </w:rPr>
        <w:t>N/A</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 xml:space="preserve">Notice of Dissolution of Group. </w:t>
      </w:r>
      <w:r>
        <w:rPr>
          <w:rFonts w:ascii="Times New Roman" w:cs="Times New Roman" w:eastAsia="Times New Roman" w:hAnsi="Times New Roman"/>
          <w:sz w:val="17"/>
          <w:szCs w:val="17"/>
          <w:color w:val="auto"/>
        </w:rPr>
        <w:t>N/A</w:t>
      </w:r>
    </w:p>
    <w:p>
      <w:pPr>
        <w:spacing w:after="0" w:line="225" w:lineRule="exact"/>
        <w:rPr>
          <w:sz w:val="20"/>
          <w:szCs w:val="20"/>
          <w:color w:val="auto"/>
        </w:rPr>
      </w:pPr>
    </w:p>
    <w:p>
      <w:pPr>
        <w:jc w:val="both"/>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 xml:space="preserve">Certifications. </w:t>
      </w:r>
      <w:r>
        <w:rPr>
          <w:rFonts w:ascii="Times New Roman" w:cs="Times New Roman" w:eastAsia="Times New Roman" w:hAnsi="Times New Roman"/>
          <w:sz w:val="18"/>
          <w:szCs w:val="18"/>
          <w:color w:val="auto"/>
        </w:rPr>
        <w:t>By signing below I certify that, to the best of my knowledge and belief, the securities referred to above were not acquired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September 11,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BLUECREST CAPITAL MANAGEMENT LIMITED</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Robert Heaselgrave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Robert Heaselgrave</w:t>
      </w:r>
    </w:p>
    <w:p>
      <w:pPr>
        <w:ind w:left="660"/>
        <w:spacing w:after="0"/>
        <w:rPr>
          <w:sz w:val="20"/>
          <w:szCs w:val="20"/>
          <w:color w:val="auto"/>
        </w:rPr>
      </w:pP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PLATT</w:t>
      </w:r>
    </w:p>
    <w:p>
      <w:pPr>
        <w:spacing w:after="0" w:line="2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Steven Pariente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Steven Pariente</w:t>
      </w:r>
    </w:p>
    <w:p>
      <w:pPr>
        <w:ind w:left="660"/>
        <w:spacing w:after="0"/>
        <w:rPr>
          <w:sz w:val="20"/>
          <w:szCs w:val="20"/>
          <w:color w:val="auto"/>
        </w:rPr>
      </w:pPr>
      <w:r>
        <w:rPr>
          <w:rFonts w:ascii="Times New Roman" w:cs="Times New Roman" w:eastAsia="Times New Roman" w:hAnsi="Times New Roman"/>
          <w:sz w:val="22"/>
          <w:szCs w:val="22"/>
          <w:color w:val="auto"/>
        </w:rPr>
        <w:t>As attorney-in-fact for Michael Platt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5780" w:type="dxa"/>
            <w:vAlign w:val="bottom"/>
          </w:tcPr>
          <w:p>
            <w:pPr>
              <w:spacing w:after="0"/>
              <w:rPr>
                <w:sz w:val="20"/>
                <w:szCs w:val="20"/>
                <w:color w:val="auto"/>
              </w:rPr>
            </w:pPr>
          </w:p>
        </w:tc>
        <w:tc>
          <w:tcPr>
            <w:tcW w:w="4300" w:type="dxa"/>
            <w:vAlign w:val="bottom"/>
          </w:tcPr>
          <w:p>
            <w:pPr>
              <w:ind w:left="3640"/>
              <w:spacing w:after="0"/>
              <w:rPr>
                <w:sz w:val="20"/>
                <w:szCs w:val="20"/>
                <w:color w:val="auto"/>
              </w:rPr>
            </w:pPr>
            <w:r>
              <w:rPr>
                <w:rFonts w:ascii="Times New Roman" w:cs="Times New Roman" w:eastAsia="Times New Roman" w:hAnsi="Times New Roman"/>
                <w:sz w:val="18"/>
                <w:szCs w:val="18"/>
                <w:color w:val="auto"/>
                <w:w w:val="96"/>
              </w:rPr>
              <w:t>Page No.</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Joint Filing Agreement</w:t>
            </w:r>
          </w:p>
        </w:tc>
        <w:tc>
          <w:tcPr>
            <w:tcW w:w="430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Power of Attorney</w:t>
            </w:r>
          </w:p>
        </w:tc>
        <w:tc>
          <w:tcPr>
            <w:tcW w:w="430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810" w:right="7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RULE 13d-1(k)</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September 11,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BLUECREST CAPITAL MANAGEMENT LIMITED</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Robert Heaselgrave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Robert Heaselgrave</w:t>
      </w:r>
    </w:p>
    <w:p>
      <w:pPr>
        <w:ind w:left="660"/>
        <w:spacing w:after="0"/>
        <w:rPr>
          <w:sz w:val="20"/>
          <w:szCs w:val="20"/>
          <w:color w:val="auto"/>
        </w:rPr>
      </w:pP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PLATT</w:t>
      </w:r>
    </w:p>
    <w:p>
      <w:pPr>
        <w:spacing w:after="0" w:line="2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Steven Pariente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Steven Pariente</w:t>
      </w:r>
    </w:p>
    <w:p>
      <w:pPr>
        <w:ind w:left="660"/>
        <w:spacing w:after="0"/>
        <w:rPr>
          <w:sz w:val="20"/>
          <w:szCs w:val="20"/>
          <w:color w:val="auto"/>
        </w:rPr>
      </w:pPr>
      <w:r>
        <w:rPr>
          <w:rFonts w:ascii="Times New Roman" w:cs="Times New Roman" w:eastAsia="Times New Roman" w:hAnsi="Times New Roman"/>
          <w:sz w:val="22"/>
          <w:szCs w:val="22"/>
          <w:color w:val="auto"/>
        </w:rPr>
        <w:t>As attorney-in-fact for Michael Platt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67"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KNOW ALL MEN BY THESE PRESENT, that I, Michael Edward Platt, hereby make, constitute and appoint Steven Pariente, acting individually, as my agent and attorney-in-fact for the purpose of executing in my name, (a) in my personal capacity or (b) in my capacity as principal of, or in other capacities with, BlueCrest Capital Management Limited, a company organized under the laws of Jersey, Channel Islands, and operating solely out of Jersey, Channel Islands, and each of the affiliates or entities advised or controlled by me or BlueCrest Capital Management Limited, all documents, certificates, instruments, statements, filings and agreements (“documents”) to be filed with or delivered to the United States Securities and Exchange Commission (the “SEC”) pursuant to the Securities Act of 1933, as amended, or the Securities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(2) any information statements on Form 13F required to be filed with the SEC pursuant to Section 13(f) of the Act; (3) any information statements on Form 13H required to be filed with the SEC pursuant to Section 13(h) of the 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past acts of this attorney-in-fact in furtherance of the foregoing are hereby ratified and confirmed.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Power of Attorney shall remain in effect until revoked, in writing, by the undersigned.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this 10th day of January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Michael Platt</w:t>
      </w:r>
    </w:p>
    <w:p>
      <w:pPr>
        <w:spacing w:after="0" w:line="2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Michael Platt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2020-09-11T16:17:46Z</dcterms:created>
  <dcterms:modified xsi:type="dcterms:W3CDTF">2020-09-11T16:17:46Z</dcterms:modified>
</cp:coreProperties>
</file>