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gridSpan w:val="2"/>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Ro Isaac</w:t>
              </w:r>
            </w:hyperlink>
          </w:p>
        </w:tc>
        <w:tc>
          <w:tcPr>
            <w:tcW w:w="1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Sema4 Holdings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SMFR</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2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Arial" w:cs="Arial" w:eastAsia="Arial" w:hAnsi="Arial"/>
                <w:sz w:val="17"/>
                <w:szCs w:val="17"/>
                <w:color w:val="0000FF"/>
                <w:w w:val="97"/>
              </w:rPr>
              <w:t>C/O SEMA4 HOLDINGS CORP.</w:t>
            </w:r>
          </w:p>
        </w:tc>
        <w:tc>
          <w:tcPr>
            <w:tcW w:w="1240" w:type="dxa"/>
            <w:vAlign w:val="bottom"/>
          </w:tcPr>
          <w:p>
            <w:pPr>
              <w:spacing w:after="0"/>
              <w:rPr>
                <w:sz w:val="19"/>
                <w:szCs w:val="19"/>
                <w:color w:val="auto"/>
              </w:rPr>
            </w:pPr>
          </w:p>
        </w:tc>
        <w:tc>
          <w:tcPr>
            <w:tcW w:w="2100" w:type="dxa"/>
            <w:vAlign w:val="bottom"/>
            <w:gridSpan w:val="3"/>
          </w:tcPr>
          <w:p>
            <w:pPr>
              <w:ind w:left="160"/>
              <w:spacing w:after="0"/>
              <w:rPr>
                <w:sz w:val="20"/>
                <w:szCs w:val="20"/>
                <w:color w:val="auto"/>
              </w:rPr>
            </w:pPr>
            <w:r>
              <w:rPr>
                <w:rFonts w:ascii="Arial" w:cs="Arial" w:eastAsia="Arial" w:hAnsi="Arial"/>
                <w:sz w:val="17"/>
                <w:szCs w:val="17"/>
                <w:color w:val="0000FF"/>
              </w:rPr>
              <w:t>12/01/2021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STAMFORD</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w w:val="96"/>
              </w:rPr>
              <w:t>CT</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06902</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12/01/2021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rPr>
              <w:t>618</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6.05</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Arial" w:cs="Arial" w:eastAsia="Arial" w:hAnsi="Arial"/>
                <w:sz w:val="17"/>
                <w:szCs w:val="17"/>
                <w:color w:val="0000FF"/>
                <w:w w:val="87"/>
              </w:rPr>
              <w:t>115,639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12/01/2021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(2)</w:t>
            </w:r>
          </w:p>
        </w:tc>
        <w:tc>
          <w:tcPr>
            <w:tcW w:w="720" w:type="dxa"/>
            <w:vAlign w:val="bottom"/>
            <w:tcBorders>
              <w:bottom w:val="single" w:sz="8" w:color="2C2C2C"/>
            </w:tcBorders>
          </w:tcPr>
          <w:p>
            <w:pPr>
              <w:jc w:val="right"/>
              <w:ind w:right="113"/>
              <w:spacing w:after="0"/>
              <w:rPr>
                <w:sz w:val="20"/>
                <w:szCs w:val="20"/>
                <w:color w:val="auto"/>
              </w:rPr>
            </w:pPr>
            <w:r>
              <w:rPr>
                <w:rFonts w:ascii="Arial" w:cs="Arial" w:eastAsia="Arial" w:hAnsi="Arial"/>
                <w:sz w:val="17"/>
                <w:szCs w:val="17"/>
                <w:color w:val="0000FF"/>
              </w:rPr>
              <w:t>215</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5.52</w:t>
            </w:r>
            <w:r>
              <w:rPr>
                <w:rFonts w:ascii="Arial" w:cs="Arial" w:eastAsia="Arial" w:hAnsi="Arial"/>
                <w:sz w:val="22"/>
                <w:szCs w:val="22"/>
                <w:color w:val="008000"/>
                <w:w w:val="85"/>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Arial" w:cs="Arial" w:eastAsia="Arial" w:hAnsi="Arial"/>
                <w:sz w:val="17"/>
                <w:szCs w:val="17"/>
                <w:color w:val="0000FF"/>
                <w:w w:val="87"/>
              </w:rPr>
              <w:t>115,424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indicated shares were issued to Reporting Person as a stock bonus in connection with the elimination of Issuer's sabbatical leave program, in which all employees of Issuer hired on or before June 30, 2021 were provided an opportunity to receive a stock bonus in lieu of their continued eligibility to take sabbatical leave. The stock bonus was fully vested as of the date of issuance.</w:t>
      </w: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required to be sold by the Reporting Person to cover certain tax obligation in connection with the stock bonus granted to the reporting person. This sale is mandated by the Issuer's election under its equity incentive plans to require the satisfaction of tax withholding obligations to be funded by a "sell to cover" transaction and does not represent a discretionary trade by the Reporting Person.</w:t>
      </w:r>
    </w:p>
    <w:p>
      <w:pPr>
        <w:spacing w:after="0" w:line="2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$5.51 to $5.64,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Daniel Clark,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12/03/2021</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463"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2021-12-03T17:58:31Z</dcterms:created>
  <dcterms:modified xsi:type="dcterms:W3CDTF">2021-12-03T17:58:31Z</dcterms:modified>
</cp:coreProperties>
</file>