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9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continue"/>
          </w:tcPr>
          <w:p>
            <w:pPr>
              <w:spacing w:after="0"/>
              <w:rPr>
                <w:sz w:val="9"/>
                <w:szCs w:val="9"/>
                <w:color w:val="auto"/>
              </w:rPr>
            </w:pPr>
          </w:p>
        </w:tc>
        <w:tc>
          <w:tcPr>
            <w:tcW w:w="342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9"/>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6"/>
                <w:szCs w:val="16"/>
                <w:color w:val="auto"/>
              </w:rPr>
            </w:pP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gridSpan w:val="9"/>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gridSpan w:val="4"/>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jc w:val="center"/>
              <w:ind w:left="3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03/03/2026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Pr>
          <w:p>
            <w:pPr>
              <w:spacing w:after="0"/>
              <w:rPr>
                <w:sz w:val="21"/>
                <w:szCs w:val="21"/>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19,686</w:t>
            </w: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2"/>
            <w:vMerge w:val="restart"/>
          </w:tcPr>
          <w:p>
            <w:pPr>
              <w:jc w:val="center"/>
              <w:ind w:left="10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70.34</w:t>
            </w:r>
            <w:r>
              <w:rPr>
                <w:rFonts w:ascii="Times New Roman" w:cs="Times New Roman" w:eastAsia="Times New Roman" w:hAnsi="Times New Roman"/>
                <w:sz w:val="22"/>
                <w:szCs w:val="22"/>
                <w:color w:val="008000"/>
                <w:w w:val="95"/>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3,078,315</w:t>
            </w:r>
          </w:p>
        </w:tc>
        <w:tc>
          <w:tcPr>
            <w:tcW w:w="340" w:type="dxa"/>
            <w:vAlign w:val="bottom"/>
          </w:tcPr>
          <w:p>
            <w:pPr>
              <w:spacing w:after="0"/>
              <w:rPr>
                <w:sz w:val="21"/>
                <w:szCs w:val="21"/>
                <w:color w:val="auto"/>
              </w:rPr>
            </w:pPr>
          </w:p>
        </w:tc>
        <w:tc>
          <w:tcPr>
            <w:tcW w:w="580" w:type="dxa"/>
            <w:vAlign w:val="bottom"/>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03/03/2026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8,439</w:t>
            </w: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jc w:val="center"/>
              <w:ind w:left="10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71.48</w:t>
            </w:r>
            <w:r>
              <w:rPr>
                <w:rFonts w:ascii="Times New Roman" w:cs="Times New Roman" w:eastAsia="Times New Roman" w:hAnsi="Times New Roman"/>
                <w:sz w:val="22"/>
                <w:szCs w:val="22"/>
                <w:color w:val="008000"/>
                <w:w w:val="95"/>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3,086,754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03/03/2026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200</w:t>
            </w: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top w:val="single" w:sz="8" w:color="2C2C2C"/>
            </w:tcBorders>
            <w:vMerge w:val="restart"/>
          </w:tcPr>
          <w:p>
            <w:pPr>
              <w:jc w:val="center"/>
              <w:ind w:left="30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72</w:t>
            </w: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3,086,954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03/03/2026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921</w:t>
            </w: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jc w:val="center"/>
              <w:ind w:left="10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75.66</w:t>
            </w:r>
            <w:r>
              <w:rPr>
                <w:rFonts w:ascii="Times New Roman" w:cs="Times New Roman" w:eastAsia="Times New Roman" w:hAnsi="Times New Roman"/>
                <w:sz w:val="22"/>
                <w:szCs w:val="22"/>
                <w:color w:val="008000"/>
                <w:w w:val="95"/>
                <w:vertAlign w:val="superscript"/>
              </w:rPr>
              <w:t>(5)</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3,087,875</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03/03/2026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249</w:t>
            </w: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jc w:val="center"/>
              <w:ind w:left="10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75.99</w:t>
            </w:r>
            <w:r>
              <w:rPr>
                <w:rFonts w:ascii="Times New Roman" w:cs="Times New Roman" w:eastAsia="Times New Roman" w:hAnsi="Times New Roman"/>
                <w:sz w:val="22"/>
                <w:szCs w:val="22"/>
                <w:color w:val="008000"/>
                <w:w w:val="95"/>
                <w:vertAlign w:val="superscript"/>
              </w:rPr>
              <w:t>(6)</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3,088,124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03/05/2026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304</w:t>
            </w: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jc w:val="center"/>
              <w:ind w:left="10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77.96</w:t>
            </w:r>
            <w:r>
              <w:rPr>
                <w:rFonts w:ascii="Times New Roman" w:cs="Times New Roman" w:eastAsia="Times New Roman" w:hAnsi="Times New Roman"/>
                <w:sz w:val="22"/>
                <w:szCs w:val="22"/>
                <w:color w:val="008000"/>
                <w:w w:val="95"/>
                <w:vertAlign w:val="superscript"/>
              </w:rPr>
              <w:t>(7)</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3,088,428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03/05/2026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1,971</w:t>
            </w: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jc w:val="center"/>
              <w:ind w:left="10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78.91</w:t>
            </w:r>
            <w:r>
              <w:rPr>
                <w:rFonts w:ascii="Times New Roman" w:cs="Times New Roman" w:eastAsia="Times New Roman" w:hAnsi="Times New Roman"/>
                <w:sz w:val="22"/>
                <w:szCs w:val="22"/>
                <w:color w:val="008000"/>
                <w:w w:val="95"/>
                <w:vertAlign w:val="superscript"/>
              </w:rPr>
              <w:t>(8)</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3,090,399</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03/05/2026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47,623</w:t>
            </w: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jc w:val="center"/>
              <w:ind w:left="10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80.55</w:t>
            </w:r>
            <w:r>
              <w:rPr>
                <w:rFonts w:ascii="Times New Roman" w:cs="Times New Roman" w:eastAsia="Times New Roman" w:hAnsi="Times New Roman"/>
                <w:sz w:val="22"/>
                <w:szCs w:val="22"/>
                <w:color w:val="008000"/>
                <w:w w:val="95"/>
                <w:vertAlign w:val="superscript"/>
              </w:rPr>
              <w:t>(9)</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3,138,022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03/05/2026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60,892</w:t>
            </w: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jc w:val="center"/>
              <w:ind w:left="104"/>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81.37</w:t>
            </w:r>
            <w:r>
              <w:rPr>
                <w:rFonts w:ascii="Times New Roman" w:cs="Times New Roman" w:eastAsia="Times New Roman" w:hAnsi="Times New Roman"/>
                <w:sz w:val="22"/>
                <w:szCs w:val="22"/>
                <w:color w:val="008000"/>
                <w:w w:val="91"/>
                <w:vertAlign w:val="superscript"/>
              </w:rPr>
              <w:t>(10)</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3,198,914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vMerge w:val="restart"/>
          </w:tcPr>
          <w:p>
            <w:pPr>
              <w:jc w:val="center"/>
              <w:ind w:left="443"/>
              <w:spacing w:after="0"/>
              <w:rPr>
                <w:sz w:val="20"/>
                <w:szCs w:val="20"/>
                <w:color w:val="auto"/>
              </w:rPr>
            </w:pPr>
            <w:r>
              <w:rPr>
                <w:rFonts w:ascii="Times New Roman" w:cs="Times New Roman" w:eastAsia="Times New Roman" w:hAnsi="Times New Roman"/>
                <w:sz w:val="17"/>
                <w:szCs w:val="17"/>
                <w:color w:val="0000FF"/>
              </w:rPr>
              <w:t>03/05/2026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29,236</w:t>
            </w:r>
          </w:p>
        </w:tc>
        <w:tc>
          <w:tcPr>
            <w:tcW w:w="2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top w:val="single" w:sz="8" w:color="2C2C2C"/>
            </w:tcBorders>
            <w:gridSpan w:val="2"/>
            <w:vMerge w:val="restart"/>
          </w:tcPr>
          <w:p>
            <w:pPr>
              <w:jc w:val="center"/>
              <w:ind w:left="104"/>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82.06</w:t>
            </w:r>
            <w:r>
              <w:rPr>
                <w:rFonts w:ascii="Times New Roman" w:cs="Times New Roman" w:eastAsia="Times New Roman" w:hAnsi="Times New Roman"/>
                <w:sz w:val="22"/>
                <w:szCs w:val="22"/>
                <w:color w:val="008000"/>
                <w:w w:val="91"/>
                <w:vertAlign w:val="superscript"/>
              </w:rPr>
              <w:t>(11)</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3,228,150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333,144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4"/>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2"/>
              </w:rPr>
              <w:t>20,129</w:t>
            </w:r>
            <w:r>
              <w:rPr>
                <w:rFonts w:ascii="Times New Roman" w:cs="Times New Roman" w:eastAsia="Times New Roman" w:hAnsi="Times New Roman"/>
                <w:sz w:val="22"/>
                <w:szCs w:val="22"/>
                <w:color w:val="008000"/>
                <w:w w:val="92"/>
                <w:vertAlign w:val="superscript"/>
              </w:rPr>
              <w:t>(13)</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64"/>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96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696720"/>
                    </a:xfrm>
                    <a:prstGeom prst="rect">
                      <a:avLst/>
                    </a:prstGeom>
                    <a:noFill/>
                  </pic:spPr>
                </pic:pic>
              </a:graphicData>
            </a:graphic>
          </wp:anchor>
        </w:drawing>
      </w:r>
    </w:p>
    <w:p>
      <w:pPr>
        <w:sectPr>
          <w:pgSz w:w="11900" w:h="16838" w:orient="portrait"/>
          <w:cols w:equalWidth="0" w:num="1">
            <w:col w:w="11080"/>
          </w:cols>
          <w:pgMar w:left="460" w:top="219" w:right="359" w:bottom="19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398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398145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21"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jc w:val="right"/>
              <w:ind w:right="47"/>
              <w:spacing w:after="0"/>
              <w:rPr>
                <w:sz w:val="20"/>
                <w:szCs w:val="20"/>
                <w:color w:val="auto"/>
              </w:rPr>
            </w:pPr>
            <w:r>
              <w:rPr>
                <w:rFonts w:ascii="Arial" w:cs="Arial" w:eastAsia="Arial" w:hAnsi="Arial"/>
                <w:sz w:val="7"/>
                <w:szCs w:val="7"/>
                <w:color w:val="auto"/>
                <w:w w:val="71"/>
              </w:rPr>
              <w:t>*</w:t>
            </w:r>
          </w:p>
        </w:tc>
        <w:tc>
          <w:tcPr>
            <w:tcW w:w="1060" w:type="dxa"/>
            <w:vAlign w:val="bottom"/>
          </w:tcPr>
          <w:p>
            <w:pPr>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5"/>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2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2"/>
                <w:szCs w:val="2"/>
                <w:color w:val="0000EE"/>
              </w:rPr>
              <w:t>Meister Keith A.</w:t>
            </w: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Derivative</w:t>
              </w:r>
            </w:hyperlink>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1060" w:type="dxa"/>
            <w:vAlign w:val="bottom"/>
          </w:tcPr>
          <w:p>
            <w:pPr>
              <w:ind w:left="20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C/O CORVEX MANAGEMENT LP</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0" w:type="dxa"/>
            <w:vAlign w:val="bottom"/>
            <w:gridSpan w:val="5"/>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60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highlight w:val="white"/>
              </w:rPr>
              <w:t>667 MADISON AVENUE</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0000FF"/>
                <w:highlight w:val="white"/>
              </w:rPr>
              <w:t>NEW YORK</w:t>
            </w:r>
          </w:p>
        </w:tc>
        <w:tc>
          <w:tcPr>
            <w:tcW w:w="110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NY</w:t>
            </w:r>
          </w:p>
        </w:tc>
        <w:tc>
          <w:tcPr>
            <w:tcW w:w="120" w:type="dxa"/>
            <w:vAlign w:val="bottom"/>
          </w:tcPr>
          <w:p>
            <w:pPr>
              <w:spacing w:after="0"/>
              <w:rPr>
                <w:sz w:val="16"/>
                <w:szCs w:val="16"/>
                <w:color w:val="auto"/>
              </w:rPr>
            </w:pPr>
          </w:p>
        </w:tc>
        <w:tc>
          <w:tcPr>
            <w:tcW w:w="1060" w:type="dxa"/>
            <w:vAlign w:val="bottom"/>
          </w:tcPr>
          <w:p>
            <w:pPr>
              <w:ind w:left="200"/>
              <w:spacing w:after="0" w:line="187" w:lineRule="exact"/>
              <w:rPr>
                <w:sz w:val="20"/>
                <w:szCs w:val="20"/>
                <w:color w:val="auto"/>
              </w:rPr>
            </w:pPr>
            <w:r>
              <w:rPr>
                <w:rFonts w:ascii="Times New Roman" w:cs="Times New Roman" w:eastAsia="Times New Roman" w:hAnsi="Times New Roman"/>
                <w:sz w:val="17"/>
                <w:szCs w:val="17"/>
                <w:color w:val="0000FF"/>
              </w:rPr>
              <w:t>10065</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Number</w:t>
            </w: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Expiration</w:t>
            </w:r>
          </w:p>
        </w:tc>
        <w:tc>
          <w:tcPr>
            <w:tcW w:w="980" w:type="dxa"/>
            <w:vAlign w:val="bottom"/>
          </w:tcPr>
          <w:p>
            <w:pPr>
              <w:ind w:left="460"/>
              <w:spacing w:after="0" w:line="101" w:lineRule="exact"/>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14"/>
                <w:szCs w:val="14"/>
                <w:color w:val="auto"/>
              </w:rPr>
            </w:pPr>
          </w:p>
        </w:tc>
        <w:tc>
          <w:tcPr>
            <w:tcW w:w="1060" w:type="dxa"/>
            <w:vAlign w:val="bottom"/>
            <w:vMerge w:val="restart"/>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Corvex Management LP</w:t>
              </w:r>
            </w:hyperlink>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10065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$69.99 to $70.78. The Reporting Persons undertake to provide to the Issuer, any security holder of the Issuer or the staff of the Securities and Exchange Commission, upon request, full information regarding the number of shares bought at each separate price within the ranges set forth in footnotes (1), (4), (5), (6), (7), (8), (9), (10), and (11) to this Form 4.</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Investment funds advised by Corvex Management LP ("Corvex") are the direct holders of 3,228,150 shares of the Class A Common Stock, par value $0.0001 per share ("Class A Common Stock") of GeneDX Holdings Corp. (the "Issuer") reported herein. Mr. Meister may be deemed to indirectly beneficially own these shares by virtue of Mr. Meister's control of the general partner of Corvex.</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purposes of this filing, each of Corvex or Mr. Meister disclaims beneficial ownership of the reported securities except to the extent of his or its pecuniary interest therein. This filing shall not be deemed an admission that Corvex or Mr. Meister is the beneficial owner of any of the reported securities for purposes of Section 16 of the Securities Exchange Act of 1934, as amended, or otherwise.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$71.00 to $71.97.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$74.97 to $75.96.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$75.97 to $76.00.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$77.50 to $78.37.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$78.75 to $79.00.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$79.95 to $80.94.</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$80.95 to $81.94.</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$81.95 to $82.37.</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CMLS Holdings LLC ("CMLS Holdings") is the record holder of 333,144 shares of the Class A Common Stock reported herein. Mr. Meister is one of two members of the Board of Managers of CMLS Holdings, and Mr. Meister shares voting and investment discretion with respect to the securities held of record by CMLS Holdings reported herein.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A Common Stock reflected as beneficially owned by Mr. Meister include 20,129 shares of Class A Common Stock that were issued upon the vesting of restricted stock units, that were granted to Mr. Meister in connection with his service on the board of directors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Keith A. Meister</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03/05/2026</w:t>
            </w:r>
          </w:p>
        </w:tc>
      </w:tr>
      <w:tr>
        <w:trPr>
          <w:trHeight w:val="20"/>
        </w:trPr>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7"/>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CORVEX MANAGEMENT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3"/>
        </w:trPr>
        <w:tc>
          <w:tcPr>
            <w:tcW w:w="200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LP Name: /s/ Keith Meister</w:t>
            </w:r>
          </w:p>
        </w:tc>
        <w:tc>
          <w:tcPr>
            <w:tcW w:w="10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0000FF"/>
              </w:rPr>
              <w:t>03/05/2026</w:t>
            </w:r>
          </w:p>
        </w:tc>
      </w:tr>
      <w:tr>
        <w:trPr>
          <w:trHeight w:val="193"/>
        </w:trPr>
        <w:tc>
          <w:tcPr>
            <w:tcW w:w="19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Title: Managing Partner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5"/>
        </w:trPr>
        <w:tc>
          <w:tcPr>
            <w:tcW w:w="20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818331" TargetMode="External"/><Relationship Id="rId17" Type="http://schemas.openxmlformats.org/officeDocument/2006/relationships/hyperlink" Target="http://www.sec.gov/cgi-bin/browse-edgar?action=getcompany&amp;CIK=0001535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2026-03-05T18:20:55Z</dcterms:created>
  <dcterms:modified xsi:type="dcterms:W3CDTF">2026-03-05T18:20:55Z</dcterms:modified>
</cp:coreProperties>
</file>