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Prentice Anthony</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2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01/28/2022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5"/>
        <w:spacing w:after="0"/>
        <w:rPr>
          <w:sz w:val="20"/>
          <w:szCs w:val="20"/>
          <w:color w:val="auto"/>
        </w:rPr>
      </w:pPr>
      <w:r>
        <w:rPr>
          <w:rFonts w:ascii="Arial" w:cs="Arial" w:eastAsia="Arial" w:hAnsi="Arial"/>
          <w:sz w:val="17"/>
          <w:szCs w:val="17"/>
          <w:color w:val="0000FF"/>
        </w:rPr>
        <w:t>Chief Product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01/28/2022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2,021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2.8415</w:t>
            </w:r>
            <w:r>
              <w:rPr>
                <w:rFonts w:ascii="Arial" w:cs="Arial" w:eastAsia="Arial" w:hAnsi="Arial"/>
                <w:sz w:val="22"/>
                <w:szCs w:val="22"/>
                <w:color w:val="008000"/>
                <w:w w:val="93"/>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7,611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represent shares sold by the Reporting Person to cover tax withholding obligations in connection with the vesting and settlement of restricted stock units ("RSUs"). The sales were to satisfy tax withholding obligations to be funded by a "sell to cover" transaction.</w:t>
      </w:r>
    </w:p>
    <w:p>
      <w:pPr>
        <w:spacing w:after="0" w:line="1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$2.84 to $2.90,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02/02/2022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2022-02-02T20:39:42Z</dcterms:created>
  <dcterms:modified xsi:type="dcterms:W3CDTF">2022-02-02T20:39:42Z</dcterms:modified>
</cp:coreProperties>
</file>