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6992620" cy="5201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201285"/>
                    </a:xfrm>
                    <a:prstGeom prst="rect">
                      <a:avLst/>
                    </a:prstGeom>
                    <a:noFill/>
                  </pic:spPr>
                </pic:pic>
              </a:graphicData>
            </a:graphic>
          </wp:anchor>
        </w:drawing>
      </w:r>
    </w:p>
    <w:p>
      <w:pPr>
        <w:spacing w:after="0" w:line="51"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6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White Karen Ann</w:t>
              </w:r>
            </w:hyperlink>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Sema4 Holdings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SMFR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36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900" w:type="dxa"/>
            <w:vAlign w:val="bottom"/>
            <w:tcBorders>
              <w:top w:val="single" w:sz="8" w:color="0000EE"/>
            </w:tcBorders>
          </w:tcPr>
          <w:p>
            <w:pPr>
              <w:spacing w:after="0"/>
              <w:rPr>
                <w:sz w:val="5"/>
                <w:szCs w:val="5"/>
                <w:color w:val="auto"/>
              </w:rPr>
            </w:pPr>
          </w:p>
        </w:tc>
        <w:tc>
          <w:tcPr>
            <w:tcW w:w="1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00" w:type="dxa"/>
            <w:vAlign w:val="bottom"/>
            <w:tcBorders>
              <w:top w:val="single" w:sz="8" w:color="EEEEEE"/>
            </w:tcBorders>
          </w:tcPr>
          <w:p>
            <w:pPr>
              <w:spacing w:after="0"/>
              <w:rPr>
                <w:sz w:val="2"/>
                <w:szCs w:val="2"/>
                <w:color w:val="auto"/>
              </w:rPr>
            </w:pPr>
          </w:p>
        </w:tc>
        <w:tc>
          <w:tcPr>
            <w:tcW w:w="88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90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60" w:type="dxa"/>
            <w:vAlign w:val="bottom"/>
          </w:tcPr>
          <w:p>
            <w:pPr>
              <w:ind w:left="8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SEMA4 HOLDINGS CORP.</w:t>
            </w:r>
          </w:p>
        </w:tc>
        <w:tc>
          <w:tcPr>
            <w:tcW w:w="1260" w:type="dxa"/>
            <w:vAlign w:val="bottom"/>
          </w:tcPr>
          <w:p>
            <w:pPr>
              <w:spacing w:after="0"/>
              <w:rPr>
                <w:sz w:val="19"/>
                <w:szCs w:val="19"/>
                <w:color w:val="auto"/>
              </w:rPr>
            </w:pPr>
          </w:p>
        </w:tc>
        <w:tc>
          <w:tcPr>
            <w:tcW w:w="20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10/01/2022</w:t>
            </w: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360" w:type="dxa"/>
            <w:vAlign w:val="bottom"/>
            <w:gridSpan w:val="3"/>
            <w:vMerge w:val="continue"/>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8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LUDLOW ST, NORTH TOWER, 8TH FL.</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194" w:type="dxa"/>
        <w:tblCellMar>
          <w:top w:w="0" w:type="dxa"/>
          <w:left w:w="0" w:type="dxa"/>
          <w:bottom w:w="0" w:type="dxa"/>
          <w:right w:w="0" w:type="dxa"/>
        </w:tblCellMar>
      </w:tblPr>
      <w:tr>
        <w:trPr>
          <w:trHeight w:val="172"/>
        </w:trPr>
        <w:tc>
          <w:tcPr>
            <w:tcW w:w="24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5"/>
        </w:trPr>
        <w:tc>
          <w:tcPr>
            <w:tcW w:w="24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874"/>
        <w:spacing w:after="0"/>
        <w:rPr>
          <w:sz w:val="20"/>
          <w:szCs w:val="20"/>
          <w:color w:val="auto"/>
        </w:rPr>
      </w:pPr>
      <w:r>
        <w:rPr>
          <w:rFonts w:ascii="Times New Roman" w:cs="Times New Roman" w:eastAsia="Times New Roman" w:hAnsi="Times New Roman"/>
          <w:sz w:val="17"/>
          <w:szCs w:val="17"/>
          <w:color w:val="0000FF"/>
        </w:rPr>
        <w:t>Chief People Officer</w:t>
      </w:r>
    </w:p>
    <w:p>
      <w:pPr>
        <w:spacing w:after="0" w:line="391" w:lineRule="exact"/>
        <w:rPr>
          <w:sz w:val="20"/>
          <w:szCs w:val="20"/>
          <w:color w:val="auto"/>
        </w:rPr>
      </w:pPr>
    </w:p>
    <w:p>
      <w:pPr>
        <w:sectPr>
          <w:pgSz w:w="11900" w:h="16838" w:orient="portrait"/>
          <w:cols w:equalWidth="0" w:num="2">
            <w:col w:w="7660" w:space="66"/>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640" w:type="dxa"/>
            <w:vAlign w:val="bottom"/>
            <w:gridSpan w:val="6"/>
          </w:tcPr>
          <w:p>
            <w:pPr>
              <w:jc w:val="center"/>
              <w:spacing w:after="0" w:line="148" w:lineRule="exact"/>
              <w:rPr>
                <w:sz w:val="20"/>
                <w:szCs w:val="20"/>
                <w:color w:val="auto"/>
              </w:rPr>
            </w:pPr>
            <w:r>
              <w:rPr>
                <w:rFonts w:ascii="Arial" w:cs="Arial" w:eastAsia="Arial" w:hAnsi="Arial"/>
                <w:sz w:val="13"/>
                <w:szCs w:val="13"/>
                <w:color w:val="auto"/>
                <w:w w:val="99"/>
              </w:rPr>
              <w:t>4. If Amendment, Date of Original Filed (Month/Day/Year)</w:t>
            </w:r>
          </w:p>
        </w:tc>
        <w:tc>
          <w:tcPr>
            <w:tcW w:w="3700" w:type="dxa"/>
            <w:vAlign w:val="bottom"/>
            <w:gridSpan w:val="10"/>
          </w:tcPr>
          <w:p>
            <w:pPr>
              <w:ind w:left="340"/>
              <w:spacing w:after="0" w:line="14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gridSpan w:val="3"/>
          </w:tcPr>
          <w:p>
            <w:pPr>
              <w:ind w:left="34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700" w:type="dxa"/>
            <w:vAlign w:val="bottom"/>
            <w:gridSpan w:val="10"/>
            <w:vMerge w:val="restart"/>
          </w:tcPr>
          <w:p>
            <w:pPr>
              <w:ind w:left="5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1"/>
              </w:rPr>
              <w:t>CT</w:t>
            </w:r>
          </w:p>
        </w:tc>
        <w:tc>
          <w:tcPr>
            <w:tcW w:w="980" w:type="dxa"/>
            <w:vAlign w:val="bottom"/>
          </w:tcPr>
          <w:p>
            <w:pPr>
              <w:spacing w:after="0"/>
              <w:rPr>
                <w:sz w:val="10"/>
                <w:szCs w:val="10"/>
                <w:color w:val="auto"/>
              </w:rPr>
            </w:pP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06902</w:t>
            </w: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70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4260" w:type="dxa"/>
            <w:vAlign w:val="bottom"/>
            <w:tcBorders>
              <w:bottom w:val="single" w:sz="8" w:color="2C2C2C"/>
            </w:tcBorders>
            <w:gridSpan w:val="8"/>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140" w:type="dxa"/>
            <w:vAlign w:val="bottom"/>
            <w:tcBorders>
              <w:top w:val="single" w:sz="8" w:color="2C2C2C"/>
            </w:tcBorders>
            <w:gridSpan w:val="13"/>
          </w:tcPr>
          <w:p>
            <w:pPr>
              <w:jc w:val="center"/>
              <w:ind w:left="652"/>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3"/>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gridSpan w:val="2"/>
          </w:tcPr>
          <w:p>
            <w:pPr>
              <w:ind w:left="620"/>
              <w:spacing w:after="0" w:line="129"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7"/>
              </w:rPr>
              <w:t>Disposed Of (D) (Instr. 3, 4 and 5)</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0" w:type="dxa"/>
            <w:vAlign w:val="bottom"/>
            <w:gridSpan w:val="3"/>
          </w:tcPr>
          <w:p>
            <w:pPr>
              <w:ind w:left="6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gridSpan w:val="3"/>
          </w:tcPr>
          <w:p>
            <w:pPr>
              <w:ind w:left="700"/>
              <w:spacing w:after="0"/>
              <w:rPr>
                <w:sz w:val="20"/>
                <w:szCs w:val="20"/>
                <w:color w:val="auto"/>
              </w:rPr>
            </w:pPr>
            <w:r>
              <w:rPr>
                <w:rFonts w:ascii="Times New Roman" w:cs="Times New Roman" w:eastAsia="Times New Roman" w:hAnsi="Times New Roman"/>
                <w:sz w:val="17"/>
                <w:szCs w:val="17"/>
                <w:color w:val="0000FF"/>
              </w:rPr>
              <w:t>10/01/2022</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80" w:type="dxa"/>
            <w:vAlign w:val="bottom"/>
          </w:tcPr>
          <w:p>
            <w:pPr>
              <w:jc w:val="center"/>
              <w:ind w:right="262"/>
              <w:spacing w:after="0"/>
              <w:rPr>
                <w:sz w:val="20"/>
                <w:szCs w:val="20"/>
                <w:color w:val="auto"/>
              </w:rPr>
            </w:pPr>
            <w:r>
              <w:rPr>
                <w:rFonts w:ascii="Times New Roman" w:cs="Times New Roman" w:eastAsia="Times New Roman" w:hAnsi="Times New Roman"/>
                <w:sz w:val="13"/>
                <w:szCs w:val="13"/>
                <w:color w:val="0000FF"/>
                <w:w w:val="86"/>
              </w:rPr>
              <w:t>M</w:t>
            </w:r>
          </w:p>
        </w:tc>
        <w:tc>
          <w:tcPr>
            <w:tcW w:w="7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0000FF"/>
              </w:rPr>
              <w:t>3,276</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560" w:type="dxa"/>
            <w:vAlign w:val="bottom"/>
          </w:tcPr>
          <w:p>
            <w:pPr>
              <w:jc w:val="right"/>
              <w:ind w:right="74"/>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15,216</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20" w:type="dxa"/>
            <w:vAlign w:val="bottom"/>
            <w:tcBorders>
              <w:bottom w:val="single" w:sz="8" w:color="2C2C2C"/>
            </w:tcBorders>
            <w:gridSpan w:val="5"/>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Borders>
              <w:bottom w:val="single" w:sz="8" w:color="2C2C2C"/>
            </w:tcBorders>
            <w:gridSpan w:val="3"/>
          </w:tcPr>
          <w:p>
            <w:pPr>
              <w:ind w:left="700"/>
              <w:spacing w:after="0"/>
              <w:rPr>
                <w:sz w:val="20"/>
                <w:szCs w:val="20"/>
                <w:color w:val="auto"/>
              </w:rPr>
            </w:pPr>
            <w:r>
              <w:rPr>
                <w:rFonts w:ascii="Times New Roman" w:cs="Times New Roman" w:eastAsia="Times New Roman" w:hAnsi="Times New Roman"/>
                <w:sz w:val="17"/>
                <w:szCs w:val="17"/>
                <w:color w:val="0000FF"/>
              </w:rPr>
              <w:t>10/03/2022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2"/>
              <w:spacing w:after="0"/>
              <w:rPr>
                <w:sz w:val="20"/>
                <w:szCs w:val="20"/>
                <w:color w:val="auto"/>
              </w:rPr>
            </w:pPr>
            <w:r>
              <w:rPr>
                <w:rFonts w:ascii="Times New Roman" w:cs="Times New Roman" w:eastAsia="Times New Roman" w:hAnsi="Times New Roman"/>
                <w:sz w:val="25"/>
                <w:szCs w:val="25"/>
                <w:color w:val="0000FF"/>
                <w:w w:val="81"/>
                <w:vertAlign w:val="subscript"/>
              </w:rPr>
              <w:t>S</w:t>
            </w:r>
            <w:r>
              <w:rPr>
                <w:rFonts w:ascii="Times New Roman" w:cs="Times New Roman" w:eastAsia="Times New Roman" w:hAnsi="Times New Roman"/>
                <w:sz w:val="11"/>
                <w:szCs w:val="11"/>
                <w:color w:val="008000"/>
                <w:w w:val="81"/>
              </w:rPr>
              <w:t>(2)</w:t>
            </w:r>
          </w:p>
        </w:tc>
        <w:tc>
          <w:tcPr>
            <w:tcW w:w="700" w:type="dxa"/>
            <w:vAlign w:val="bottom"/>
            <w:tcBorders>
              <w:bottom w:val="single" w:sz="8" w:color="2C2C2C"/>
            </w:tcBorders>
          </w:tcPr>
          <w:p>
            <w:pPr>
              <w:jc w:val="right"/>
              <w:ind w:right="36"/>
              <w:spacing w:after="0"/>
              <w:rPr>
                <w:sz w:val="20"/>
                <w:szCs w:val="20"/>
                <w:color w:val="auto"/>
              </w:rPr>
            </w:pPr>
            <w:r>
              <w:rPr>
                <w:rFonts w:ascii="Times New Roman" w:cs="Times New Roman" w:eastAsia="Times New Roman" w:hAnsi="Times New Roman"/>
                <w:sz w:val="17"/>
                <w:szCs w:val="17"/>
                <w:color w:val="0000FF"/>
              </w:rPr>
              <w:t>1,429</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0.9423</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13,787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3"/>
          </w:tcPr>
          <w:p>
            <w:pPr>
              <w:jc w:val="center"/>
              <w:ind w:left="75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40" w:type="dxa"/>
            <w:vAlign w:val="bottom"/>
            <w:gridSpan w:val="10"/>
          </w:tcPr>
          <w:p>
            <w:pPr>
              <w:jc w:val="center"/>
              <w:ind w:left="51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3"/>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jc w:val="right"/>
              <w:ind w:right="236"/>
              <w:spacing w:after="0"/>
              <w:rPr>
                <w:sz w:val="20"/>
                <w:szCs w:val="20"/>
                <w:color w:val="auto"/>
              </w:rPr>
            </w:pPr>
            <w:r>
              <w:rPr>
                <w:rFonts w:ascii="Times New Roman" w:cs="Times New Roman" w:eastAsia="Times New Roman" w:hAnsi="Times New Roman"/>
                <w:sz w:val="11"/>
                <w:szCs w:val="11"/>
                <w:color w:val="008000"/>
              </w:rPr>
              <w:t>(4)</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Class A</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3,276</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vMerge w:val="restart"/>
          </w:tcPr>
          <w:p>
            <w:pPr>
              <w:jc w:val="right"/>
              <w:ind w:right="132"/>
              <w:spacing w:after="0" w:line="143" w:lineRule="exact"/>
              <w:rPr>
                <w:sz w:val="20"/>
                <w:szCs w:val="20"/>
                <w:color w:val="auto"/>
              </w:rPr>
            </w:pPr>
            <w:r>
              <w:rPr>
                <w:rFonts w:ascii="Times New Roman" w:cs="Times New Roman" w:eastAsia="Times New Roman" w:hAnsi="Times New Roman"/>
                <w:sz w:val="13"/>
                <w:szCs w:val="13"/>
                <w:color w:val="0000FF"/>
              </w:rPr>
              <w:t>10/01/2022</w:t>
            </w: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5"/>
                <w:szCs w:val="5"/>
                <w:color w:val="auto"/>
              </w:rPr>
            </w:pPr>
          </w:p>
        </w:tc>
        <w:tc>
          <w:tcPr>
            <w:tcW w:w="700" w:type="dxa"/>
            <w:vAlign w:val="bottom"/>
            <w:vMerge w:val="restart"/>
          </w:tcPr>
          <w:p>
            <w:pPr>
              <w:ind w:left="300"/>
              <w:spacing w:after="0" w:line="143" w:lineRule="exact"/>
              <w:rPr>
                <w:sz w:val="20"/>
                <w:szCs w:val="20"/>
                <w:color w:val="auto"/>
              </w:rPr>
            </w:pPr>
            <w:r>
              <w:rPr>
                <w:rFonts w:ascii="Times New Roman" w:cs="Times New Roman" w:eastAsia="Times New Roman" w:hAnsi="Times New Roman"/>
                <w:sz w:val="13"/>
                <w:szCs w:val="13"/>
                <w:color w:val="0000FF"/>
              </w:rPr>
              <w:t>3,276</w:t>
            </w: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4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2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49,140</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1 share of the Issuer's Class A Common Stock upon settlement for no consideration.</w:t>
      </w:r>
    </w:p>
    <w:p>
      <w:pPr>
        <w:spacing w:after="0" w:line="45" w:lineRule="exact"/>
        <w:rPr>
          <w:rFonts w:ascii="Times New Roman" w:cs="Times New Roman" w:eastAsia="Times New Roman" w:hAnsi="Times New Roman"/>
          <w:sz w:val="13"/>
          <w:szCs w:val="13"/>
          <w:color w:val="008000"/>
        </w:rPr>
      </w:pPr>
    </w:p>
    <w:p>
      <w:pPr>
        <w:ind w:left="40" w:right="5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15" w:lineRule="exact"/>
        <w:rPr>
          <w:rFonts w:ascii="Times New Roman" w:cs="Times New Roman" w:eastAsia="Times New Roman" w:hAnsi="Times New Roman"/>
          <w:sz w:val="13"/>
          <w:szCs w:val="13"/>
          <w:color w:val="008000"/>
        </w:rPr>
      </w:pPr>
    </w:p>
    <w:p>
      <w:pPr>
        <w:ind w:left="40" w:right="22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$0.8605 to $1.1143, inclusive. The reporting person undertakes to provide to the Issuer, any security holder of the Issuer, or the staff of the Securities and Exchange Commission, upon request, full information regarding the number of shares sold at each separate price within the ranges set forth herein.</w:t>
      </w:r>
    </w:p>
    <w:p>
      <w:pPr>
        <w:spacing w:after="0" w:line="2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6.25% vest in quarterly installments over the 4-year period commencing on April 4, 2022 until fully vested, subject to the Reporting Person's continued service to the Issuer on each vesting 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5" w:lineRule="auto"/>
        <w:rPr>
          <w:sz w:val="20"/>
          <w:szCs w:val="20"/>
          <w:color w:val="auto"/>
        </w:rPr>
      </w:pPr>
      <w:r>
        <w:rPr>
          <w:rFonts w:ascii="Times New Roman" w:cs="Times New Roman" w:eastAsia="Times New Roman" w:hAnsi="Times New Roman"/>
          <w:sz w:val="17"/>
          <w:szCs w:val="17"/>
          <w:color w:val="0000FF"/>
        </w:rPr>
        <w:t xml:space="preserve">/s/ Bridget Brown, Attorney-in- </w:t>
      </w:r>
      <w:r>
        <w:rPr>
          <w:rFonts w:ascii="Times New Roman" w:cs="Times New Roman" w:eastAsia="Times New Roman" w:hAnsi="Times New Roman"/>
          <w:sz w:val="33"/>
          <w:szCs w:val="33"/>
          <w:color w:val="0000FF"/>
          <w:vertAlign w:val="subscript"/>
        </w:rPr>
        <w:t>10/04/2022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-27305</wp:posOffset>
            </wp:positionV>
            <wp:extent cx="13589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890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197" w:lineRule="exact"/>
        <w:rPr>
          <w:sz w:val="20"/>
          <w:szCs w:val="20"/>
          <w:color w:val="auto"/>
        </w:rPr>
      </w:pPr>
    </w:p>
    <w:p>
      <w:pPr>
        <w:ind w:right="1579" w:firstLine="811"/>
        <w:spacing w:after="0" w:line="300" w:lineRule="auto"/>
        <w:rPr>
          <w:sz w:val="20"/>
          <w:szCs w:val="20"/>
          <w:color w:val="auto"/>
        </w:rPr>
      </w:pPr>
      <w:r>
        <w:rPr>
          <w:rFonts w:ascii="Courier New" w:cs="Courier New" w:eastAsia="Courier New" w:hAnsi="Courier New"/>
          <w:sz w:val="17"/>
          <w:szCs w:val="17"/>
          <w:color w:val="auto"/>
        </w:rPr>
        <w:t>KNOW ALL MEN BY THESE PRESENTS, that the undersigned hereby constitutes and appoints each of Kevin Feeley, Bridget Brown and Eunkyung Lee as his or her true and lawful attorney-in-fact to:</w:t>
      </w:r>
    </w:p>
    <w:p>
      <w:pPr>
        <w:spacing w:after="0" w:line="58" w:lineRule="exact"/>
        <w:rPr>
          <w:sz w:val="20"/>
          <w:szCs w:val="20"/>
          <w:color w:val="auto"/>
        </w:rPr>
      </w:pPr>
    </w:p>
    <w:p>
      <w:pPr>
        <w:ind w:right="759" w:firstLine="815"/>
        <w:spacing w:after="0" w:line="261" w:lineRule="auto"/>
        <w:tabs>
          <w:tab w:leader="none" w:pos="1623"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 representative of Sema4 Holdings Corp (the "Company"), any and all Form ID,</w:t>
      </w:r>
    </w:p>
    <w:p>
      <w:pPr>
        <w:spacing w:after="0" w:line="1" w:lineRule="exact"/>
        <w:rPr>
          <w:rFonts w:ascii="Courier New" w:cs="Courier New" w:eastAsia="Courier New" w:hAnsi="Courier New"/>
          <w:sz w:val="17"/>
          <w:szCs w:val="17"/>
          <w:color w:val="auto"/>
        </w:rPr>
      </w:pPr>
    </w:p>
    <w:p>
      <w:pPr>
        <w:ind w:right="1879"/>
        <w:spacing w:after="0" w:line="258"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or Form 3, 4 or 5 reports and any amendments thereto required to be filed by the undersigned in accordance with Section 16(a) of the Securities Exchange Act of</w:t>
      </w:r>
    </w:p>
    <w:p>
      <w:pPr>
        <w:ind w:right="1979"/>
        <w:spacing w:after="0" w:line="32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1934 (the "Exchange Act") and the rules thereunder with respect to transactions in the Company's securities;</w:t>
      </w:r>
    </w:p>
    <w:p>
      <w:pPr>
        <w:spacing w:after="0" w:line="41" w:lineRule="exact"/>
        <w:rPr>
          <w:rFonts w:ascii="Courier New" w:cs="Courier New" w:eastAsia="Courier New" w:hAnsi="Courier New"/>
          <w:sz w:val="17"/>
          <w:szCs w:val="17"/>
          <w:color w:val="auto"/>
        </w:rPr>
      </w:pPr>
    </w:p>
    <w:p>
      <w:pPr>
        <w:ind w:right="859" w:firstLine="815"/>
        <w:spacing w:after="0" w:line="261" w:lineRule="auto"/>
        <w:tabs>
          <w:tab w:leader="none" w:pos="1623"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ID, or Form</w:t>
      </w:r>
    </w:p>
    <w:p>
      <w:pPr>
        <w:spacing w:after="0" w:line="1" w:lineRule="exact"/>
        <w:rPr>
          <w:rFonts w:ascii="Courier New" w:cs="Courier New" w:eastAsia="Courier New" w:hAnsi="Courier New"/>
          <w:sz w:val="17"/>
          <w:szCs w:val="17"/>
          <w:color w:val="auto"/>
        </w:rPr>
      </w:pPr>
    </w:p>
    <w:p>
      <w:pPr>
        <w:jc w:val="both"/>
        <w:ind w:right="2179"/>
        <w:spacing w:after="0" w:line="28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 4 or 5 report and any amendments thereto and timely file such reports with the U.S. Securities and Exchange Commission and any stock exchange or similar authority; and</w:t>
      </w:r>
    </w:p>
    <w:p>
      <w:pPr>
        <w:spacing w:after="0" w:line="73" w:lineRule="exact"/>
        <w:rPr>
          <w:rFonts w:ascii="Courier New" w:cs="Courier New" w:eastAsia="Courier New" w:hAnsi="Courier New"/>
          <w:sz w:val="17"/>
          <w:szCs w:val="17"/>
          <w:color w:val="auto"/>
        </w:rPr>
      </w:pPr>
    </w:p>
    <w:p>
      <w:pPr>
        <w:ind w:right="1579" w:firstLine="815"/>
        <w:spacing w:after="0" w:line="278" w:lineRule="auto"/>
        <w:tabs>
          <w:tab w:leader="none" w:pos="162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 in-fact, may be of benefit to,</w:t>
      </w:r>
    </w:p>
    <w:p>
      <w:pPr>
        <w:ind w:right="1879"/>
        <w:spacing w:after="0" w:line="262"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in the best interest of, or legally required by, the undersigned, it being understood that the documents executed by such attorney in-fact on behalf of the undersigned, pursuant to this Power of Attorney, shall be in such form and shall contain such terms and conditions as such attorney in-fact may approve in his or her discretion.</w:t>
      </w:r>
    </w:p>
    <w:p>
      <w:pPr>
        <w:spacing w:after="0" w:line="89" w:lineRule="exact"/>
        <w:rPr>
          <w:sz w:val="20"/>
          <w:szCs w:val="20"/>
          <w:color w:val="auto"/>
        </w:rPr>
      </w:pPr>
    </w:p>
    <w:p>
      <w:pPr>
        <w:ind w:right="1879"/>
        <w:spacing w:after="0" w:line="253"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each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 or her substitute or substitutes, shall lawfully do or cause to be done by virtue of this Power of Attorney and the rights and powers herein granted. The undersigned acknowledges that no such attorney in-fact, in serving in such capacity at the request of the undersigned, is hereby assuming, nor is the Company hereby assuming, any of the undersigned's responsibilities to comply with Section 16 of the Exchange Act.</w:t>
      </w:r>
    </w:p>
    <w:p>
      <w:pPr>
        <w:spacing w:after="0" w:line="99"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The undersigned agrees that each such attorney-in-fact may rely entirely on information furnished orally or in writing by the undersigned to each such attorney-in-fact. The undersigned also agrees to indemnify and hold harmless the Company and each such attorney-in-fact against any losses, claims, damages or liabilities (or actions in these respects) that arise out of or are based on any untrue statement or omission of necessary facts in the information provided by the undersigned to such attorney-in-fact for purposes of executing, acknowledging, delivering and filing Forms 3, 4 or 5 (including amendments thereto) and agrees to reimburse the Company and each such attorney-in-fact for any legal or other expenses reasonably incurred in connection with investigating or defending against any such loss, claim, damage, liability or action.</w:t>
      </w:r>
    </w:p>
    <w:p>
      <w:pPr>
        <w:spacing w:after="0" w:line="89"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reports with respect to the undersigned's holdings of and transactions in securities issued by the Company, unless earlier revoked by the undersigned in a signed writing delivered to the foregoing attorneys in-fact.</w:t>
      </w:r>
    </w:p>
    <w:p>
      <w:pPr>
        <w:spacing w:after="0" w:line="83" w:lineRule="exact"/>
        <w:rPr>
          <w:sz w:val="20"/>
          <w:szCs w:val="20"/>
          <w:color w:val="auto"/>
        </w:rPr>
      </w:pPr>
    </w:p>
    <w:p>
      <w:pPr>
        <w:ind w:right="2399"/>
        <w:spacing w:after="0" w:line="357"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12th day of September, 2022.</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Karen Ann White</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74118"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2022-10-04T19:43:18Z</dcterms:created>
  <dcterms:modified xsi:type="dcterms:W3CDTF">2022-10-04T19:43:18Z</dcterms:modified>
</cp:coreProperties>
</file>