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color w:val="000000"/>
          <w:sz w:val="22"/>
        </w:rPr>
      </w:pPr>
      <w:r>
        <w:rPr>
          <w:rFonts w:ascii="Times New Roman;sans-serif" w:hAnsi="Times New Roman;sans-serif"/>
          <w:b/>
          <w:color w:val="000000"/>
          <w:sz w:val="22"/>
        </w:rPr>
        <w:t>SCHEDULE 14A</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Proxy Statement Pursuant to Section 14(a) of the</w:t>
      </w:r>
    </w:p>
    <w:p>
      <w:pPr>
        <w:pStyle w:val="TextBody"/>
        <w:bidi w:val="0"/>
        <w:spacing w:lineRule="auto" w:line="288" w:before="0" w:after="120"/>
        <w:jc w:val="center"/>
        <w:rPr>
          <w:rFonts w:ascii="Times New Roman;sans-serif" w:hAnsi="Times New Roman;sans-serif"/>
          <w:b/>
          <w:color w:val="000000"/>
          <w:sz w:val="22"/>
        </w:rPr>
      </w:pPr>
      <w:r>
        <w:rPr>
          <w:rFonts w:ascii="Times New Roman;sans-serif" w:hAnsi="Times New Roman;sans-serif"/>
          <w:b/>
          <w:color w:val="000000"/>
          <w:sz w:val="22"/>
        </w:rPr>
        <w:t>Securities Exchange Act of 1934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ans-serif" w:hAnsi="Times New Roman;sans-serif"/>
          <w:b w:val="false"/>
          <w:color w:val="000000"/>
          <w:sz w:val="20"/>
        </w:rPr>
        <w:t xml:space="preserve">Filed by the Registrant </w:t>
      </w:r>
      <w:r>
        <w:rPr>
          <w:color w:val="000000"/>
        </w:rPr>
        <w:t>☒</w:t>
      </w:r>
    </w:p>
    <w:p>
      <w:pPr>
        <w:pStyle w:val="TextBody"/>
        <w:bidi w:val="0"/>
        <w:spacing w:lineRule="auto" w:line="288" w:before="0" w:after="180"/>
        <w:jc w:val="left"/>
        <w:rPr/>
      </w:pPr>
      <w:r>
        <w:rPr>
          <w:rFonts w:ascii="Times New Roman;sans-serif" w:hAnsi="Times New Roman;sans-serif"/>
          <w:b w:val="false"/>
          <w:color w:val="000000"/>
          <w:sz w:val="20"/>
        </w:rPr>
        <w:t xml:space="preserve">Filed by a Party other than the Registrant </w:t>
      </w:r>
      <w:r>
        <w:rPr>
          <w:color w:val="000000"/>
        </w:rPr>
        <w:t>☐</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bl>
      <w:tblPr>
        <w:tblW w:w="7166" w:type="dxa"/>
        <w:jc w:val="left"/>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p>
      <w:pPr>
        <w:pStyle w:val="TextBody"/>
        <w:bidi w:val="0"/>
        <w:spacing w:before="0" w:after="0"/>
        <w:jc w:val="center"/>
        <w:rPr/>
      </w:pPr>
      <w:r>
        <w:rPr/>
        <w:drawing>
          <wp:inline distT="0" distB="0" distL="0" distR="0">
            <wp:extent cx="16002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552450"/>
                    </a:xfrm>
                    <a:prstGeom prst="rect">
                      <a:avLst/>
                    </a:prstGeom>
                  </pic:spPr>
                </pic:pic>
              </a:graphicData>
            </a:graphic>
          </wp:inline>
        </w:drawing>
      </w:r>
    </w:p>
    <w:p>
      <w:pPr>
        <w:pStyle w:val="TextBody"/>
        <w:bidi w:val="0"/>
        <w:spacing w:lineRule="auto" w:line="288" w:before="0" w:after="60"/>
        <w:jc w:val="center"/>
        <w:rPr>
          <w:rFonts w:ascii="Times New Roman;sans-serif" w:hAnsi="Times New Roman;sans-serif"/>
          <w:b/>
          <w:color w:val="000000"/>
          <w:sz w:val="32"/>
        </w:rPr>
      </w:pPr>
      <w:r>
        <w:rPr>
          <w:rFonts w:ascii="Times New Roman;sans-serif" w:hAnsi="Times New Roman;sans-serif"/>
          <w:b/>
          <w:color w:val="000000"/>
          <w:sz w:val="32"/>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Registrant as Specified in Its Charter)</w:t>
      </w:r>
    </w:p>
    <w:p>
      <w:pPr>
        <w:pStyle w:val="TextBody"/>
        <w:bidi w:val="0"/>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(Name of Person(s) Filing Proxy Statement, if other than the Registrant)</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the appropriate box):</w:t>
      </w:r>
    </w:p>
    <w:tbl>
      <w:tblPr>
        <w:tblW w:w="8696" w:type="dxa"/>
        <w:jc w:val="left"/>
        <w:tblInd w:w="0" w:type="dxa"/>
        <w:tblLayout w:type="fixed"/>
        <w:tblCellMar>
          <w:top w:w="28" w:type="dxa"/>
          <w:left w:w="28" w:type="dxa"/>
          <w:bottom w:w="28" w:type="dxa"/>
          <w:right w:w="28" w:type="dxa"/>
        </w:tblCellMar>
      </w:tblPr>
      <w:tblGrid>
        <w:gridCol w:w="124"/>
        <w:gridCol w:w="109"/>
        <w:gridCol w:w="109"/>
        <w:gridCol w:w="2444"/>
        <w:gridCol w:w="2444"/>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0"/>
        <w:jc w:val="center"/>
        <w:rPr/>
      </w:pPr>
      <w:r>
        <w:rPr/>
        <w:drawing>
          <wp:inline distT="0" distB="0" distL="0" distR="0">
            <wp:extent cx="1600200" cy="5524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600200" cy="552450"/>
                    </a:xfrm>
                    <a:prstGeom prst="rect">
                      <a:avLst/>
                    </a:prstGeom>
                  </pic:spPr>
                </pic:pic>
              </a:graphicData>
            </a:graphic>
          </wp:inline>
        </w:drawing>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333 Ludlow Street</w:t>
      </w:r>
    </w:p>
    <w:p>
      <w:pPr>
        <w:pStyle w:val="TextBody"/>
        <w:bidi w:val="0"/>
        <w:spacing w:lineRule="auto" w:line="288" w:before="0" w:after="0"/>
        <w:jc w:val="center"/>
        <w:rPr/>
      </w:pPr>
      <w:r>
        <w:rPr>
          <w:rFonts w:ascii="Times New Roman;sans-serif" w:hAnsi="Times New Roman;sans-serif"/>
          <w:b/>
          <w:color w:val="000000"/>
          <w:sz w:val="20"/>
        </w:rPr>
        <w:t>North Tower, 6</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Floor</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Stamford, Connecticut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Dear Stockholder of GeneDx Holdings Corp.:</w:t>
      </w:r>
    </w:p>
    <w:p>
      <w:pPr>
        <w:pStyle w:val="TextBody"/>
        <w:bidi w:val="0"/>
        <w:spacing w:lineRule="auto" w:line="288" w:before="0" w:after="180"/>
        <w:jc w:val="both"/>
        <w:rPr/>
      </w:pPr>
      <w:r>
        <w:rPr>
          <w:rFonts w:ascii="Times New Roman;sans-serif" w:hAnsi="Times New Roman;sans-serif"/>
          <w:b w:val="false"/>
          <w:color w:val="000000"/>
          <w:sz w:val="20"/>
        </w:rPr>
        <w:t>You are cordially invited to attend the 2024 annual meeting of stockholders (the “</w:t>
      </w:r>
      <w:r>
        <w:rPr>
          <w:rFonts w:ascii="Times New Roman;sans-serif" w:hAnsi="Times New Roman;sans-serif"/>
          <w:b w:val="false"/>
          <w:i/>
          <w:color w:val="000000"/>
          <w:sz w:val="20"/>
        </w:rPr>
        <w:t>Annual Meeting</w:t>
      </w:r>
      <w:r>
        <w:rPr>
          <w:color w:val="000000"/>
        </w:rPr>
        <w:t>”</w:t>
      </w:r>
      <w:r>
        <w:rPr>
          <w:rFonts w:ascii="Times New Roman;sans-serif" w:hAnsi="Times New Roman;sans-serif"/>
          <w:b w:val="false"/>
          <w:color w:val="000000"/>
          <w:sz w:val="20"/>
        </w:rPr>
        <w:t>) of GeneDx Holdings Corp. (“</w:t>
      </w:r>
      <w:r>
        <w:rPr>
          <w:rFonts w:ascii="Times New Roman;sans-serif" w:hAnsi="Times New Roman;sans-serif"/>
          <w:b w:val="false"/>
          <w:i/>
          <w:color w:val="000000"/>
          <w:sz w:val="20"/>
        </w:rPr>
        <w:t>we</w:t>
      </w:r>
      <w:r>
        <w:rPr>
          <w:rFonts w:ascii="Times New Roman;sans-serif" w:hAnsi="Times New Roman;sans-serif"/>
          <w:b w:val="false"/>
          <w:color w:val="000000"/>
          <w:sz w:val="20"/>
        </w:rPr>
        <w:t>,” “</w:t>
      </w:r>
      <w:r>
        <w:rPr>
          <w:rFonts w:ascii="Times New Roman;sans-serif" w:hAnsi="Times New Roman;sans-serif"/>
          <w:b w:val="false"/>
          <w:i/>
          <w:color w:val="000000"/>
          <w:sz w:val="20"/>
        </w:rPr>
        <w:t>us</w:t>
      </w:r>
      <w:r>
        <w:rPr>
          <w:color w:val="000000"/>
        </w:rPr>
        <w:t>”</w:t>
      </w:r>
      <w:r>
        <w:rPr>
          <w:rFonts w:ascii="Times New Roman;sans-serif" w:hAnsi="Times New Roman;sans-serif"/>
          <w:b w:val="false"/>
          <w:color w:val="000000"/>
          <w:sz w:val="20"/>
        </w:rPr>
        <w:t>, “</w:t>
      </w:r>
      <w:r>
        <w:rPr>
          <w:rFonts w:ascii="Times New Roman;sans-serif" w:hAnsi="Times New Roman;sans-serif"/>
          <w:b w:val="false"/>
          <w:i/>
          <w:color w:val="000000"/>
          <w:sz w:val="20"/>
        </w:rPr>
        <w:t>our</w:t>
      </w:r>
      <w:r>
        <w:rPr>
          <w:color w:val="000000"/>
        </w:rPr>
        <w:t>”</w:t>
      </w:r>
      <w:r>
        <w:rPr>
          <w:rFonts w:ascii="Times New Roman;sans-serif" w:hAnsi="Times New Roman;sans-serif"/>
          <w:b w:val="false"/>
          <w:color w:val="000000"/>
          <w:sz w:val="20"/>
        </w:rPr>
        <w:t>, “</w:t>
      </w:r>
      <w:r>
        <w:rPr>
          <w:rFonts w:ascii="Times New Roman;sans-serif" w:hAnsi="Times New Roman;sans-serif"/>
          <w:b w:val="false"/>
          <w:i/>
          <w:color w:val="000000"/>
          <w:sz w:val="20"/>
        </w:rPr>
        <w:t>GeneDx</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to be held at GeneDx’s corporate headquarters at 333 Ludlow Street, North Tower, Stamford, Connecticut 06902 on June 20, 2024 at 9:00 a.m. Eastern Time. The Annual Meeting will be held through a “hybrid” model where participants can either attend in person or online.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holding the Annual Meeting to:</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(1)Elect three Class III directors, each to serve until the 2027 annual meeting of stockholders and until his or her successor has been elected and qualified;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(2)Ratify the appointment of Ernst &amp; Young LLP as the Company’s independent registered public accounting firm for the fiscal year ending December 31, 2024;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(3)Transact any other business that may properly come before the Annual Meeting or any adjournments or postponements thereof.</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these proposals is more fully described in the accompanying proxy statement, which each stockholder is encouraged to carefully read.</w:t>
      </w:r>
    </w:p>
    <w:p>
      <w:pPr>
        <w:pStyle w:val="TextBody"/>
        <w:bidi w:val="0"/>
        <w:spacing w:lineRule="auto" w:line="288" w:before="0" w:after="180"/>
        <w:jc w:val="both"/>
        <w:rPr/>
      </w:pPr>
      <w:r>
        <w:rPr>
          <w:rFonts w:ascii="Times New Roman;sans-serif" w:hAnsi="Times New Roman;sans-serif"/>
          <w:b/>
          <w:color w:val="000000"/>
          <w:sz w:val="20"/>
          <w:u w:val="single"/>
        </w:rPr>
        <w:t>Your vote is very important</w:t>
      </w:r>
      <w:r>
        <w:rPr>
          <w:rFonts w:ascii="Times New Roman;sans-serif" w:hAnsi="Times New Roman;sans-serif"/>
          <w:b/>
          <w:color w:val="000000"/>
          <w:sz w:val="20"/>
        </w:rPr>
        <w:t>.</w:t>
      </w:r>
      <w:r>
        <w:rPr>
          <w:color w:val="000000"/>
        </w:rPr>
        <w:t xml:space="preserve"> </w:t>
      </w:r>
      <w:r>
        <w:rPr>
          <w:rFonts w:ascii="Times New Roman;sans-serif" w:hAnsi="Times New Roman;sans-serif"/>
          <w:b/>
          <w:color w:val="000000"/>
          <w:sz w:val="20"/>
        </w:rPr>
        <w:t xml:space="preserve">Whether or not you plan to attend the Annual Meeting, you are encouraged to submit your proxy and voting instructions via the Internet, by telephone or, if you received a paper copy of the meeting materials by mail, by completing, signing and dating the enclosed proxy card as promptly as possible and returning it in the enclosed envelope (to which no postage need be affixed if mailed in the United States). Even if you have given your proxy, you may still vote in person if you attend the Annual Meeting or during the Annual Meeting by visiting </w:t>
      </w:r>
      <w:r>
        <w:rPr>
          <w:rFonts w:ascii="Times New Roman;sans-serif" w:hAnsi="Times New Roman;sans-serif"/>
          <w:b/>
          <w:i/>
          <w:color w:val="000000"/>
          <w:sz w:val="20"/>
          <w:u w:val="single"/>
        </w:rPr>
        <w:t>www.virtualshareholdermeeting.com/wgs2024</w:t>
      </w:r>
      <w:r>
        <w:rPr>
          <w:color w:val="000000"/>
        </w:rPr>
        <w:t xml:space="preserve"> </w:t>
      </w:r>
      <w:r>
        <w:rPr>
          <w:rFonts w:ascii="Times New Roman;sans-serif" w:hAnsi="Times New Roman;sans-serif"/>
          <w:b/>
          <w:color w:val="000000"/>
          <w:sz w:val="20"/>
        </w:rPr>
        <w:t>with your 12-digit control number assigned by Continental Stock Transfer &amp; Trust Company included on your proxy card or obtained from them via email. Please note, however, that if your shares are held of record by a broker, bank or other nominee and you wish to vote at the Annual Meeting, you must obtain from the record holder a proxy issued in your name. You may revoke a previously delivered proxy at any time prior to the Annual Meeting. You may do so automatically by voting in person at the Annual Meeting or online during the Annual Meeting, or by delivering to us a written notice of revocation or a duly executed proxy b</w:t>
      </w:r>
      <w:r>
        <w:rPr>
          <w:rFonts w:ascii="Times New Roman;sans-serif" w:hAnsi="Times New Roman;sans-serif"/>
          <w:b w:val="false"/>
          <w:color w:val="000000"/>
          <w:sz w:val="20"/>
        </w:rPr>
        <w:t>e</w:t>
      </w:r>
      <w:r>
        <w:rPr>
          <w:rFonts w:ascii="Times New Roman;sans-serif" w:hAnsi="Times New Roman;sans-serif"/>
          <w:b/>
          <w:color w:val="000000"/>
          <w:sz w:val="20"/>
        </w:rPr>
        <w:t>aring a date later than the date of the proxy being revoked</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behalf of our Board, I would like to thank you for your support of GeneDx Holdings Corp.</w:t>
      </w:r>
    </w:p>
    <w:tbl>
      <w:tblPr>
        <w:tblW w:w="4275" w:type="dxa"/>
        <w:jc w:val="left"/>
        <w:tblInd w:w="0" w:type="dxa"/>
        <w:tblLayout w:type="fixed"/>
        <w:tblCellMar>
          <w:top w:w="28" w:type="dxa"/>
          <w:left w:w="28" w:type="dxa"/>
          <w:bottom w:w="28" w:type="dxa"/>
          <w:right w:w="28" w:type="dxa"/>
        </w:tblCellMar>
      </w:tblPr>
      <w:tblGrid>
        <w:gridCol w:w="473"/>
        <w:gridCol w:w="415"/>
        <w:gridCol w:w="417"/>
        <w:gridCol w:w="868"/>
        <w:gridCol w:w="868"/>
        <w:gridCol w:w="123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2024</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Notice of Annual Meeting and proxy statement are dated April 29, 2024 and are expected to be first distributed and made available on the Internet to the Company’s stockholders on or about April 29, 2024.</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333 Ludlow Street</w:t>
      </w:r>
    </w:p>
    <w:p>
      <w:pPr>
        <w:pStyle w:val="TextBody"/>
        <w:bidi w:val="0"/>
        <w:spacing w:lineRule="auto" w:line="288" w:before="0" w:after="0"/>
        <w:jc w:val="center"/>
        <w:rPr/>
      </w:pPr>
      <w:r>
        <w:rPr>
          <w:rFonts w:ascii="Times New Roman;sans-serif" w:hAnsi="Times New Roman;sans-serif"/>
          <w:b/>
          <w:color w:val="000000"/>
          <w:sz w:val="20"/>
        </w:rPr>
        <w:t>North Tower, 6</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Floor</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NOTICE OF ANNUAL MEETING OF STOCKHOLDERS </w:t>
      </w:r>
    </w:p>
    <w:p>
      <w:pPr>
        <w:pStyle w:val="TextBody"/>
        <w:bidi w:val="0"/>
        <w:spacing w:before="0" w:after="180"/>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of GeneDx Holdings Corp.:</w:t>
      </w:r>
    </w:p>
    <w:p>
      <w:pPr>
        <w:pStyle w:val="TextBody"/>
        <w:bidi w:val="0"/>
        <w:spacing w:lineRule="auto" w:line="288" w:before="0" w:after="180"/>
        <w:jc w:val="both"/>
        <w:rPr/>
      </w:pPr>
      <w:r>
        <w:rPr>
          <w:rFonts w:ascii="Times New Roman;sans-serif" w:hAnsi="Times New Roman;sans-serif"/>
          <w:b w:val="false"/>
          <w:color w:val="000000"/>
          <w:sz w:val="20"/>
        </w:rPr>
        <w:t>NOTICE IS HEREBY GIVEN that the annual meeting of the stockholders (the “</w:t>
      </w:r>
      <w:r>
        <w:rPr>
          <w:rFonts w:ascii="Times New Roman;sans-serif" w:hAnsi="Times New Roman;sans-serif"/>
          <w:b w:val="false"/>
          <w:i/>
          <w:color w:val="000000"/>
          <w:sz w:val="20"/>
        </w:rPr>
        <w:t>Annual Meeting”</w:t>
      </w:r>
      <w:r>
        <w:rPr>
          <w:rFonts w:ascii="Times New Roman;sans-serif" w:hAnsi="Times New Roman;sans-serif"/>
          <w:b w:val="false"/>
          <w:color w:val="000000"/>
          <w:sz w:val="20"/>
        </w:rPr>
        <w:t>) of GeneDx Holdings Corp., a Delaware corporation (“</w:t>
      </w:r>
      <w:r>
        <w:rPr>
          <w:rFonts w:ascii="Times New Roman;sans-serif" w:hAnsi="Times New Roman;sans-serif"/>
          <w:b w:val="false"/>
          <w:i/>
          <w:color w:val="000000"/>
          <w:sz w:val="20"/>
        </w:rPr>
        <w:t>we</w:t>
      </w:r>
      <w:r>
        <w:rPr>
          <w:rFonts w:ascii="Times New Roman;sans-serif" w:hAnsi="Times New Roman;sans-serif"/>
          <w:b w:val="false"/>
          <w:color w:val="000000"/>
          <w:sz w:val="20"/>
        </w:rPr>
        <w:t>,” “</w:t>
      </w:r>
      <w:r>
        <w:rPr>
          <w:rFonts w:ascii="Times New Roman;sans-serif" w:hAnsi="Times New Roman;sans-serif"/>
          <w:b w:val="false"/>
          <w:i/>
          <w:color w:val="000000"/>
          <w:sz w:val="20"/>
        </w:rPr>
        <w:t>us</w:t>
      </w:r>
      <w:r>
        <w:rPr>
          <w:color w:val="000000"/>
        </w:rPr>
        <w:t>”</w:t>
      </w:r>
      <w:r>
        <w:rPr>
          <w:rFonts w:ascii="Times New Roman;sans-serif" w:hAnsi="Times New Roman;sans-serif"/>
          <w:b w:val="false"/>
          <w:color w:val="000000"/>
          <w:sz w:val="20"/>
        </w:rPr>
        <w:t>, “</w:t>
      </w:r>
      <w:r>
        <w:rPr>
          <w:rFonts w:ascii="Times New Roman;sans-serif" w:hAnsi="Times New Roman;sans-serif"/>
          <w:b w:val="false"/>
          <w:i/>
          <w:color w:val="000000"/>
          <w:sz w:val="20"/>
        </w:rPr>
        <w:t>our</w:t>
      </w:r>
      <w:r>
        <w:rPr>
          <w:color w:val="000000"/>
        </w:rPr>
        <w:t>”</w:t>
      </w:r>
      <w:r>
        <w:rPr>
          <w:rFonts w:ascii="Times New Roman;sans-serif" w:hAnsi="Times New Roman;sans-serif"/>
          <w:b w:val="false"/>
          <w:color w:val="000000"/>
          <w:sz w:val="20"/>
        </w:rPr>
        <w:t>, “</w:t>
      </w:r>
      <w:r>
        <w:rPr>
          <w:rFonts w:ascii="Times New Roman;sans-serif" w:hAnsi="Times New Roman;sans-serif"/>
          <w:b w:val="false"/>
          <w:i/>
          <w:color w:val="000000"/>
          <w:sz w:val="20"/>
        </w:rPr>
        <w:t>GeneDx</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to be held at the Company’s corporate headquarters at 333 Ludlow Street, North Tower, Stamford, Connecticut 06902 on June 20, 2024 at 9:00 a.m. Eastern time.</w:t>
      </w:r>
    </w:p>
    <w:p>
      <w:pPr>
        <w:pStyle w:val="TextBody"/>
        <w:bidi w:val="0"/>
        <w:spacing w:lineRule="auto" w:line="288" w:before="0" w:after="180"/>
        <w:jc w:val="both"/>
        <w:rPr/>
      </w:pPr>
      <w:r>
        <w:rPr>
          <w:rFonts w:ascii="Times New Roman;sans-serif" w:hAnsi="Times New Roman;sans-serif"/>
          <w:b w:val="false"/>
          <w:color w:val="000000"/>
          <w:sz w:val="20"/>
        </w:rPr>
        <w:t xml:space="preserve">The Annual Meeting will be held through a “hybrid” model. Stockholders or their proxyholders can attend the Annual Meeting in person at the Company’s corporate headquarters. In addition, stockholders or their proxyholders will be able to attend and vote at the Annual Meeting online by visiting </w:t>
      </w:r>
      <w:r>
        <w:rPr>
          <w:rFonts w:ascii="Times New Roman;sans-serif" w:hAnsi="Times New Roman;sans-serif"/>
          <w:b w:val="false"/>
          <w:i/>
          <w:color w:val="000000"/>
          <w:sz w:val="20"/>
          <w:u w:val="single"/>
        </w:rPr>
        <w:t>www.virtualshareholdermeeting.com/wgs2024</w:t>
      </w:r>
      <w:r>
        <w:rPr>
          <w:color w:val="000000"/>
        </w:rPr>
        <w:t xml:space="preserve"> </w:t>
      </w:r>
      <w:r>
        <w:rPr>
          <w:rFonts w:ascii="Times New Roman;sans-serif" w:hAnsi="Times New Roman;sans-serif"/>
          <w:b w:val="false"/>
          <w:color w:val="000000"/>
          <w:sz w:val="20"/>
        </w:rPr>
        <w:t>and using a control number assigned by Continental Stock Transfer &amp; Trust Company. To receive access to the virtual meeting, registered stockholders and beneficial stockholders (those holding shares through a stock brokerage account or by a bank or other nominee) will need to follow the instructions applicable to them provided in the accompanying proxy statement.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holding the Annual Meeting for the following purposes:</w:t>
      </w:r>
    </w:p>
    <w:p>
      <w:pPr>
        <w:pStyle w:val="TextBody"/>
        <w:bidi w:val="0"/>
        <w:spacing w:lineRule="auto" w:line="288" w:before="0" w:after="180"/>
        <w:ind w:left="0" w:right="0" w:hanging="360"/>
        <w:jc w:val="both"/>
        <w:rPr/>
      </w:pPr>
      <w:r>
        <w:rPr>
          <w:rFonts w:ascii="Times New Roman;sans-serif" w:hAnsi="Times New Roman;sans-serif"/>
          <w:b w:val="false"/>
          <w:color w:val="000000"/>
          <w:sz w:val="20"/>
        </w:rPr>
        <w:t>1.</w:t>
      </w:r>
      <w:r>
        <w:rPr>
          <w:rFonts w:ascii="Times New Roman;sans-serif" w:hAnsi="Times New Roman;sans-serif"/>
          <w:b/>
          <w:color w:val="000000"/>
          <w:sz w:val="20"/>
        </w:rPr>
        <w:t>Proposal No. 1 - The Class III Director Election Proposal </w:t>
      </w:r>
      <w:r>
        <w:rPr>
          <w:rFonts w:ascii="Times New Roman;sans-serif" w:hAnsi="Times New Roman;sans-serif"/>
          <w:b w:val="false"/>
          <w:color w:val="000000"/>
          <w:sz w:val="20"/>
        </w:rPr>
        <w:t>- To elect three Class III directors of the Company, each to serve a three-year term expiring at the Company’s 2027 annual meeting of stockholders and until such director’s successor is duly elected and qualified (“</w:t>
      </w:r>
      <w:r>
        <w:rPr>
          <w:rFonts w:ascii="Times New Roman;sans-serif" w:hAnsi="Times New Roman;sans-serif"/>
          <w:b w:val="false"/>
          <w:i/>
          <w:color w:val="000000"/>
          <w:sz w:val="20"/>
        </w:rPr>
        <w:t>Proposal No. 1</w:t>
      </w:r>
      <w:r>
        <w:rPr>
          <w:color w:val="000000"/>
        </w:rPr>
        <w:t>”</w:t>
      </w:r>
      <w:r>
        <w:rPr>
          <w:rFonts w:ascii="Times New Roman;sans-serif" w:hAnsi="Times New Roman;sans-serif"/>
          <w:b w:val="false"/>
          <w:color w:val="000000"/>
          <w:sz w:val="20"/>
        </w:rPr>
        <w:t>);</w:t>
      </w:r>
    </w:p>
    <w:p>
      <w:pPr>
        <w:pStyle w:val="TextBody"/>
        <w:bidi w:val="0"/>
        <w:spacing w:lineRule="auto" w:line="288" w:before="0" w:after="180"/>
        <w:ind w:left="0" w:right="0" w:hanging="360"/>
        <w:jc w:val="both"/>
        <w:rPr/>
      </w:pPr>
      <w:r>
        <w:rPr>
          <w:rFonts w:ascii="Times New Roman;sans-serif" w:hAnsi="Times New Roman;sans-serif"/>
          <w:b w:val="false"/>
          <w:color w:val="000000"/>
          <w:sz w:val="20"/>
        </w:rPr>
        <w:t>2.</w:t>
      </w:r>
      <w:r>
        <w:rPr>
          <w:rFonts w:ascii="Times New Roman;sans-serif" w:hAnsi="Times New Roman;sans-serif"/>
          <w:b/>
          <w:color w:val="000000"/>
          <w:sz w:val="20"/>
        </w:rPr>
        <w:t xml:space="preserve">Proposal No. 2 - The Auditor Ratification Proposal </w:t>
      </w:r>
      <w:r>
        <w:rPr>
          <w:rFonts w:ascii="Times New Roman;sans-serif" w:hAnsi="Times New Roman;sans-serif"/>
          <w:b w:val="false"/>
          <w:color w:val="000000"/>
          <w:sz w:val="20"/>
        </w:rPr>
        <w:t>- To ratify the appointment of Ernst &amp; Young LLP as the Company’s independent registered public accounting firm for the fiscal year ending December 31, 2024 (“</w:t>
      </w:r>
      <w:r>
        <w:rPr>
          <w:rFonts w:ascii="Times New Roman;sans-serif" w:hAnsi="Times New Roman;sans-serif"/>
          <w:b w:val="false"/>
          <w:i/>
          <w:color w:val="000000"/>
          <w:sz w:val="20"/>
        </w:rPr>
        <w:t>Proposal No. 2</w:t>
      </w:r>
      <w:r>
        <w:rPr>
          <w:color w:val="000000"/>
        </w:rPr>
        <w:t>”</w:t>
      </w:r>
      <w:r>
        <w:rPr>
          <w:rFonts w:ascii="Times New Roman;sans-serif" w:hAnsi="Times New Roman;sans-serif"/>
          <w:b w:val="false"/>
          <w:color w:val="000000"/>
          <w:sz w:val="20"/>
        </w:rPr>
        <w:t>);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3.To transact such other business as may properly come before the Annual Meeting or any adjournment or postponement thereof.</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items of business are more fully described in the accompanying proxy statement. We have not received notice of any other matters that may be properly presented at our Annual Meeting.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record date for the Annual Meeting is April 24, 2024. Only stockholders of record at the close of business on the record date may vote at the Annual Meeting or any adjournment thereof. A complete list of our stockholders of record entitled to vote at the Annual Meeting will be available for ten days before the Annual Meeting at our principal executive offices for inspection by stockholders during ordinary business hours for any purpose germane to the Annual Meeting.</w:t>
      </w:r>
    </w:p>
    <w:p>
      <w:pPr>
        <w:pStyle w:val="TextBody"/>
        <w:bidi w:val="0"/>
        <w:spacing w:lineRule="auto" w:line="288" w:before="0" w:after="180"/>
        <w:jc w:val="both"/>
        <w:rPr/>
      </w:pPr>
      <w:r>
        <w:rPr>
          <w:rFonts w:ascii="Times New Roman;sans-serif" w:hAnsi="Times New Roman;sans-serif"/>
          <w:b w:val="false"/>
          <w:color w:val="000000"/>
          <w:sz w:val="20"/>
        </w:rPr>
        <w:t xml:space="preserve">A majority of the voting power of all outstanding shares of capital stock of the Company entitled to vote must be present in person or by proxy to constitute a quorum for the transaction of business at the Annual Meeting. </w:t>
      </w:r>
      <w:r>
        <w:rPr>
          <w:rFonts w:ascii="Times New Roman;sans-serif" w:hAnsi="Times New Roman;sans-serif"/>
          <w:b/>
          <w:color w:val="000000"/>
          <w:sz w:val="20"/>
        </w:rPr>
        <w:t>The Board recommends that you vote “FOR” each of these proposals.</w:t>
      </w:r>
    </w:p>
    <w:tbl>
      <w:tblPr>
        <w:tblW w:w="4920" w:type="dxa"/>
        <w:jc w:val="left"/>
        <w:tblInd w:w="0" w:type="dxa"/>
        <w:tblLayout w:type="fixed"/>
        <w:tblCellMar>
          <w:top w:w="28" w:type="dxa"/>
          <w:left w:w="28" w:type="dxa"/>
          <w:bottom w:w="28" w:type="dxa"/>
          <w:right w:w="28" w:type="dxa"/>
        </w:tblCellMar>
      </w:tblPr>
      <w:tblGrid>
        <w:gridCol w:w="707"/>
        <w:gridCol w:w="620"/>
        <w:gridCol w:w="623"/>
        <w:gridCol w:w="868"/>
        <w:gridCol w:w="868"/>
        <w:gridCol w:w="123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2024</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Jason Ryan</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Stamford, Connecticut</w:t>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Chairman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lineRule="auto" w:line="333"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7875" w:type="dxa"/>
        <w:jc w:val="left"/>
        <w:tblInd w:w="0" w:type="dxa"/>
        <w:tblLayout w:type="fixed"/>
        <w:tblCellMar>
          <w:top w:w="28" w:type="dxa"/>
          <w:left w:w="28" w:type="dxa"/>
          <w:bottom w:w="28" w:type="dxa"/>
          <w:right w:w="28" w:type="dxa"/>
        </w:tblCellMar>
      </w:tblPr>
      <w:tblGrid>
        <w:gridCol w:w="2646"/>
        <w:gridCol w:w="2323"/>
        <w:gridCol w:w="2335"/>
        <w:gridCol w:w="167"/>
        <w:gridCol w:w="167"/>
        <w:gridCol w:w="237"/>
      </w:tblGrid>
      <w:tr>
        <w:trPr/>
        <w:tc>
          <w:tcPr>
            <w:tcW w:w="2646"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304" w:type="dxa"/>
            <w:gridSpan w:val="3"/>
            <w:tcBorders/>
            <w:tcMar>
              <w:top w:w="0" w:type="dxa"/>
              <w:left w:w="0" w:type="dxa"/>
              <w:bottom w:w="0" w:type="dxa"/>
              <w:right w:w="0" w:type="dxa"/>
            </w:tcMar>
            <w:vAlign w:val="center"/>
          </w:tcPr>
          <w:p>
            <w:pPr>
              <w:pStyle w:val="TableContents"/>
              <w:bidi w:val="0"/>
              <w:spacing w:before="23" w:after="20"/>
              <w:ind w:left="0" w:right="0" w:hanging="180"/>
              <w:jc w:val="left"/>
              <w:rPr/>
            </w:pPr>
            <w:r>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43" w:after="20"/>
              <w:ind w:left="0" w:right="0" w:hanging="180"/>
              <w:jc w:val="both"/>
              <w:rPr/>
            </w:pPr>
            <w:hyperlink w:anchor="ibc69edbc91f142fcb618c147eb229e77_432">
              <w:r>
                <w:rPr>
                  <w:rStyle w:val="InternetLink"/>
                  <w:rFonts w:ascii="Times New Roman;sans-serif" w:hAnsi="Times New Roman;sans-serif"/>
                  <w:b w:val="false"/>
                  <w:color w:val="0000FF"/>
                  <w:sz w:val="20"/>
                  <w:u w:val="single"/>
                </w:rPr>
                <w:t>INFORMATION ABOUT SOLICITATION AND VOTING</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43" w:after="20"/>
              <w:jc w:val="center"/>
              <w:rPr/>
            </w:pPr>
            <w:hyperlink w:anchor="ibc69edbc91f142fcb618c147eb229e77_432">
              <w:r>
                <w:rPr>
                  <w:rStyle w:val="InternetLink"/>
                  <w:rFonts w:ascii="Times New Roman;sans-serif" w:hAnsi="Times New Roman;sans-serif"/>
                  <w:b w:val="false"/>
                  <w:strike w:val="false"/>
                  <w:dstrike w:val="false"/>
                  <w:color w:val="000000"/>
                  <w:sz w:val="20"/>
                  <w:u w:val="none"/>
                  <w:effect w:val="none"/>
                </w:rPr>
                <w:t>2</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53" w:after="30"/>
              <w:ind w:left="0" w:right="0" w:hanging="180"/>
              <w:jc w:val="both"/>
              <w:rPr/>
            </w:pPr>
            <w:hyperlink w:anchor="ibc69edbc91f142fcb618c147eb229e77_426">
              <w:r>
                <w:rPr>
                  <w:rStyle w:val="InternetLink"/>
                  <w:rFonts w:ascii="Times New Roman;sans-serif" w:hAnsi="Times New Roman;sans-serif"/>
                  <w:b w:val="false"/>
                  <w:color w:val="0000FF"/>
                  <w:sz w:val="20"/>
                  <w:u w:val="single"/>
                </w:rPr>
                <w:t>GENERAL INFORMATION ABOUT THE MEETING</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53" w:after="30"/>
              <w:jc w:val="center"/>
              <w:rPr/>
            </w:pPr>
            <w:hyperlink w:anchor="ibc69edbc91f142fcb618c147eb229e77_426">
              <w:r>
                <w:rPr>
                  <w:rStyle w:val="InternetLink"/>
                  <w:rFonts w:ascii="Times New Roman;sans-serif" w:hAnsi="Times New Roman;sans-serif"/>
                  <w:b w:val="false"/>
                  <w:strike w:val="false"/>
                  <w:dstrike w:val="false"/>
                  <w:color w:val="000000"/>
                  <w:sz w:val="20"/>
                  <w:u w:val="none"/>
                  <w:effect w:val="none"/>
                </w:rPr>
                <w:t>3</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53" w:after="30"/>
              <w:ind w:left="0" w:right="0" w:hanging="180"/>
              <w:jc w:val="left"/>
              <w:rPr/>
            </w:pPr>
            <w:hyperlink w:anchor="ibc69edbc91f142fcb618c147eb229e77_10">
              <w:r>
                <w:rPr>
                  <w:rStyle w:val="InternetLink"/>
                  <w:rFonts w:ascii="Times New Roman;sans-serif" w:hAnsi="Times New Roman;sans-serif"/>
                  <w:b w:val="false"/>
                  <w:color w:val="0000FF"/>
                  <w:sz w:val="20"/>
                  <w:u w:val="single"/>
                </w:rPr>
                <w:t xml:space="preserve">CORPORATE GOVERNANCE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53" w:after="30"/>
              <w:jc w:val="center"/>
              <w:rPr/>
            </w:pPr>
            <w:hyperlink w:anchor="ibc69edbc91f142fcb618c147eb229e77_10">
              <w:r>
                <w:rPr>
                  <w:rStyle w:val="InternetLink"/>
                  <w:rFonts w:ascii="Times New Roman;sans-serif" w:hAnsi="Times New Roman;sans-serif"/>
                  <w:b w:val="false"/>
                  <w:strike w:val="false"/>
                  <w:dstrike w:val="false"/>
                  <w:color w:val="000000"/>
                  <w:sz w:val="20"/>
                  <w:u w:val="none"/>
                  <w:effect w:val="none"/>
                </w:rPr>
                <w:t>6</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43" w:after="20"/>
              <w:ind w:left="0" w:right="0" w:hanging="180"/>
              <w:jc w:val="left"/>
              <w:rPr/>
            </w:pPr>
            <w:hyperlink w:anchor="ibc69edbc91f142fcb618c147eb229e77_13">
              <w:r>
                <w:rPr>
                  <w:rStyle w:val="InternetLink"/>
                  <w:rFonts w:ascii="Times New Roman;sans-serif" w:hAnsi="Times New Roman;sans-serif"/>
                  <w:b w:val="false"/>
                  <w:color w:val="0000FF"/>
                  <w:sz w:val="20"/>
                  <w:u w:val="single"/>
                </w:rPr>
                <w:t xml:space="preserve">PROPOSAL NO. 1 - THE CLASS II DIRECTOR ELECTION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43" w:after="20"/>
              <w:jc w:val="center"/>
              <w:rPr/>
            </w:pPr>
            <w:hyperlink w:anchor="ibc69edbc91f142fcb618c147eb229e77_13">
              <w:r>
                <w:rPr>
                  <w:rStyle w:val="InternetLink"/>
                  <w:rFonts w:ascii="Times New Roman;sans-serif" w:hAnsi="Times New Roman;sans-serif"/>
                  <w:b w:val="false"/>
                  <w:strike w:val="false"/>
                  <w:dstrike w:val="false"/>
                  <w:color w:val="000000"/>
                  <w:sz w:val="20"/>
                  <w:u w:val="none"/>
                  <w:effect w:val="none"/>
                </w:rPr>
                <w:t>12</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43" w:after="20"/>
              <w:ind w:left="0" w:right="0" w:hanging="180"/>
              <w:jc w:val="left"/>
              <w:rPr/>
            </w:pPr>
            <w:hyperlink w:anchor="ibc69edbc91f142fcb618c147eb229e77_16">
              <w:r>
                <w:rPr>
                  <w:rStyle w:val="InternetLink"/>
                  <w:rFonts w:ascii="Times New Roman;sans-serif" w:hAnsi="Times New Roman;sans-serif"/>
                  <w:b w:val="false"/>
                  <w:color w:val="0000FF"/>
                  <w:sz w:val="20"/>
                  <w:u w:val="single"/>
                </w:rPr>
                <w:t>PROPOSAL NO. 2 - THE AUDITOR RATIFICATION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43" w:after="20"/>
              <w:jc w:val="center"/>
              <w:rPr/>
            </w:pPr>
            <w:hyperlink w:anchor="ibc69edbc91f142fcb618c147eb229e77_16">
              <w:r>
                <w:rPr>
                  <w:rStyle w:val="InternetLink"/>
                  <w:rFonts w:ascii="Times New Roman;sans-serif" w:hAnsi="Times New Roman;sans-serif"/>
                  <w:b w:val="false"/>
                  <w:strike w:val="false"/>
                  <w:dstrike w:val="false"/>
                  <w:color w:val="000000"/>
                  <w:sz w:val="20"/>
                  <w:u w:val="none"/>
                  <w:effect w:val="none"/>
                </w:rPr>
                <w:t>16</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53" w:after="30"/>
              <w:ind w:left="0" w:right="0" w:hanging="180"/>
              <w:jc w:val="left"/>
              <w:rPr/>
            </w:pPr>
            <w:hyperlink w:anchor="ibc69edbc91f142fcb618c147eb229e77_19">
              <w:r>
                <w:rPr>
                  <w:rStyle w:val="InternetLink"/>
                  <w:rFonts w:ascii="Times New Roman;sans-serif" w:hAnsi="Times New Roman;sans-serif"/>
                  <w:b w:val="false"/>
                  <w:color w:val="0000FF"/>
                  <w:sz w:val="20"/>
                  <w:u w:val="single"/>
                </w:rPr>
                <w:t>REPORT OF THE AUDIT COMMITTEE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53" w:after="30"/>
              <w:jc w:val="center"/>
              <w:rPr/>
            </w:pPr>
            <w:hyperlink w:anchor="ibc69edbc91f142fcb618c147eb229e77_19">
              <w:r>
                <w:rPr>
                  <w:rStyle w:val="InternetLink"/>
                  <w:rFonts w:ascii="Times New Roman;sans-serif" w:hAnsi="Times New Roman;sans-serif"/>
                  <w:b w:val="false"/>
                  <w:strike w:val="false"/>
                  <w:dstrike w:val="false"/>
                  <w:color w:val="000000"/>
                  <w:sz w:val="20"/>
                  <w:u w:val="none"/>
                  <w:effect w:val="none"/>
                </w:rPr>
                <w:t>17</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bc69edbc91f142fcb618c147eb229e77_22">
              <w:r>
                <w:rPr>
                  <w:rStyle w:val="InternetLink"/>
                  <w:rFonts w:ascii="Times New Roman;sans-serif" w:hAnsi="Times New Roman;sans-serif"/>
                  <w:b w:val="false"/>
                  <w:color w:val="000080"/>
                  <w:sz w:val="20"/>
                  <w:u w:val="single"/>
                </w:rPr>
                <w:t>E</w:t>
              </w:r>
            </w:hyperlink>
            <w:r>
              <w:rPr>
                <w:rFonts w:ascii="Times New Roman;sans-serif" w:hAnsi="Times New Roman;sans-serif"/>
                <w:b w:val="false"/>
                <w:color w:val="0000FF"/>
                <w:sz w:val="20"/>
                <w:u w:val="single"/>
              </w:rPr>
              <w:t>XECUTIVE OFFICERS</w:t>
            </w:r>
          </w:p>
        </w:tc>
        <w:tc>
          <w:tcPr>
            <w:tcW w:w="571" w:type="dxa"/>
            <w:gridSpan w:val="3"/>
            <w:tcBorders/>
            <w:tcMar>
              <w:top w:w="0" w:type="dxa"/>
              <w:left w:w="0" w:type="dxa"/>
              <w:bottom w:w="0" w:type="dxa"/>
              <w:right w:w="0" w:type="dxa"/>
            </w:tcMar>
            <w:vAlign w:val="center"/>
          </w:tcPr>
          <w:p>
            <w:pPr>
              <w:pStyle w:val="TableContents"/>
              <w:bidi w:val="0"/>
              <w:spacing w:lineRule="auto" w:line="240" w:before="53" w:after="30"/>
              <w:jc w:val="center"/>
              <w:rPr/>
            </w:pPr>
            <w:hyperlink w:anchor="ibc69edbc91f142fcb618c147eb229e77_22">
              <w:r>
                <w:rPr>
                  <w:rStyle w:val="InternetLink"/>
                  <w:rFonts w:ascii="Times New Roman;sans-serif" w:hAnsi="Times New Roman;sans-serif"/>
                  <w:b w:val="false"/>
                  <w:strike w:val="false"/>
                  <w:dstrike w:val="false"/>
                  <w:color w:val="000000"/>
                  <w:sz w:val="20"/>
                  <w:u w:val="none"/>
                  <w:effect w:val="none"/>
                </w:rPr>
                <w:t>18</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43" w:after="20"/>
              <w:jc w:val="left"/>
              <w:rPr/>
            </w:pPr>
            <w:hyperlink w:anchor="ibc69edbc91f142fcb618c147eb229e77_25">
              <w:r>
                <w:rPr>
                  <w:rStyle w:val="InternetLink"/>
                  <w:rFonts w:ascii="Times New Roman;sans-serif" w:hAnsi="Times New Roman;sans-serif"/>
                  <w:b w:val="false"/>
                  <w:color w:val="0000FF"/>
                  <w:sz w:val="20"/>
                  <w:u w:val="single"/>
                </w:rPr>
                <w:t>EXECUTIVE COMPENSATION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43" w:after="20"/>
              <w:jc w:val="center"/>
              <w:rPr/>
            </w:pPr>
            <w:hyperlink w:anchor="ibc69edbc91f142fcb618c147eb229e77_25">
              <w:r>
                <w:rPr>
                  <w:rStyle w:val="InternetLink"/>
                  <w:rFonts w:ascii="Times New Roman;sans-serif" w:hAnsi="Times New Roman;sans-serif"/>
                  <w:b w:val="false"/>
                  <w:strike w:val="false"/>
                  <w:dstrike w:val="false"/>
                  <w:color w:val="000000"/>
                  <w:sz w:val="20"/>
                  <w:u w:val="none"/>
                  <w:effect w:val="none"/>
                </w:rPr>
                <w:t>18</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43" w:after="20"/>
              <w:jc w:val="both"/>
              <w:rPr/>
            </w:pPr>
            <w:hyperlink w:anchor="ibc69edbc91f142fcb618c147eb229e77_413">
              <w:r>
                <w:rPr>
                  <w:rStyle w:val="InternetLink"/>
                  <w:rFonts w:ascii="Times New Roman;sans-serif" w:hAnsi="Times New Roman;sans-serif"/>
                  <w:b w:val="false"/>
                  <w:color w:val="0000FF"/>
                  <w:sz w:val="20"/>
                  <w:u w:val="single"/>
                </w:rPr>
                <w:t>EQUITY COMPENSATION PLAN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43" w:after="20"/>
              <w:jc w:val="center"/>
              <w:rPr/>
            </w:pPr>
            <w:hyperlink w:anchor="ibc69edbc91f142fcb618c147eb229e77_413">
              <w:r>
                <w:rPr>
                  <w:rStyle w:val="InternetLink"/>
                  <w:rFonts w:ascii="Times New Roman;sans-serif" w:hAnsi="Times New Roman;sans-serif"/>
                  <w:b w:val="false"/>
                  <w:strike w:val="false"/>
                  <w:dstrike w:val="false"/>
                  <w:color w:val="000000"/>
                  <w:sz w:val="20"/>
                  <w:u w:val="none"/>
                  <w:effect w:val="none"/>
                </w:rPr>
                <w:t>24</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43" w:after="20"/>
              <w:ind w:left="0" w:right="0" w:hanging="180"/>
              <w:jc w:val="left"/>
              <w:rPr/>
            </w:pPr>
            <w:hyperlink w:anchor="ibc69edbc91f142fcb618c147eb229e77_28">
              <w:r>
                <w:rPr>
                  <w:rStyle w:val="InternetLink"/>
                  <w:rFonts w:ascii="Times New Roman;sans-serif" w:hAnsi="Times New Roman;sans-serif"/>
                  <w:b w:val="false"/>
                  <w:color w:val="0000FF"/>
                  <w:sz w:val="20"/>
                  <w:u w:val="single"/>
                </w:rPr>
                <w:t>CERTAIN RELATIONSHIPS AND RELATED PARTY TRANSACTIONS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43" w:after="20"/>
              <w:jc w:val="center"/>
              <w:rPr/>
            </w:pPr>
            <w:hyperlink w:anchor="ibc69edbc91f142fcb618c147eb229e77_28">
              <w:r>
                <w:rPr>
                  <w:rStyle w:val="InternetLink"/>
                  <w:rFonts w:ascii="Times New Roman;sans-serif" w:hAnsi="Times New Roman;sans-serif"/>
                  <w:b w:val="false"/>
                  <w:strike w:val="false"/>
                  <w:dstrike w:val="false"/>
                  <w:color w:val="000000"/>
                  <w:sz w:val="20"/>
                  <w:u w:val="none"/>
                  <w:effect w:val="none"/>
                </w:rPr>
                <w:t>25</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43" w:after="20"/>
              <w:ind w:left="0" w:right="0" w:hanging="180"/>
              <w:jc w:val="left"/>
              <w:rPr/>
            </w:pPr>
            <w:hyperlink w:anchor="ibc69edbc91f142fcb618c147eb229e77_31">
              <w:r>
                <w:rPr>
                  <w:rStyle w:val="InternetLink"/>
                  <w:rFonts w:ascii="Times New Roman;sans-serif" w:hAnsi="Times New Roman;sans-serif"/>
                  <w:b w:val="false"/>
                  <w:color w:val="0000FF"/>
                  <w:sz w:val="20"/>
                  <w:u w:val="single"/>
                </w:rPr>
                <w:t>SECURITY OWNERSHIP OF CERTAIN BENEFICIAL OWNERS AND MANAGEMENT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43" w:after="20"/>
              <w:jc w:val="center"/>
              <w:rPr/>
            </w:pPr>
            <w:hyperlink w:anchor="ibc69edbc91f142fcb618c147eb229e77_31">
              <w:r>
                <w:rPr>
                  <w:rStyle w:val="InternetLink"/>
                  <w:rFonts w:ascii="Times New Roman;sans-serif" w:hAnsi="Times New Roman;sans-serif"/>
                  <w:b w:val="false"/>
                  <w:strike w:val="false"/>
                  <w:dstrike w:val="false"/>
                  <w:color w:val="000000"/>
                  <w:sz w:val="20"/>
                  <w:u w:val="none"/>
                  <w:effect w:val="none"/>
                </w:rPr>
                <w:t>32</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43" w:after="20"/>
              <w:jc w:val="left"/>
              <w:rPr/>
            </w:pPr>
            <w:hyperlink w:anchor="ibc69edbc91f142fcb618c147eb229e77_34">
              <w:r>
                <w:rPr>
                  <w:rStyle w:val="InternetLink"/>
                  <w:rFonts w:ascii="Times New Roman;sans-serif" w:hAnsi="Times New Roman;sans-serif"/>
                  <w:b w:val="false"/>
                  <w:color w:val="0000FF"/>
                  <w:sz w:val="20"/>
                  <w:u w:val="single"/>
                </w:rPr>
                <w:t>DELINQUENT SECTION 16(A) REPORTS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43" w:after="20"/>
              <w:jc w:val="center"/>
              <w:rPr/>
            </w:pPr>
            <w:hyperlink w:anchor="ibc69edbc91f142fcb618c147eb229e77_34">
              <w:r>
                <w:rPr>
                  <w:rStyle w:val="InternetLink"/>
                  <w:rFonts w:ascii="Times New Roman;sans-serif" w:hAnsi="Times New Roman;sans-serif"/>
                  <w:b w:val="false"/>
                  <w:strike w:val="false"/>
                  <w:dstrike w:val="false"/>
                  <w:color w:val="000000"/>
                  <w:sz w:val="20"/>
                  <w:u w:val="none"/>
                  <w:effect w:val="none"/>
                </w:rPr>
                <w:t>35</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43" w:after="20"/>
              <w:ind w:left="0" w:right="0" w:hanging="180"/>
              <w:jc w:val="left"/>
              <w:rPr/>
            </w:pPr>
            <w:hyperlink w:anchor="ibc69edbc91f142fcb618c147eb229e77_37">
              <w:r>
                <w:rPr>
                  <w:rStyle w:val="InternetLink"/>
                  <w:rFonts w:ascii="Times New Roman;sans-serif" w:hAnsi="Times New Roman;sans-serif"/>
                  <w:b w:val="false"/>
                  <w:color w:val="0000FF"/>
                  <w:sz w:val="20"/>
                  <w:u w:val="single"/>
                </w:rPr>
                <w:t>INDEPENDENT REGISTERED PUBLIC ACCOUNTING FIRM</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43" w:after="20"/>
              <w:jc w:val="center"/>
              <w:rPr/>
            </w:pPr>
            <w:hyperlink w:anchor="ibc69edbc91f142fcb618c147eb229e77_37">
              <w:r>
                <w:rPr>
                  <w:rStyle w:val="InternetLink"/>
                  <w:rFonts w:ascii="Times New Roman;sans-serif" w:hAnsi="Times New Roman;sans-serif"/>
                  <w:b w:val="false"/>
                  <w:strike w:val="false"/>
                  <w:dstrike w:val="false"/>
                  <w:color w:val="000000"/>
                  <w:sz w:val="20"/>
                  <w:u w:val="none"/>
                  <w:effect w:val="none"/>
                </w:rPr>
                <w:t>35</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43" w:after="20"/>
              <w:ind w:left="0" w:right="0" w:hanging="180"/>
              <w:jc w:val="left"/>
              <w:rPr/>
            </w:pPr>
            <w:hyperlink w:anchor="ibc69edbc91f142fcb618c147eb229e77_40">
              <w:r>
                <w:rPr>
                  <w:rStyle w:val="InternetLink"/>
                  <w:rFonts w:ascii="Times New Roman;sans-serif" w:hAnsi="Times New Roman;sans-serif"/>
                  <w:b w:val="false"/>
                  <w:color w:val="0000FF"/>
                  <w:sz w:val="20"/>
                  <w:u w:val="single"/>
                </w:rPr>
                <w:t>HOUSEHOLDING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43" w:after="20"/>
              <w:jc w:val="center"/>
              <w:rPr/>
            </w:pPr>
            <w:hyperlink w:anchor="ibc69edbc91f142fcb618c147eb229e77_40">
              <w:r>
                <w:rPr>
                  <w:rStyle w:val="InternetLink"/>
                  <w:rFonts w:ascii="Times New Roman;sans-serif" w:hAnsi="Times New Roman;sans-serif"/>
                  <w:b w:val="false"/>
                  <w:strike w:val="false"/>
                  <w:dstrike w:val="false"/>
                  <w:color w:val="000000"/>
                  <w:sz w:val="20"/>
                  <w:u w:val="none"/>
                  <w:effect w:val="none"/>
                </w:rPr>
                <w:t>35</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43" w:after="20"/>
              <w:ind w:left="0" w:right="0" w:hanging="180"/>
              <w:jc w:val="left"/>
              <w:rPr/>
            </w:pPr>
            <w:hyperlink w:anchor="ibc69edbc91f142fcb618c147eb229e77_43">
              <w:r>
                <w:rPr>
                  <w:rStyle w:val="InternetLink"/>
                  <w:rFonts w:ascii="Times New Roman;sans-serif" w:hAnsi="Times New Roman;sans-serif"/>
                  <w:b w:val="false"/>
                  <w:color w:val="0000FF"/>
                  <w:sz w:val="20"/>
                  <w:u w:val="single"/>
                </w:rPr>
                <w:t>TRANSFER AGENT AND REGISTRAR</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43" w:after="20"/>
              <w:jc w:val="center"/>
              <w:rPr/>
            </w:pPr>
            <w:hyperlink w:anchor="ibc69edbc91f142fcb618c147eb229e77_43">
              <w:r>
                <w:rPr>
                  <w:rStyle w:val="InternetLink"/>
                  <w:rFonts w:ascii="Times New Roman;sans-serif" w:hAnsi="Times New Roman;sans-serif"/>
                  <w:b w:val="false"/>
                  <w:strike w:val="false"/>
                  <w:dstrike w:val="false"/>
                  <w:color w:val="000000"/>
                  <w:sz w:val="20"/>
                  <w:u w:val="none"/>
                  <w:effect w:val="none"/>
                </w:rPr>
                <w:t>35</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43" w:after="20"/>
              <w:ind w:left="0" w:right="0" w:hanging="180"/>
              <w:jc w:val="left"/>
              <w:rPr/>
            </w:pPr>
            <w:hyperlink w:anchor="ibc69edbc91f142fcb618c147eb229e77_46">
              <w:r>
                <w:rPr>
                  <w:rStyle w:val="InternetLink"/>
                  <w:rFonts w:ascii="Times New Roman;sans-serif" w:hAnsi="Times New Roman;sans-serif"/>
                  <w:b w:val="false"/>
                  <w:color w:val="0000FF"/>
                  <w:sz w:val="20"/>
                  <w:u w:val="single"/>
                </w:rPr>
                <w:t>SUBMISSION OF STOCKHOLDER PROPOSALS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43" w:after="20"/>
              <w:jc w:val="center"/>
              <w:rPr/>
            </w:pPr>
            <w:hyperlink w:anchor="ibc69edbc91f142fcb618c147eb229e77_46">
              <w:r>
                <w:rPr>
                  <w:rStyle w:val="InternetLink"/>
                  <w:rFonts w:ascii="Times New Roman;sans-serif" w:hAnsi="Times New Roman;sans-serif"/>
                  <w:b w:val="false"/>
                  <w:strike w:val="false"/>
                  <w:dstrike w:val="false"/>
                  <w:color w:val="000000"/>
                  <w:sz w:val="20"/>
                  <w:u w:val="none"/>
                  <w:effect w:val="none"/>
                </w:rPr>
                <w:t>36</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43" w:after="20"/>
              <w:ind w:left="0" w:right="0" w:hanging="180"/>
              <w:jc w:val="left"/>
              <w:rPr/>
            </w:pPr>
            <w:hyperlink w:anchor="ibc69edbc91f142fcb618c147eb229e77_49">
              <w:r>
                <w:rPr>
                  <w:rStyle w:val="InternetLink"/>
                  <w:rFonts w:ascii="Times New Roman;sans-serif" w:hAnsi="Times New Roman;sans-serif"/>
                  <w:b w:val="false"/>
                  <w:color w:val="0000FF"/>
                  <w:sz w:val="20"/>
                  <w:u w:val="single"/>
                </w:rPr>
                <w:t>FUTURE STOCKHOLDER PROPOSALS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43" w:after="20"/>
              <w:jc w:val="center"/>
              <w:rPr/>
            </w:pPr>
            <w:hyperlink w:anchor="ibc69edbc91f142fcb618c147eb229e77_49">
              <w:r>
                <w:rPr>
                  <w:rStyle w:val="InternetLink"/>
                  <w:rFonts w:ascii="Times New Roman;sans-serif" w:hAnsi="Times New Roman;sans-serif"/>
                  <w:b w:val="false"/>
                  <w:strike w:val="false"/>
                  <w:dstrike w:val="false"/>
                  <w:color w:val="000000"/>
                  <w:sz w:val="20"/>
                  <w:u w:val="none"/>
                  <w:effect w:val="none"/>
                </w:rPr>
                <w:t>36</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43" w:after="20"/>
              <w:ind w:left="0" w:right="0" w:hanging="180"/>
              <w:jc w:val="left"/>
              <w:rPr/>
            </w:pPr>
            <w:hyperlink w:anchor="ibc69edbc91f142fcb618c147eb229e77_52">
              <w:r>
                <w:rPr>
                  <w:rStyle w:val="InternetLink"/>
                  <w:rFonts w:ascii="Times New Roman;sans-serif" w:hAnsi="Times New Roman;sans-serif"/>
                  <w:b w:val="false"/>
                  <w:color w:val="0000FF"/>
                  <w:sz w:val="20"/>
                  <w:u w:val="single"/>
                </w:rPr>
                <w:t>WHERE YOU CAN FIND MORE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43" w:after="20"/>
              <w:jc w:val="center"/>
              <w:rPr/>
            </w:pPr>
            <w:hyperlink w:anchor="ibc69edbc91f142fcb618c147eb229e77_52">
              <w:r>
                <w:rPr>
                  <w:rStyle w:val="InternetLink"/>
                  <w:rFonts w:ascii="Times New Roman;sans-serif" w:hAnsi="Times New Roman;sans-serif"/>
                  <w:b w:val="false"/>
                  <w:strike w:val="false"/>
                  <w:dstrike w:val="false"/>
                  <w:color w:val="000000"/>
                  <w:sz w:val="20"/>
                  <w:u w:val="none"/>
                  <w:effect w:val="none"/>
                </w:rPr>
                <w:t>36</w:t>
              </w:r>
            </w:hyperlink>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43" w:after="20"/>
              <w:ind w:left="0" w:right="0" w:hanging="180"/>
              <w:jc w:val="left"/>
              <w:rPr/>
            </w:pPr>
            <w:hyperlink w:anchor="ibc69edbc91f142fcb618c147eb229e77_55">
              <w:r>
                <w:rPr>
                  <w:rStyle w:val="InternetLink"/>
                  <w:rFonts w:ascii="Times New Roman;sans-serif" w:hAnsi="Times New Roman;sans-serif"/>
                  <w:b w:val="false"/>
                  <w:color w:val="0000FF"/>
                  <w:sz w:val="20"/>
                  <w:u w:val="single"/>
                </w:rPr>
                <w:t>PROXY CARD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43" w:after="20"/>
              <w:jc w:val="center"/>
              <w:rPr/>
            </w:pPr>
            <w:hyperlink w:anchor="ibc69edbc91f142fcb618c147eb229e77_55">
              <w:r>
                <w:rPr>
                  <w:rStyle w:val="InternetLink"/>
                  <w:rFonts w:ascii="Times New Roman;sans-serif" w:hAnsi="Times New Roman;sans-serif"/>
                  <w:b w:val="false"/>
                  <w:strike w:val="false"/>
                  <w:dstrike w:val="false"/>
                  <w:color w:val="000000"/>
                  <w:sz w:val="20"/>
                  <w:u w:val="none"/>
                  <w:effect w:val="none"/>
                </w:rPr>
                <w:t>38</w:t>
              </w:r>
            </w:hyperlink>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333 Ludlow Street</w:t>
      </w:r>
    </w:p>
    <w:p>
      <w:pPr>
        <w:pStyle w:val="TextBody"/>
        <w:bidi w:val="0"/>
        <w:spacing w:lineRule="auto" w:line="288" w:before="0" w:after="0"/>
        <w:jc w:val="center"/>
        <w:rPr/>
      </w:pPr>
      <w:r>
        <w:rPr>
          <w:rFonts w:ascii="Times New Roman;sans-serif" w:hAnsi="Times New Roman;sans-serif"/>
          <w:b/>
          <w:color w:val="000000"/>
          <w:sz w:val="20"/>
        </w:rPr>
        <w:t>North Tower, 6</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Floor</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FOR THE ANNUAL MEETING OF STOCKHOLDERS TO BE HELD ON</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JUNE 20, 2024</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EXPLANATORY NOTES</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Unless otherwise stated in this proxy statement or the context otherwise requires, references to:</w:t>
      </w:r>
    </w:p>
    <w:p>
      <w:pPr>
        <w:pStyle w:val="TextBody"/>
        <w:bidi w:val="0"/>
        <w:spacing w:lineRule="auto" w:line="288" w:before="0" w:after="0"/>
        <w:ind w:left="0" w:right="0" w:hanging="360"/>
        <w:jc w:val="both"/>
        <w:rPr/>
      </w:pPr>
      <w:r>
        <w:rPr>
          <w:color w:val="000000"/>
        </w:rPr>
        <w:t>•</w:t>
      </w:r>
      <w:r>
        <w:rPr>
          <w:color w:val="000000"/>
          <w:shd w:fill="FFFFFF" w:val="clear"/>
        </w:rPr>
        <w:t>“</w:t>
      </w:r>
      <w:r>
        <w:rPr>
          <w:rFonts w:ascii="Times New Roman;sans-serif" w:hAnsi="Times New Roman;sans-serif"/>
          <w:b w:val="false"/>
          <w:i/>
          <w:color w:val="000000"/>
          <w:sz w:val="20"/>
          <w:shd w:fill="FFFFFF" w:val="clear"/>
        </w:rPr>
        <w:t>GeneDx Holdings</w:t>
      </w:r>
      <w:r>
        <w:rPr>
          <w:color w:val="000000"/>
          <w:shd w:fill="FFFFFF" w:val="clear"/>
        </w:rPr>
        <w:t xml:space="preserve">” </w:t>
      </w:r>
      <w:r>
        <w:rPr>
          <w:rFonts w:ascii="Times New Roman;sans-serif" w:hAnsi="Times New Roman;sans-serif"/>
          <w:b w:val="false"/>
          <w:color w:val="000000"/>
          <w:sz w:val="20"/>
          <w:shd w:fill="FFFFFF" w:val="clear"/>
        </w:rPr>
        <w:t>refers to GeneDx Holdings Corp., a Delaware corporation (f/k/a Sema4 Holdings Corp. (“</w:t>
      </w:r>
      <w:r>
        <w:rPr>
          <w:rFonts w:ascii="Times New Roman;sans-serif" w:hAnsi="Times New Roman;sans-serif"/>
          <w:b w:val="false"/>
          <w:i/>
          <w:color w:val="000000"/>
          <w:sz w:val="20"/>
          <w:shd w:fill="FFFFFF" w:val="clear"/>
        </w:rPr>
        <w:t>Sema4 Holdings</w:t>
      </w:r>
      <w:r>
        <w:rPr>
          <w:color w:val="000000"/>
          <w:shd w:fill="FFFFFF" w:val="clear"/>
        </w:rPr>
        <w:t>”</w:t>
      </w:r>
      <w:r>
        <w:rPr>
          <w:rFonts w:ascii="Times New Roman;sans-serif" w:hAnsi="Times New Roman;sans-serif"/>
          <w:b w:val="false"/>
          <w:color w:val="000000"/>
          <w:sz w:val="20"/>
          <w:shd w:fill="FFFFFF" w:val="clear"/>
        </w:rPr>
        <w:t>));</w:t>
      </w:r>
    </w:p>
    <w:p>
      <w:pPr>
        <w:pStyle w:val="TextBody"/>
        <w:bidi w:val="0"/>
        <w:spacing w:lineRule="auto" w:line="288" w:before="0" w:after="0"/>
        <w:ind w:left="0" w:right="0" w:hanging="360"/>
        <w:jc w:val="both"/>
        <w:rPr/>
      </w:pPr>
      <w:r>
        <w:rPr>
          <w:color w:val="000000"/>
        </w:rPr>
        <w:t>•</w:t>
      </w:r>
      <w:r>
        <w:rPr>
          <w:color w:val="000000"/>
          <w:shd w:fill="FFFFFF" w:val="clear"/>
        </w:rPr>
        <w:t>“</w:t>
      </w:r>
      <w:r>
        <w:rPr>
          <w:rFonts w:ascii="Times New Roman;sans-serif" w:hAnsi="Times New Roman;sans-serif"/>
          <w:b w:val="false"/>
          <w:i/>
          <w:color w:val="000000"/>
          <w:sz w:val="20"/>
          <w:shd w:fill="FFFFFF" w:val="clear"/>
        </w:rPr>
        <w:t>Legacy GeneDx</w:t>
      </w:r>
      <w:r>
        <w:rPr>
          <w:color w:val="000000"/>
          <w:shd w:fill="FFFFFF" w:val="clear"/>
        </w:rPr>
        <w:t xml:space="preserve">” </w:t>
      </w:r>
      <w:r>
        <w:rPr>
          <w:rFonts w:ascii="Times New Roman;sans-serif" w:hAnsi="Times New Roman;sans-serif"/>
          <w:b w:val="false"/>
          <w:color w:val="000000"/>
          <w:sz w:val="20"/>
          <w:shd w:fill="FFFFFF" w:val="clear"/>
        </w:rPr>
        <w:t>refers to GeneDx, LLC, a Delaware limited liability company (formerly, GeneDx, Inc., a New Jersey corporation), which we acquired on April 29, 2022 (the “</w:t>
      </w:r>
      <w:r>
        <w:rPr>
          <w:rFonts w:ascii="Times New Roman;sans-serif" w:hAnsi="Times New Roman;sans-serif"/>
          <w:b w:val="false"/>
          <w:i/>
          <w:color w:val="000000"/>
          <w:sz w:val="20"/>
          <w:shd w:fill="FFFFFF" w:val="clear"/>
        </w:rPr>
        <w:t>Acquisition</w:t>
      </w:r>
      <w:r>
        <w:rPr>
          <w:color w:val="000000"/>
          <w:shd w:fill="FFFFFF" w:val="clear"/>
        </w:rPr>
        <w:t>”</w:t>
      </w:r>
      <w:r>
        <w:rPr>
          <w:rFonts w:ascii="Times New Roman;sans-serif" w:hAnsi="Times New Roman;sans-serif"/>
          <w:b w:val="false"/>
          <w:color w:val="000000"/>
          <w:sz w:val="20"/>
          <w:shd w:fill="FFFFFF" w:val="clear"/>
        </w:rPr>
        <w:t>);</w:t>
      </w:r>
    </w:p>
    <w:p>
      <w:pPr>
        <w:pStyle w:val="TextBody"/>
        <w:bidi w:val="0"/>
        <w:spacing w:lineRule="auto" w:line="288" w:before="0" w:after="0"/>
        <w:ind w:left="0" w:right="0" w:hanging="360"/>
        <w:jc w:val="both"/>
        <w:rPr/>
      </w:pPr>
      <w:r>
        <w:rPr>
          <w:color w:val="000000"/>
        </w:rPr>
        <w:t>•</w:t>
      </w:r>
      <w:r>
        <w:rPr>
          <w:color w:val="000000"/>
          <w:shd w:fill="FFFFFF" w:val="clear"/>
        </w:rPr>
        <w:t>“</w:t>
      </w:r>
      <w:r>
        <w:rPr>
          <w:rFonts w:ascii="Times New Roman;sans-serif" w:hAnsi="Times New Roman;sans-serif"/>
          <w:b w:val="false"/>
          <w:i/>
          <w:color w:val="000000"/>
          <w:sz w:val="20"/>
          <w:shd w:fill="FFFFFF" w:val="clear"/>
        </w:rPr>
        <w:t>Legacy Sema4</w:t>
      </w:r>
      <w:r>
        <w:rPr>
          <w:color w:val="000000"/>
          <w:shd w:fill="FFFFFF" w:val="clear"/>
        </w:rPr>
        <w:t xml:space="preserve">” </w:t>
      </w:r>
      <w:r>
        <w:rPr>
          <w:rFonts w:ascii="Times New Roman;sans-serif" w:hAnsi="Times New Roman;sans-serif"/>
          <w:b w:val="false"/>
          <w:color w:val="000000"/>
          <w:sz w:val="20"/>
          <w:shd w:fill="FFFFFF" w:val="clear"/>
        </w:rPr>
        <w:t>refers to Mount Sinai Genomics, Inc. d/b/a as Sema4, a Delaware corporation, which consummated the business combination with CM Life Sciences, Inc. (“</w:t>
      </w:r>
      <w:r>
        <w:rPr>
          <w:rFonts w:ascii="Times New Roman;sans-serif" w:hAnsi="Times New Roman;sans-serif"/>
          <w:b w:val="false"/>
          <w:i/>
          <w:color w:val="000000"/>
          <w:sz w:val="20"/>
          <w:shd w:fill="FFFFFF" w:val="clear"/>
        </w:rPr>
        <w:t>CMLS</w:t>
      </w:r>
      <w:r>
        <w:rPr>
          <w:color w:val="000000"/>
          <w:shd w:fill="FFFFFF" w:val="clear"/>
        </w:rPr>
        <w:t>”</w:t>
      </w:r>
      <w:r>
        <w:rPr>
          <w:rFonts w:ascii="Times New Roman;sans-serif" w:hAnsi="Times New Roman;sans-serif"/>
          <w:b w:val="false"/>
          <w:color w:val="000000"/>
          <w:sz w:val="20"/>
          <w:shd w:fill="FFFFFF" w:val="clear"/>
        </w:rPr>
        <w:t>) on July 22, 2021 (the “</w:t>
      </w:r>
      <w:r>
        <w:rPr>
          <w:rFonts w:ascii="Times New Roman;sans-serif" w:hAnsi="Times New Roman;sans-serif"/>
          <w:b w:val="false"/>
          <w:i/>
          <w:color w:val="000000"/>
          <w:sz w:val="20"/>
          <w:shd w:fill="FFFFFF" w:val="clear"/>
        </w:rPr>
        <w:t>Business Combination</w:t>
      </w:r>
      <w:r>
        <w:rPr>
          <w:color w:val="000000"/>
          <w:shd w:fill="FFFFFF" w:val="clear"/>
        </w:rPr>
        <w:t>”</w:t>
      </w:r>
      <w:r>
        <w:rPr>
          <w:rFonts w:ascii="Times New Roman;sans-serif" w:hAnsi="Times New Roman;sans-serif"/>
          <w:b w:val="false"/>
          <w:color w:val="000000"/>
          <w:sz w:val="20"/>
          <w:shd w:fill="FFFFFF" w:val="clear"/>
        </w:rPr>
        <w:t>); and</w:t>
      </w:r>
    </w:p>
    <w:p>
      <w:pPr>
        <w:pStyle w:val="TextBody"/>
        <w:bidi w:val="0"/>
        <w:spacing w:lineRule="auto" w:line="288" w:before="0" w:after="0"/>
        <w:ind w:left="0" w:right="0" w:hanging="360"/>
        <w:jc w:val="both"/>
        <w:rPr/>
      </w:pPr>
      <w:r>
        <w:rPr>
          <w:color w:val="000000"/>
        </w:rPr>
        <w:t>•</w:t>
      </w:r>
      <w:r>
        <w:rPr>
          <w:color w:val="000000"/>
          <w:shd w:fill="FFFFFF" w:val="clear"/>
        </w:rPr>
        <w:t>“</w:t>
      </w:r>
      <w:r>
        <w:rPr>
          <w:rFonts w:ascii="Times New Roman;sans-serif" w:hAnsi="Times New Roman;sans-serif"/>
          <w:b w:val="false"/>
          <w:i/>
          <w:color w:val="000000"/>
          <w:sz w:val="20"/>
          <w:shd w:fill="FFFFFF" w:val="clear"/>
        </w:rPr>
        <w:t>we</w:t>
      </w:r>
      <w:r>
        <w:rPr>
          <w:rFonts w:ascii="Times New Roman;sans-serif" w:hAnsi="Times New Roman;sans-serif"/>
          <w:b w:val="false"/>
          <w:color w:val="000000"/>
          <w:sz w:val="20"/>
          <w:shd w:fill="FFFFFF" w:val="clear"/>
        </w:rPr>
        <w:t>,” “</w:t>
      </w:r>
      <w:r>
        <w:rPr>
          <w:rFonts w:ascii="Times New Roman;sans-serif" w:hAnsi="Times New Roman;sans-serif"/>
          <w:b w:val="false"/>
          <w:i/>
          <w:color w:val="000000"/>
          <w:sz w:val="20"/>
          <w:shd w:fill="FFFFFF" w:val="clear"/>
        </w:rPr>
        <w:t>us</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i/>
          <w:color w:val="000000"/>
          <w:sz w:val="20"/>
          <w:shd w:fill="FFFFFF" w:val="clear"/>
        </w:rPr>
        <w:t>our</w:t>
      </w:r>
      <w:r>
        <w:rPr>
          <w:rFonts w:ascii="Times New Roman;sans-serif" w:hAnsi="Times New Roman;sans-serif"/>
          <w:b w:val="false"/>
          <w:color w:val="000000"/>
          <w:sz w:val="20"/>
          <w:shd w:fill="FFFFFF" w:val="clear"/>
        </w:rPr>
        <w:t>,” the “</w:t>
      </w:r>
      <w:r>
        <w:rPr>
          <w:rFonts w:ascii="Times New Roman;sans-serif" w:hAnsi="Times New Roman;sans-serif"/>
          <w:b w:val="false"/>
          <w:i/>
          <w:color w:val="000000"/>
          <w:sz w:val="20"/>
          <w:shd w:fill="FFFFFF" w:val="clear"/>
        </w:rPr>
        <w:t>Company</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i/>
          <w:color w:val="000000"/>
          <w:sz w:val="20"/>
          <w:shd w:fill="FFFFFF" w:val="clear"/>
        </w:rPr>
        <w:t>GeneDx</w:t>
      </w:r>
      <w:r>
        <w:rPr>
          <w:color w:val="000000"/>
          <w:shd w:fill="FFFFFF" w:val="clear"/>
        </w:rPr>
        <w:t xml:space="preserve">” </w:t>
      </w:r>
      <w:r>
        <w:rPr>
          <w:rFonts w:ascii="Times New Roman;sans-serif" w:hAnsi="Times New Roman;sans-serif"/>
          <w:b w:val="false"/>
          <w:color w:val="000000"/>
          <w:sz w:val="20"/>
          <w:shd w:fill="FFFFFF" w:val="clear"/>
        </w:rPr>
        <w:t>refer, as the context requires, to:</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shd w:fill="FFFFFF" w:val="clear"/>
        </w:rPr>
        <w:t>Legacy Sema4 prior to the Business Combination, and GeneDx Holdings and its consolidated subsidiaries following the consummation of the Business Combination; and</w:t>
      </w:r>
    </w:p>
    <w:p>
      <w:pPr>
        <w:pStyle w:val="TextBody"/>
        <w:bidi w:val="0"/>
        <w:spacing w:lineRule="auto" w:line="288" w:before="0" w:after="180"/>
        <w:ind w:left="0" w:right="0" w:hanging="36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shd w:fill="FFFFFF" w:val="clear"/>
        </w:rPr>
        <w:t>Legacy GeneDx prior to the Acquisition, and GeneDx Holdings and its consolidated subsidiaries following the consummation of the Acquisition.</w:t>
      </w:r>
    </w:p>
    <w:p>
      <w:pPr>
        <w:pStyle w:val="TextBody"/>
        <w:bidi w:val="0"/>
        <w:spacing w:lineRule="auto" w:line="288" w:before="0" w:after="180"/>
        <w:jc w:val="both"/>
        <w:rPr/>
      </w:pPr>
      <w:r>
        <w:rPr>
          <w:rFonts w:ascii="Times New Roman;sans-serif" w:hAnsi="Times New Roman;sans-serif"/>
          <w:b w:val="false"/>
          <w:color w:val="000000"/>
          <w:sz w:val="20"/>
        </w:rPr>
        <w:t>In addition, unless otherwise stated in this proxy statement, all share amounts, exercise prices and other amounts set forth herein have been adjusted for the impact of a 1-for-33 reverse stock split of our Class A common stock, par value $0.0001 per share (“</w:t>
      </w:r>
      <w:r>
        <w:rPr>
          <w:rFonts w:ascii="Times New Roman;sans-serif" w:hAnsi="Times New Roman;sans-serif"/>
          <w:b w:val="false"/>
          <w:i/>
          <w:color w:val="000000"/>
          <w:sz w:val="20"/>
        </w:rPr>
        <w:t>Class A Common Stock</w:t>
      </w:r>
      <w:r>
        <w:rPr>
          <w:color w:val="000000"/>
        </w:rPr>
        <w:t>”</w:t>
      </w:r>
      <w:r>
        <w:rPr>
          <w:rFonts w:ascii="Times New Roman;sans-serif" w:hAnsi="Times New Roman;sans-serif"/>
          <w:b w:val="false"/>
          <w:color w:val="000000"/>
          <w:sz w:val="20"/>
        </w:rPr>
        <w:t>), that became effective on May 4, 2023 (the “</w:t>
      </w:r>
      <w:r>
        <w:rPr>
          <w:rFonts w:ascii="Times New Roman;sans-serif" w:hAnsi="Times New Roman;sans-serif"/>
          <w:b w:val="false"/>
          <w:i/>
          <w:color w:val="000000"/>
          <w:sz w:val="20"/>
        </w:rPr>
        <w:t>Reverse Stock Split</w:t>
      </w:r>
      <w:r>
        <w:rPr>
          <w:color w:val="000000"/>
        </w:rPr>
        <w:t>”</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INFORMATION ABOUT SOLICITATION AND VOTING</w:t>
      </w:r>
    </w:p>
    <w:p>
      <w:pPr>
        <w:pStyle w:val="TextBody"/>
        <w:bidi w:val="0"/>
        <w:spacing w:lineRule="auto" w:line="288" w:before="0" w:after="180"/>
        <w:jc w:val="both"/>
        <w:rPr/>
      </w:pPr>
      <w:r>
        <w:rPr>
          <w:rFonts w:ascii="Times New Roman;sans-serif" w:hAnsi="Times New Roman;sans-serif"/>
          <w:b w:val="false"/>
          <w:color w:val="000000"/>
          <w:sz w:val="20"/>
        </w:rPr>
        <w:t>This proxy statement and the accompanying form of proxy are furnished in connection with the solicitation of proxies by our board of directors (the “</w:t>
      </w:r>
      <w:r>
        <w:rPr>
          <w:rFonts w:ascii="Times New Roman;sans-serif" w:hAnsi="Times New Roman;sans-serif"/>
          <w:b w:val="false"/>
          <w:i/>
          <w:color w:val="000000"/>
          <w:sz w:val="20"/>
        </w:rPr>
        <w:t>Board</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Board of Directors</w:t>
      </w:r>
      <w:r>
        <w:rPr>
          <w:color w:val="000000"/>
        </w:rPr>
        <w:t>”</w:t>
      </w:r>
      <w:r>
        <w:rPr>
          <w:rFonts w:ascii="Times New Roman;sans-serif" w:hAnsi="Times New Roman;sans-serif"/>
          <w:b w:val="false"/>
          <w:color w:val="000000"/>
          <w:sz w:val="20"/>
        </w:rPr>
        <w:t>) for use at our 2024 annual meeting of stockholders and any postponements, adjournments or continuations thereof (the “</w:t>
      </w:r>
      <w:r>
        <w:rPr>
          <w:rFonts w:ascii="Times New Roman;sans-serif" w:hAnsi="Times New Roman;sans-serif"/>
          <w:b w:val="false"/>
          <w:i/>
          <w:color w:val="000000"/>
          <w:sz w:val="20"/>
        </w:rPr>
        <w:t>Annual Meeting</w:t>
      </w:r>
      <w:r>
        <w:rPr>
          <w:color w:val="000000"/>
        </w:rPr>
        <w:t>”</w:t>
      </w:r>
      <w:r>
        <w:rPr>
          <w:rFonts w:ascii="Times New Roman;sans-serif" w:hAnsi="Times New Roman;sans-serif"/>
          <w:b w:val="false"/>
          <w:color w:val="000000"/>
          <w:sz w:val="20"/>
        </w:rPr>
        <w:t>). The Annual Meeting will be held at the Company’s corporate headquarters at 333 Ludlow Street, North Tower, Stamford, Connecticut 06902 on June 20, 2024 at 9:00 a.m. Eastern Time. The Annual Meeting will be held through a “hybrid” model where participants can either attend in person or online. References to our website in this proxy statement are not intended to function as hyperlinks and the information contained on our website is not intended to be incorporated into this proxy statement.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Notice of Internet Availability of Proxy Materials, or the Notice of Annual Meeting, this proxy statement and the form of proxy are first being distributed and made available on the Internet on or about April 29, 2024 to all the Company’s stockholders entitled to vote at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INTERNET AVAILABILITY OF PROXY MATERIALS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U.S. Securities and Exchange Commission (the “SEC”), rules, we are using the Internet as our primary means of furnishing proxy materials to stockholders. Consequently, most stockholders will not receive paper copies of our proxy materials. We will instead send these stockholders a Notice of Internet Availability of Proxy Materials with instructions for accessing the proxy materials, including our proxy statement and annual report, and voting via the Internet. The Notice of Internet Availability of Proxy Materials also provides information on how stockholders may obtain paper copies of our proxy materials if they so choose. We believe this rule makes the proxy distribution process more efficient, less costly and helps in conserving natural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GENERAL INFORMATION ABOUT THE MEETING</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Purpose of the Annual Meeting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You are receiving this proxy statement because our Board is soliciting your proxy to vote your shares at the Annual Meeting with respect to the proposals described in this proxy statement. This proxy statement includes information that we are required to provide to you pursuant to the rules and regulations of the SEC and is designed to assist you in voting your shares.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Attending the Annual Meeting</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Attending the Annual Meeting in Person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attending the Annual Meeting in person should be prepared to present government-issued photo identification for admittance. If your shares are registered in your name with Continental Stock Transfer &amp; Trust Company, your name will be verified against the list of stockholders of record on the Record Date (as defined below) prior to your being admitted to the Annual Meeting. If you are not a stockholder of record but hold shares through a broker or other nominee, you should also be prepared to provide proof of beneficial ownership as of the Record Date, such as a recent brokerage account statement showing your ownership, a copy of the voting instruction form provided by your broker or other nominee, or other similar evidence of ownership.</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attending the Annual Meeting in person will be required to demonstrate that they were stockholders of record on the Record Date or a duly authorized proxy of such a stockholder. If you are a stockholder of record and received either your Notice of Internet Availability of Proxy Materials or your proxy materials by mail, your admission ticket is attached to either your Notice of Internet Availability of Proxy Materials or your proxy card. If you are a beneficial owner, please bring the notice or voting instruction form you received from your broker or nominee for admission to the meeting. You also may bring your brokerage statement reflecting your ownership Class A Common Stock as of the Record Date with you to the meeting.</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Attending the Annual Meeting Online</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Stockholder of Record: Shares Registered in Your Name.</w:t>
      </w:r>
      <w:r>
        <w:rPr>
          <w:rFonts w:ascii="Times New Roman;sans-serif" w:hAnsi="Times New Roman;sans-serif"/>
          <w:b w:val="false"/>
          <w:color w:val="000000"/>
          <w:sz w:val="20"/>
        </w:rPr>
        <w:t xml:space="preserve">If your shares are registered in your name with Continental Stock Transfer &amp; Trust Company and you wish to attend the Annual Meeting online via webcast, go to </w:t>
      </w:r>
      <w:r>
        <w:rPr>
          <w:rFonts w:ascii="Times New Roman;sans-serif" w:hAnsi="Times New Roman;sans-serif"/>
          <w:b w:val="false"/>
          <w:i/>
          <w:color w:val="000000"/>
          <w:sz w:val="20"/>
          <w:u w:val="single"/>
        </w:rPr>
        <w:t>www.virtualshareholdermeeting.com/wgs2024</w:t>
      </w:r>
      <w:r>
        <w:rPr>
          <w:color w:val="000000"/>
        </w:rPr>
        <w:t xml:space="preserve"> </w:t>
      </w:r>
      <w:r>
        <w:rPr>
          <w:rFonts w:ascii="Times New Roman;sans-serif" w:hAnsi="Times New Roman;sans-serif"/>
          <w:b w:val="false"/>
          <w:color w:val="000000"/>
          <w:sz w:val="20"/>
        </w:rPr>
        <w:t>and enter the 16-digit control number included on your proxy card or notice of the meeting.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Beneficial Owner: Shares Registered in the Name of a Broker or Nominee.</w:t>
      </w:r>
      <w:r>
        <w:rPr>
          <w:rFonts w:ascii="Times New Roman;sans-serif" w:hAnsi="Times New Roman;sans-serif"/>
          <w:b w:val="false"/>
          <w:color w:val="000000"/>
          <w:sz w:val="20"/>
        </w:rPr>
        <w:t>Beneficial owners will receive an email prior to the meeting with a link and instructions, including a 16-digit meeting control number, for accessing the Annual Meeting online. Beneficial owners should contact their bank or broker where their shares are held at least five (5) business days prior to the meeting date in order to ensure access.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Login Time for Annual Meeting Webcast</w:t>
      </w:r>
    </w:p>
    <w:p>
      <w:pPr>
        <w:pStyle w:val="TextBody"/>
        <w:bidi w:val="0"/>
        <w:spacing w:lineRule="auto" w:line="288" w:before="0" w:after="180"/>
        <w:jc w:val="both"/>
        <w:rPr/>
      </w:pPr>
      <w:r>
        <w:rPr>
          <w:rFonts w:ascii="Times New Roman;sans-serif" w:hAnsi="Times New Roman;sans-serif"/>
          <w:b w:val="false"/>
          <w:color w:val="000000"/>
          <w:sz w:val="20"/>
        </w:rPr>
        <w:t>You can log in to the Annual Meeting webcast 15 minutes prior to the start of the meeting. If you encounter any difficulties accessing the Annual Meeting webcast during the check-in or meeting time, please call the technical support number that will be posted on the Virtual Shareholder Meeting login page (</w:t>
      </w:r>
      <w:r>
        <w:rPr>
          <w:rFonts w:ascii="Times New Roman;sans-serif" w:hAnsi="Times New Roman;sans-serif"/>
          <w:b w:val="false"/>
          <w:i/>
          <w:color w:val="000000"/>
          <w:sz w:val="20"/>
          <w:u w:val="single"/>
        </w:rPr>
        <w:t>www.virtualshareholdermeeting.com/wgs2024</w:t>
      </w:r>
      <w:r>
        <w:rPr>
          <w:rFonts w:ascii="Times New Roman;sans-serif" w:hAnsi="Times New Roman;sans-serif"/>
          <w:b w:val="false"/>
          <w:color w:val="000000"/>
          <w:sz w:val="20"/>
        </w:rPr>
        <w:t>) on the day of the meeting.</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Record Date; Quorum</w:t>
      </w:r>
    </w:p>
    <w:p>
      <w:pPr>
        <w:pStyle w:val="TextBody"/>
        <w:bidi w:val="0"/>
        <w:spacing w:lineRule="auto" w:line="288" w:before="0" w:after="180"/>
        <w:jc w:val="both"/>
        <w:rPr/>
      </w:pPr>
      <w:r>
        <w:rPr>
          <w:rFonts w:ascii="Times New Roman;sans-serif" w:hAnsi="Times New Roman;sans-serif"/>
          <w:b w:val="false"/>
          <w:color w:val="000000"/>
          <w:sz w:val="20"/>
        </w:rPr>
        <w:t>Only holders of record of our Class A Common Stock at the close of business on April 24, 2024 (the “</w:t>
      </w:r>
      <w:r>
        <w:rPr>
          <w:rFonts w:ascii="Times New Roman;sans-serif" w:hAnsi="Times New Roman;sans-serif"/>
          <w:b w:val="false"/>
          <w:i/>
          <w:color w:val="000000"/>
          <w:sz w:val="20"/>
        </w:rPr>
        <w:t>Record Date</w:t>
      </w:r>
      <w:r>
        <w:rPr>
          <w:color w:val="000000"/>
        </w:rPr>
        <w:t>”</w:t>
      </w:r>
      <w:r>
        <w:rPr>
          <w:rFonts w:ascii="Times New Roman;sans-serif" w:hAnsi="Times New Roman;sans-serif"/>
          <w:b w:val="false"/>
          <w:color w:val="000000"/>
          <w:sz w:val="20"/>
        </w:rPr>
        <w:t>) will be entitled to vote at the Annual Meeting. At the close of business on the April 24, 2024, we had 26,150,866 shares of Class A Common Stock outstanding and entitled to vote. For ten days prior to the Annual Meeting, a complete list of the stockholders entitled to vote at the Annual Meeting will be available for examination by any stockholder for any purpose relating to the Annual Meeting during ordinary business hours at our headquarters, at 333 Ludlow Street, North Tower,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Stamford, Connecticut 06902.</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a majority of the voting power of the shares of our Class A Common Stock entitled to vote at the Annual Meeting as of the Record Date must be present at the Annual Meeting in order to hold the Annual Meeting and conduct business. This presence is called a quorum. Your shares are counted as present at the Annual Meeting if you are present and vote in person at the Annual Meeting (including through the virtual meeting platform) or if you have properly submitted a proxy.</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Voting Rights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deciding all matters at the Annual Meeting, as of the close of business on the Record Date, each share of Class A Common Stock represents one vote. We do not have cumulative voting rights for the election of directors. You may vote all shares owned by you as of the Record Date, including (i) shares held directly in your name as the stockholder of record and (ii) shares held for you as the beneficial owner in street name through a broker, bank, trustee, or other nominee.</w:t>
      </w:r>
    </w:p>
    <w:p>
      <w:pPr>
        <w:pStyle w:val="TextBody"/>
        <w:bidi w:val="0"/>
        <w:spacing w:lineRule="auto" w:line="288" w:before="0" w:after="180"/>
        <w:jc w:val="both"/>
        <w:rPr/>
      </w:pPr>
      <w:r>
        <w:rPr>
          <w:rFonts w:ascii="Times New Roman;sans-serif" w:hAnsi="Times New Roman;sans-serif"/>
          <w:b/>
          <w:i/>
          <w:color w:val="000000"/>
          <w:sz w:val="20"/>
        </w:rPr>
        <w:t>Stockholder of Record: Shares Registered in Your Name.</w:t>
      </w:r>
      <w:r>
        <w:rPr>
          <w:color w:val="000000"/>
        </w:rPr>
        <w:t> </w:t>
      </w:r>
      <w:r>
        <w:rPr>
          <w:rFonts w:ascii="Times New Roman;sans-serif" w:hAnsi="Times New Roman;sans-serif"/>
          <w:b w:val="false"/>
          <w:color w:val="000000"/>
          <w:sz w:val="20"/>
        </w:rPr>
        <w:t>If, on the Record Date, your shares were registered directly in your name with our transfer agent, Continental Stock Transfer &amp; Trust Company, then you are considered the stockholder of record with respect to those shares. As a stockholder of record, you may vote at the Annual Meeting or vote by telephone, through the Internet or, if you request or receive paper proxy materials, by filling out and returning the proxy card.</w:t>
      </w:r>
    </w:p>
    <w:p>
      <w:pPr>
        <w:pStyle w:val="TextBody"/>
        <w:bidi w:val="0"/>
        <w:spacing w:lineRule="auto" w:line="288" w:before="0" w:after="180"/>
        <w:jc w:val="both"/>
        <w:rPr/>
      </w:pPr>
      <w:r>
        <w:rPr>
          <w:rFonts w:ascii="Times New Roman;sans-serif" w:hAnsi="Times New Roman;sans-serif"/>
          <w:b/>
          <w:i/>
          <w:color w:val="000000"/>
          <w:sz w:val="20"/>
        </w:rPr>
        <w:t>Beneficial Owner: Shares Registered in the Name of a Broker or Nominee.</w:t>
      </w:r>
      <w:r>
        <w:rPr>
          <w:color w:val="000000"/>
        </w:rPr>
        <w:t> </w:t>
      </w:r>
      <w:r>
        <w:rPr>
          <w:rFonts w:ascii="Times New Roman;sans-serif" w:hAnsi="Times New Roman;sans-serif"/>
          <w:b w:val="false"/>
          <w:color w:val="000000"/>
          <w:sz w:val="20"/>
        </w:rPr>
        <w:t>If, on the Record Date, your shares were held in an account with a brokerage firm, bank or other nominee, then you are the beneficial owner of the shares held in “street name.” As a beneficial owner, you have the right to direct your nominee on how to vote the shares held in your account, and your nominee has enclosed or provided voting instructions for you to use in directing it on how to vote your shares. However, the organization that holds your shares is considered the stockholder of record for purposes of voting at the Annual Meeting. Because you are not the stockholder of record, you may not vote your shares at the Annual Meeting unless you request and obtain a valid proxy from the organization that holds your shares giving you the right to vote the shares at the Annual Meeting.</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Required Vote</w:t>
      </w:r>
    </w:p>
    <w:tbl>
      <w:tblPr>
        <w:tblW w:w="10205" w:type="dxa"/>
        <w:jc w:val="left"/>
        <w:tblInd w:w="0" w:type="dxa"/>
        <w:tblLayout w:type="fixed"/>
        <w:tblCellMar>
          <w:top w:w="28" w:type="dxa"/>
          <w:left w:w="28" w:type="dxa"/>
          <w:bottom w:w="28" w:type="dxa"/>
          <w:right w:w="28" w:type="dxa"/>
        </w:tblCellMar>
      </w:tblPr>
      <w:tblGrid>
        <w:gridCol w:w="340"/>
        <w:gridCol w:w="299"/>
        <w:gridCol w:w="300"/>
        <w:gridCol w:w="966"/>
        <w:gridCol w:w="740"/>
        <w:gridCol w:w="758"/>
        <w:gridCol w:w="1186"/>
        <w:gridCol w:w="1186"/>
        <w:gridCol w:w="1180"/>
        <w:gridCol w:w="378"/>
        <w:gridCol w:w="348"/>
        <w:gridCol w:w="318"/>
        <w:gridCol w:w="370"/>
        <w:gridCol w:w="370"/>
        <w:gridCol w:w="371"/>
        <w:gridCol w:w="318"/>
        <w:gridCol w:w="318"/>
        <w:gridCol w:w="459"/>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340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Proposal</w:t>
            </w:r>
          </w:p>
        </w:tc>
        <w:tc>
          <w:tcPr>
            <w:tcW w:w="35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 Required</w:t>
            </w:r>
          </w:p>
        </w:tc>
        <w:tc>
          <w:tcPr>
            <w:tcW w:w="1044"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r>
              <w:rPr>
                <w:rFonts w:ascii="Times New Roman;sans-serif" w:hAnsi="Times New Roman;sans-serif"/>
                <w:b/>
                <w:color w:val="000000"/>
                <w:sz w:val="20"/>
              </w:rPr>
              <w:t>Withhold”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Vote</w:t>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Broker</w:t>
              <w:br/>
              <w:t>Non-Votes</w:t>
            </w:r>
          </w:p>
        </w:tc>
      </w:tr>
      <w:tr>
        <w:trPr/>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Proposal No. 1</w:t>
            </w:r>
          </w:p>
        </w:tc>
        <w:tc>
          <w:tcPr>
            <w:tcW w:w="2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election of the Class III directors named in this proxy statement</w:t>
            </w:r>
          </w:p>
        </w:tc>
        <w:tc>
          <w:tcPr>
            <w:tcW w:w="3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Plurality of the votes cast. The three nominees receiving the most “FOR” votes will be elected. You may vote “FOR ALL NOMINEES”, “WITHHOLD AUTHORITY FOR ALL NOMINEES”, or vote “FOR ALL EXCEPT” one or more of the nominees you specify.</w:t>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 effect</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 Effect</w:t>
            </w:r>
          </w:p>
        </w:tc>
      </w:tr>
      <w:tr>
        <w:trPr/>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Proposal No. 2</w:t>
            </w:r>
          </w:p>
        </w:tc>
        <w:tc>
          <w:tcPr>
            <w:tcW w:w="2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ratification of the appointment of Ernst &amp; Young LLP as our independent registered public accounting firm for the fiscal year ending December 31, 2024</w:t>
            </w:r>
          </w:p>
        </w:tc>
        <w:tc>
          <w:tcPr>
            <w:tcW w:w="35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votes cast “FOR” the proposal at the exceeds the number of votes “AGAINST” the proposal.</w:t>
            </w:r>
          </w:p>
        </w:tc>
        <w:tc>
          <w:tcPr>
            <w:tcW w:w="1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Against</w:t>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r>
    </w:tbl>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Impact on the Vote of Broker Non-Votes, Abstentions and Withholding from Voting.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proxy submitted by a stockholder may indicate that the shares represented by the proxy are not being voted (stockholder withholding) with respect to a particular matter. Further, broker non-votes occur when shares held by a broker for a beneficial owner are not voted because the broker did not receive voting instructions from the beneficial owner and lacked discretionary authority to vote the shares.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shares subject to a proxy which are not being voted on a particular matter because of either stockholder withholding or broker non-votes will count for purposes of determining the presence of a quorum, but are not treated as votes cast and, therefore, will have no effect on the election of directors and the ratification of the appointment of our independent registered public accounting firm. However, brokers have limited discretionary authority to vote shares that are beneficially owned. While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At our Annual Meeting, only Proposal No. 2 is considered a routine matter and brokers have discretionary authority to vote shares that are beneficially owned on Proposal No. 2. If a broker chooses not to vote shares for or against Proposal No. 2, it would have the same effect as an abstention. The other proposal presented at the Annual Meeting, Proposal No.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1, is a non-routine matter and therefore broker non-votes are not deemed to be shares entitled to vote on and will have no effect on the proposal.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Abstentions will be counted as present and entitled to vote for purposes of determining whether a quorum is present. At the Annual Meeting, abstentions will have no effect on Proposal No. 1.</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Recommendations of Our Board on Each of the Proposals Scheduled to be Voted on at the Annual Meeting</w:t>
      </w:r>
    </w:p>
    <w:tbl>
      <w:tblPr>
        <w:tblW w:w="10205" w:type="dxa"/>
        <w:jc w:val="left"/>
        <w:tblInd w:w="0" w:type="dxa"/>
        <w:tblLayout w:type="fixed"/>
        <w:tblCellMar>
          <w:top w:w="28" w:type="dxa"/>
          <w:left w:w="28" w:type="dxa"/>
          <w:bottom w:w="28" w:type="dxa"/>
          <w:right w:w="28" w:type="dxa"/>
        </w:tblCellMar>
      </w:tblPr>
      <w:tblGrid>
        <w:gridCol w:w="409"/>
        <w:gridCol w:w="360"/>
        <w:gridCol w:w="361"/>
        <w:gridCol w:w="2443"/>
        <w:gridCol w:w="2319"/>
        <w:gridCol w:w="2374"/>
        <w:gridCol w:w="566"/>
        <w:gridCol w:w="566"/>
        <w:gridCol w:w="807"/>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826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Proposal</w:t>
            </w:r>
          </w:p>
        </w:tc>
        <w:tc>
          <w:tcPr>
            <w:tcW w:w="1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Board Recommendation</w:t>
            </w:r>
          </w:p>
        </w:tc>
      </w:tr>
      <w:tr>
        <w:trPr/>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Proposal No. 1</w:t>
            </w:r>
          </w:p>
        </w:tc>
        <w:tc>
          <w:tcPr>
            <w:tcW w:w="7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election of the Class III directors named in this proxy statement</w:t>
            </w:r>
          </w:p>
        </w:tc>
        <w:tc>
          <w:tcPr>
            <w:tcW w:w="1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all nominees</w:t>
            </w:r>
          </w:p>
        </w:tc>
      </w:tr>
      <w:tr>
        <w:trPr/>
        <w:tc>
          <w:tcPr>
            <w:tcW w:w="1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Proposal No. 2</w:t>
            </w:r>
          </w:p>
        </w:tc>
        <w:tc>
          <w:tcPr>
            <w:tcW w:w="71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ratification of the appointment of Ernst &amp; Young LLP as our independent registered public accounting firm for the fiscal year ending December 31, 2024</w:t>
            </w:r>
          </w:p>
        </w:tc>
        <w:tc>
          <w:tcPr>
            <w:tcW w:w="1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None of our non-employee directors have any substantial interest in any matter to be acted upon, except with respect to the directors so nominated. None of our executive officers have any substantial interest in any matter to be acted upon.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Voting Instructions; Voting of Proxies</w:t>
      </w:r>
    </w:p>
    <w:tbl>
      <w:tblPr>
        <w:tblW w:w="10205" w:type="dxa"/>
        <w:jc w:val="left"/>
        <w:tblInd w:w="0" w:type="dxa"/>
        <w:tblLayout w:type="fixed"/>
        <w:tblCellMar>
          <w:top w:w="28" w:type="dxa"/>
          <w:left w:w="28" w:type="dxa"/>
          <w:bottom w:w="28" w:type="dxa"/>
          <w:right w:w="28" w:type="dxa"/>
        </w:tblCellMar>
      </w:tblPr>
      <w:tblGrid>
        <w:gridCol w:w="798"/>
        <w:gridCol w:w="643"/>
        <w:gridCol w:w="647"/>
        <w:gridCol w:w="109"/>
        <w:gridCol w:w="109"/>
        <w:gridCol w:w="109"/>
        <w:gridCol w:w="1711"/>
        <w:gridCol w:w="1711"/>
        <w:gridCol w:w="1587"/>
        <w:gridCol w:w="109"/>
        <w:gridCol w:w="109"/>
        <w:gridCol w:w="109"/>
        <w:gridCol w:w="797"/>
        <w:gridCol w:w="756"/>
        <w:gridCol w:w="901"/>
      </w:tblGrid>
      <w:tr>
        <w:trPr/>
        <w:tc>
          <w:tcPr>
            <w:tcW w:w="79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 By Telephone or Internet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 By Mail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 in Person</w:t>
            </w:r>
          </w:p>
        </w:tc>
      </w:tr>
      <w:tr>
        <w:trPr/>
        <w:tc>
          <w:tcPr>
            <w:tcW w:w="2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You may vote by telephone or through the Internet—in order to do so, please follow the instructions shown on your proxy card.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received a paper copy of the proxy materials by mail, you may vote by mail by completing, signing and dating the enclosed proxy card and promptly return it in the envelope provided or, if the envelope is missing, please mail your completed proxy card to Vote Processing, c/o Broadridge Financial Solutions, Inc., 51 Mercedes Way, Edgewood, New York 11717. Your completed, signed, and dated proxy card must be received prior to the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You may attend the Annual Meeting in person (including through the virtual meeting platform) and vote during the meeting. See “Attending the Annual Meeting” above.</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Votes submitted by telephone or through the Internet must be received by 11:59 p.m. Eastern Time on June 19, 2024. Submitting your proxy, whether by telephone, through the Internet or, if you request or receive a paper proxy card, by mail will not affect your right to vote in person should you decide to attend the Annual Meeting. If you are not the stockholder of record, please refer to the voting instructions provided by your nominee to direct your nominee on how to vote your shares. Your vote is important. Whether or not you plan to attend the Annual Meeting, we urge you to vote by proxy to ensure that your vote is counted.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All proxies will be voted in accordance with the instructions specified on the proxy card. If you sign a physical proxy card and return it without instructions as to how your shares should be voted on a particular proposal at the Annual Meeting, your shares will be voted in accordance with the recommendations of our Board stated above.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broker non-votes will be counted for the purpose of establishing a quorum for the Annual Meeting.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you receive more than one proxy card, your shares are registered in more than one name or are registered in different accounts. To make certain all of your shares are voted, please follow the instructions included on each proxy card and vote each proxy card by telephone, through the Internet, or by mail. If you requested or received paper proxy materials and you intend to vote by mail, please complete, sign, and return each proxy card you received to ensure that all of your shares are voted.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strongly recommend that you vote your shares in advance of the meeting as instructed above, even if you plan to attend the Annual Meeting in person.</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Revocability of Proxies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stockholder of record who has given a proxy may revoke it at any time before it is exercised at the Annual Meeting by: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delivering to our Corporate Secretary by mail a written notice stating that the proxy is revoked;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signing and delivering a proxy bearing a later date;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voting again by telephone or through the Internet;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attending in person (including through the virtual meeting platform) and voting during the Annual Meeting (although attendance at the Annual Meeting will not, by itself, revoke a proxy).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Please note, however, that if your shares are held of record by a broker, bank, or other nominee and you wish to revoke a proxy, you must contact that firm to revoke any prior voting instructions.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Expenses of Soliciting Proxies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pay the expenses of soliciting proxies, including preparation, assembly, printing, and mailing of this proxy statement, the proxy, and any other information furnished to stockholders. Following the original distribution of the soliciting materials, we and our agents, including directors, officers, and other employees, without additional compensation, may solicit proxies by mail, email, telephone, facsimile, by other similar means, or in person. Following the original distribution of the soliciting materials, we will request brokers, custodians, nominees, and other record holders to forward copies of the soliciting materials to persons for whom they hold shares and to request authority for the exercise of proxies. In such cases, we, upon the request of the record holders, will reimburse such holders for their reasonable expenses. If you choose to access the proxy materials or vote through the Internet, you are responsible for any Internet access charges you may incur.</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Voting Results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Voting results will be tabulated and certified by the inspector of elections appointed for the Annual Meeting. The preliminary voting results will be announced at the Annual Meeting. The final results will be tallied by the inspector of elections and filed with the SEC in a current report on Form 8-K within four business days of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CORPORATE GOVERNANCE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strongly committed to good corporate governance practices. These practices provide an important framework within which our Board and management can pursue our strategic objectives for the benefit of our stockholders.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Corporate Governance Guidelines</w:t>
      </w:r>
    </w:p>
    <w:p>
      <w:pPr>
        <w:pStyle w:val="TextBody"/>
        <w:bidi w:val="0"/>
        <w:spacing w:lineRule="auto" w:line="288" w:before="0" w:after="180"/>
        <w:jc w:val="both"/>
        <w:rPr/>
      </w:pPr>
      <w:r>
        <w:rPr>
          <w:rFonts w:ascii="Times New Roman;sans-serif" w:hAnsi="Times New Roman;sans-serif"/>
          <w:b w:val="false"/>
          <w:color w:val="000000"/>
          <w:sz w:val="20"/>
        </w:rPr>
        <w:t xml:space="preserve">Our Board has adopted Corporate Governance Guidelines that set forth expectations for directors, director independence standards, board committee structure and functions, stock ownership guidelines, and other policies for the governance of the Company. Our Corporate Governance Guidelines are available without charge on the investor relations section of our website at </w:t>
      </w:r>
      <w:r>
        <w:rPr>
          <w:rFonts w:ascii="Times New Roman;sans-serif" w:hAnsi="Times New Roman;sans-serif"/>
          <w:b w:val="false"/>
          <w:i/>
          <w:color w:val="000000"/>
          <w:sz w:val="20"/>
          <w:u w:val="single"/>
        </w:rPr>
        <w:t>www.GeneDx.com</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Information contained on or accessible through such website is not a part of this proxy statement, and the inclusion of the website address in this proxy statement is an inactive textual reference only.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lineRule="auto" w:line="288" w:before="0" w:after="180"/>
        <w:jc w:val="both"/>
        <w:rPr/>
      </w:pPr>
      <w:r>
        <w:rPr>
          <w:rFonts w:ascii="Times New Roman;sans-serif" w:hAnsi="Times New Roman;sans-serif"/>
          <w:b w:val="false"/>
          <w:color w:val="000000"/>
          <w:sz w:val="20"/>
        </w:rPr>
        <w:t>Our Class A Common Stock is traded on the Nasdaq Global Select Market (“</w:t>
      </w:r>
      <w:r>
        <w:rPr>
          <w:rFonts w:ascii="Times New Roman;sans-serif" w:hAnsi="Times New Roman;sans-serif"/>
          <w:b w:val="false"/>
          <w:i/>
          <w:color w:val="000000"/>
          <w:sz w:val="20"/>
        </w:rPr>
        <w:t>Nasdaq</w:t>
      </w:r>
      <w:r>
        <w:rPr>
          <w:color w:val="000000"/>
        </w:rPr>
        <w:t>”</w:t>
      </w:r>
      <w:r>
        <w:rPr>
          <w:rFonts w:ascii="Times New Roman;sans-serif" w:hAnsi="Times New Roman;sans-serif"/>
          <w:b w:val="false"/>
          <w:color w:val="000000"/>
          <w:sz w:val="20"/>
        </w:rPr>
        <w:t>). The rules of Nasdaq require that a majority of the Company’s board of directors be independent. An “independent director” is defined generally as a person other than an executive officer or employee the Company or any other individual having a relationship which, in the opinion of the issuer’s board of directors, would interfere with the exercise of independent judgement in carrying out the responsibilities of a director. Our Board has determined that each individual currently serving on our board, other than Ms. Stueland and Mr. Ryan, qualifies as an independent director under Nasdaq listing standards.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Board of Directors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oversees our business affairs and works with our Chief Executive Officer and other senior management to determine our strategy and mission. In fulfilling its responsibilities, our Board is involved in strategic and operational planning, financial reporting, governance, compliance and risk oversight.</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Board Leadership Structure</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Corporate Governance Guidelines provide that our Board will be free to choose its chairperson in any way that it considers in the best interests of our Company at any giving point in time, and our Nominating and Corporate Governance Committee charter provides that the committee will periodically consider the leadership structure of our Board and make such recommendations to our Board with respect thereto as appropriate. Our Board currently believes that it should maintain flexibility in determining the Board leadership structure that is appropriate for the Company at a given time.</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Currently, our leadership structure separates the roles of Chairman of the Board and Chief Executive Officer, with Ms. Stueland serving as our Chief Executive Officer and Mr. Ryan serving as the Chairman of the Board. Our Board believes that separating these roles provides the appropriate balance between strategy development, flow of information between management and the Board, and oversight of management. We believe this provides guidance for our Board, while also positioning our Chief Executive Officer as the leader of the Company in the eyes of our partners, customers, employees, and other stakeholders. As Chairman, Mr. Ryan, among other responsibilities, presides over regularly scheduled meetings of the Board, serves as a liaison between the directors, and performs such additional duties as our Board may otherwise determine and delegate. Our Board recognizes the time, effort, and energy that Ms. Stueland is required to devote to her position as our Chief Executive Officer in the current business environment, as well as the commitment required for a person to serve as our Chairman, particularly as the Board’s oversight responsibilities continue to grow. By having Mr. Ryan serve as Chairman of the Board, Ms. Stueland is better able to focus her attention on running our Company. </w:t>
      </w:r>
    </w:p>
    <w:p>
      <w:pPr>
        <w:pStyle w:val="TextBody"/>
        <w:bidi w:val="0"/>
        <w:spacing w:lineRule="auto" w:line="288" w:before="0" w:after="18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The Board’s Role in Risk Oversight</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our management is primarily responsible for managing our risk exposure on a daily basis, our Board oversees the risk management processes. Our Board, as a whole, determines the appropriate level of risk for our Company, assesses the specific risks that we face, and reviews management’s strategies for adequately mitigating and managing the identified risks. Although our Board administers this risk management oversight function, our Audit Committee supports our Board in discharging its oversight duties and addresses risks inherent in its area, including with respect to risk management in the areas of internal control over financial reporting and disclosure controls and procedures. Our Compensation Committee assists our Board in assessing and mitigating any risks that may be created by our compensation plans, practices and policies. Our Nominating and Corporate Governance Committee is charged with assisting our Board in fulfilling its oversight responsibilities with respect to the management of risk associated with Board membership and corporate governance.</w:t>
      </w:r>
    </w:p>
    <w:p>
      <w:pPr>
        <w:pStyle w:val="TextBody"/>
        <w:bidi w:val="0"/>
        <w:spacing w:lineRule="auto" w:line="288" w:before="0" w:after="18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Hedging Policy</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insider trading policy prohibits GeneDx employees, officers and directors from engaging in hedging or monetization transactions involving GeneDx securities, including, among other things, zero-cost collars and forward sale contracts or the contribution of GeneDx securities to exchange funds that could be interpreted as having the effect of hedging in GeneDx securities. Additionally, our insider trading policy prohibits GeneDx employees, officers and directors from engaging in transactions involving options or other derivative securities on GeneDx’s securities, such as puts and calls, whether on an exchange or in any other market, engaging in short sales of GeneDx’s securities, including short sales “against the box,” and using or pledging GeneDx securities as collateral in a margin account or as collateral for a loan.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Clawback Policy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SEC and Nasdaq requirements, the Compensation Committee (as defined below) adopted an executive compensation recovery policy regarding the adjustment or recovery of certain incentive awards or payments made to current or former executive officers in the event that we are required to prepare an accounting restatement due to material noncompliance with any financial reporting requirement under the securities laws. In general, the policy provides that, unless an exception applies, we will seek to recover compensation that is awarded to an executive officer based on the Company’s attainment of a financial metric during the three-year period prior to the fiscal year in which the restatement occurs, to the extent such compensation exceeds the amount that would have been awarded based on the restated financial results.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Committees of the Board of Directors</w:t>
      </w:r>
    </w:p>
    <w:p>
      <w:pPr>
        <w:pStyle w:val="TextBody"/>
        <w:bidi w:val="0"/>
        <w:spacing w:lineRule="auto" w:line="288" w:before="0" w:after="180"/>
        <w:jc w:val="both"/>
        <w:rPr/>
      </w:pPr>
      <w:r>
        <w:rPr>
          <w:rFonts w:ascii="Times New Roman;sans-serif" w:hAnsi="Times New Roman;sans-serif"/>
          <w:b w:val="false"/>
          <w:color w:val="000000"/>
          <w:sz w:val="20"/>
        </w:rPr>
        <w:t>Our Board has the authority to appoint standing and special committees to perform certain management and administration functions. Our Board has established a standing Audit Committee (the “</w:t>
      </w:r>
      <w:r>
        <w:rPr>
          <w:rFonts w:ascii="Times New Roman;sans-serif" w:hAnsi="Times New Roman;sans-serif"/>
          <w:b w:val="false"/>
          <w:i/>
          <w:color w:val="000000"/>
          <w:sz w:val="20"/>
        </w:rPr>
        <w:t>Audit Committee</w:t>
      </w:r>
      <w:r>
        <w:rPr>
          <w:color w:val="000000"/>
        </w:rPr>
        <w:t>”</w:t>
      </w:r>
      <w:r>
        <w:rPr>
          <w:rFonts w:ascii="Times New Roman;sans-serif" w:hAnsi="Times New Roman;sans-serif"/>
          <w:b w:val="false"/>
          <w:color w:val="000000"/>
          <w:sz w:val="20"/>
        </w:rPr>
        <w:t>), a standing Compensation Committee (the “</w:t>
      </w:r>
      <w:r>
        <w:rPr>
          <w:rFonts w:ascii="Times New Roman;sans-serif" w:hAnsi="Times New Roman;sans-serif"/>
          <w:b w:val="false"/>
          <w:i/>
          <w:color w:val="000000"/>
          <w:sz w:val="20"/>
        </w:rPr>
        <w:t>Compensation Committee</w:t>
      </w:r>
      <w:r>
        <w:rPr>
          <w:color w:val="000000"/>
        </w:rPr>
        <w:t>”</w:t>
      </w:r>
      <w:r>
        <w:rPr>
          <w:rFonts w:ascii="Times New Roman;sans-serif" w:hAnsi="Times New Roman;sans-serif"/>
          <w:b w:val="false"/>
          <w:color w:val="000000"/>
          <w:sz w:val="20"/>
        </w:rPr>
        <w:t>), and a standing Nominating and Corporate Governance Committee (the “</w:t>
      </w:r>
      <w:r>
        <w:rPr>
          <w:rFonts w:ascii="Times New Roman;sans-serif" w:hAnsi="Times New Roman;sans-serif"/>
          <w:b w:val="false"/>
          <w:i/>
          <w:color w:val="000000"/>
          <w:sz w:val="20"/>
        </w:rPr>
        <w:t>Nominating and Governance Committee</w:t>
      </w:r>
      <w:r>
        <w:rPr>
          <w:color w:val="000000"/>
        </w:rPr>
        <w:t>”</w:t>
      </w:r>
      <w:r>
        <w:rPr>
          <w:rFonts w:ascii="Times New Roman;sans-serif" w:hAnsi="Times New Roman;sans-serif"/>
          <w:b w:val="false"/>
          <w:color w:val="000000"/>
          <w:sz w:val="20"/>
        </w:rPr>
        <w:t xml:space="preserve">). The composition and responsibilities of each committee are described below. Members serve on these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80"/>
        <w:jc w:val="both"/>
        <w:rPr/>
      </w:pPr>
      <w:r>
        <w:rPr>
          <w:rFonts w:ascii="Times New Roman;sans-serif" w:hAnsi="Times New Roman;sans-serif"/>
          <w:b w:val="false"/>
          <w:color w:val="000000"/>
          <w:sz w:val="20"/>
        </w:rPr>
        <w:t xml:space="preserve">committees until their resignation or until otherwise determined by the Board. The charters for each of these committees are available on our website at </w:t>
      </w:r>
      <w:r>
        <w:rPr>
          <w:rFonts w:ascii="Times New Roman;sans-serif" w:hAnsi="Times New Roman;sans-serif"/>
          <w:b w:val="false"/>
          <w:i/>
          <w:color w:val="000000"/>
          <w:sz w:val="20"/>
          <w:u w:val="single"/>
        </w:rPr>
        <w:t>www.GeneDx.com</w:t>
      </w:r>
      <w:r>
        <w:rPr>
          <w:rFonts w:ascii="Times New Roman;sans-serif" w:hAnsi="Times New Roman;sans-serif"/>
          <w:b w:val="false"/>
          <w:color w:val="000000"/>
          <w:sz w:val="20"/>
        </w:rPr>
        <w:t>. Information contained on or accessible through our website is not a part of this proxy statement, and the inclusion of such website address in this proxy statement is an inactive textual reference only.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Composition of Committees on the Board of Directors</w:t>
      </w:r>
    </w:p>
    <w:tbl>
      <w:tblPr>
        <w:tblW w:w="10205" w:type="dxa"/>
        <w:jc w:val="left"/>
        <w:tblInd w:w="0" w:type="dxa"/>
        <w:tblLayout w:type="fixed"/>
        <w:tblCellMar>
          <w:top w:w="28" w:type="dxa"/>
          <w:left w:w="28" w:type="dxa"/>
          <w:bottom w:w="28" w:type="dxa"/>
          <w:right w:w="28" w:type="dxa"/>
        </w:tblCellMar>
      </w:tblPr>
      <w:tblGrid>
        <w:gridCol w:w="580"/>
        <w:gridCol w:w="509"/>
        <w:gridCol w:w="510"/>
        <w:gridCol w:w="109"/>
        <w:gridCol w:w="109"/>
        <w:gridCol w:w="109"/>
        <w:gridCol w:w="559"/>
        <w:gridCol w:w="559"/>
        <w:gridCol w:w="561"/>
        <w:gridCol w:w="109"/>
        <w:gridCol w:w="109"/>
        <w:gridCol w:w="109"/>
        <w:gridCol w:w="772"/>
        <w:gridCol w:w="772"/>
        <w:gridCol w:w="773"/>
        <w:gridCol w:w="109"/>
        <w:gridCol w:w="109"/>
        <w:gridCol w:w="109"/>
        <w:gridCol w:w="1060"/>
        <w:gridCol w:w="1060"/>
        <w:gridCol w:w="1509"/>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r>
      <w:tr>
        <w:trPr/>
        <w:tc>
          <w:tcPr>
            <w:tcW w:w="1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AUDIT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NOMINATING AND CORPORATE GOVERNANCE COMMITTEE</w:t>
            </w:r>
          </w:p>
        </w:tc>
      </w:tr>
      <w:tr>
        <w:trPr/>
        <w:tc>
          <w:tcPr>
            <w:tcW w:w="159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 Casdin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Meister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Emily Leproust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w:t>
            </w:r>
          </w:p>
        </w:tc>
      </w:tr>
      <w:tr>
        <w:trPr/>
        <w:tc>
          <w:tcPr>
            <w:tcW w:w="1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C. Pfenniger,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Joshua Ruch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Committee is comprised of Messrs. Meister and Pfenniger, and Ms. Leproust, with Mr. Meister as the chairman of the Audit Committee. The Board has determined that the composition of our Audit Committee meets the requirements for independence under the current Nasdaq and SEC rules and regulations, and that each member of the Audit Committee is financially literate. </w:t>
      </w:r>
    </w:p>
    <w:p>
      <w:pPr>
        <w:pStyle w:val="TextBody"/>
        <w:bidi w:val="0"/>
        <w:spacing w:lineRule="auto" w:line="288" w:before="0" w:after="180"/>
        <w:jc w:val="both"/>
        <w:rPr/>
      </w:pPr>
      <w:r>
        <w:rPr>
          <w:rFonts w:ascii="Times New Roman;sans-serif" w:hAnsi="Times New Roman;sans-serif"/>
          <w:b w:val="false"/>
          <w:color w:val="000000"/>
          <w:sz w:val="20"/>
        </w:rPr>
        <w:t>In making the determination regarding independence, our Board considered the relationships that each member of our Audit Committee has with the Company and all other facts and circumstances our Board deemed relevant in determining their independence, including the beneficial ownership of our capital stock by each member of our Audit Committee and the nature of his or her service to the Company. In particular, our Board has determined that, although Mr. Meister falls outside the safe harbor provisions of Rule 10A-3(e)(1)(ii)(A) under the Securities Exchange Act of 1934, as amended (“</w:t>
      </w:r>
      <w:r>
        <w:rPr>
          <w:rFonts w:ascii="Times New Roman;sans-serif" w:hAnsi="Times New Roman;sans-serif"/>
          <w:b w:val="false"/>
          <w:i/>
          <w:color w:val="000000"/>
          <w:sz w:val="20"/>
        </w:rPr>
        <w:t>Exchange Act</w:t>
      </w:r>
      <w:r>
        <w:rPr>
          <w:color w:val="000000"/>
        </w:rPr>
        <w:t>”</w:t>
      </w:r>
      <w:r>
        <w:rPr>
          <w:rFonts w:ascii="Times New Roman;sans-serif" w:hAnsi="Times New Roman;sans-serif"/>
          <w:b w:val="false"/>
          <w:color w:val="000000"/>
          <w:sz w:val="20"/>
        </w:rPr>
        <w:t>), Mr. Meister nevertheless meets the independence requirements contemplated by Rule 10A-3 under the Exchange Act. The safe harbor provisions of Rule 10A-3(e)(1)(ii)(A) exempt holders of 10% or less of any class of voting securities of an issuer from being deemed to be in control of, or an affiliate of, that issuer. As of April 15, 2024, Mr. Meister indirectly beneficially owned approximately 9.4% of our outstanding Class A Common Stock (which includes certain shares of Common Class A Common Stock issuable upon the exercise of certain private placement warrants). See “Security Ownership of Certain Beneficial Ownership and Management.” The existence of the safe harbor set forth in Rule 10A-3(e)(1)(ii)(A), however, does not create a presumption in any way that a person exceeding the 10% threshold controls or is otherwise an affiliate of an issuer, and our Board, after considering, among other factors, Mr. Meister’s direct ownership in our outstanding Class A Common Stock, his indirect beneficial ownership of our outstanding Class A Common Stock relative to other significant stockholders, the exercise price and the likelihood of the exercise of the private placement warrants, and his service to us solely in the capacity as a director, has determined that Mr. Meister satisfies the audit committee membership requirements established by the SEC and under the Nasdaq rules.</w:t>
      </w:r>
    </w:p>
    <w:p>
      <w:pPr>
        <w:pStyle w:val="TextBody"/>
        <w:bidi w:val="0"/>
        <w:spacing w:lineRule="auto" w:line="288" w:before="0" w:after="180"/>
        <w:jc w:val="both"/>
        <w:rPr/>
      </w:pPr>
      <w:r>
        <w:rPr>
          <w:rFonts w:ascii="Times New Roman;sans-serif" w:hAnsi="Times New Roman;sans-serif"/>
          <w:b w:val="false"/>
          <w:color w:val="000000"/>
          <w:sz w:val="20"/>
        </w:rPr>
        <w:t>In addition, the Board has determined that Mr. Meister is an “audit committee financial expert” as defined in Item 407(d)(5)(ii) of Regulation S-K promulgated under the Securities Act of 1933, as amended (the “</w:t>
      </w:r>
      <w:r>
        <w:rPr>
          <w:rFonts w:ascii="Times New Roman;sans-serif" w:hAnsi="Times New Roman;sans-serif"/>
          <w:b w:val="false"/>
          <w:i/>
          <w:color w:val="000000"/>
          <w:sz w:val="20"/>
        </w:rPr>
        <w:t>Securities Act</w:t>
      </w:r>
      <w:r>
        <w:rPr>
          <w:color w:val="000000"/>
        </w:rPr>
        <w:t>”</w:t>
      </w:r>
      <w:r>
        <w:rPr>
          <w:rFonts w:ascii="Times New Roman;sans-serif" w:hAnsi="Times New Roman;sans-serif"/>
          <w:b w:val="false"/>
          <w:color w:val="000000"/>
          <w:sz w:val="20"/>
        </w:rPr>
        <w:t>). This designation does not impose on him any duties, obligations or liabilities that are greater than are generally imposed on members of our Audit Committee and our Board. Our Audit Committee is directly responsible for, among other things: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reviewing and discussing with management and the independent auditors our quarterly and annual financial results and earnings releases, our annual audited and quarterly unaudited financial statements and annual and quarterly reports on Form 10-K and 10-Q and recommend to the Board whether the annual financial statements should be included in our Annual Reports on Form 10-K;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selecting and hiring the independent registered public accounting firm;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monitoring the qualifications, independence and performance of our independent auditors;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preparation of the Audit Committee report to be included in the proxy statement for our annual meeting;</w:t>
      </w:r>
    </w:p>
    <w:p>
      <w:pPr>
        <w:pStyle w:val="TextBody"/>
        <w:bidi w:val="0"/>
        <w:spacing w:lineRule="auto" w:line="288"/>
        <w:ind w:left="0" w:right="0" w:hanging="360"/>
        <w:jc w:val="both"/>
        <w:rPr/>
      </w:pPr>
      <w:r>
        <w:rPr>
          <w:color w:val="000000"/>
        </w:rPr>
        <w:t>•</w:t>
      </w:r>
      <w:r>
        <w:rPr>
          <w:rFonts w:ascii="Times New Roman;sans-serif" w:hAnsi="Times New Roman;sans-serif"/>
          <w:b w:val="false"/>
          <w:color w:val="000000"/>
          <w:sz w:val="20"/>
        </w:rPr>
        <w:t>our compliance with legal and regulatory requirements;</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overseeing our accounting and financial reporting processes, including our financial statement audits and the integrity of our financial statements;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reviewing and approving related-person transactions;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overseeing our financial risks, enterprise exposures, cybersecurity risks and other risks as it deems necessary or appropriate.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is comprised of Messrs. Casdin and Ruch and Ms. Leproust, with Mr. Ruch as the chairman of our Compensation Committee. The Board has determined that each member of our Compensation Committee is a non-employee director, as defined by Rule 16b-3 promulgated under the Exchange Act, and meets the requirements for independence under the current Nasdaq listing standards and SEC rules and regulations. Our Compensation Committee is responsible for, among other things: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recommending, approving and reviewing executive officer compensation arrangements, plans, policies and programs;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and recommending non-employee director compensation arrangements for determination by our Board;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administering our cash-based and equity-based compensation plans;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overseeing our compliance with regulatory requirements associated with the compensation of directors, officers and employees.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may retain compensation advisors and other compensation consultants.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Role of Compensation Consultant</w:t>
      </w:r>
    </w:p>
    <w:p>
      <w:pPr>
        <w:pStyle w:val="TextBody"/>
        <w:bidi w:val="0"/>
        <w:spacing w:lineRule="auto" w:line="288" w:before="0" w:after="180"/>
        <w:jc w:val="both"/>
        <w:rPr/>
      </w:pPr>
      <w:r>
        <w:rPr>
          <w:rFonts w:ascii="Times New Roman;sans-serif" w:hAnsi="Times New Roman;sans-serif"/>
          <w:b w:val="false"/>
          <w:color w:val="000000"/>
          <w:sz w:val="20"/>
        </w:rPr>
        <w:t>The Compensation Committee has the authority to retain the services and obtain the advice of external advisors, including compensation consultants, legal counsel and other advisors to assist in the evaluation of executive officer compensation. The Compensation Committee has engaged Radford Data &amp; Analytics of Aon, our independent compensation consultant (“</w:t>
      </w:r>
      <w:r>
        <w:rPr>
          <w:rFonts w:ascii="Times New Roman;sans-serif" w:hAnsi="Times New Roman;sans-serif"/>
          <w:b w:val="false"/>
          <w:i/>
          <w:color w:val="000000"/>
          <w:sz w:val="20"/>
        </w:rPr>
        <w:t>Radford</w:t>
      </w:r>
      <w:r>
        <w:rPr>
          <w:color w:val="000000"/>
        </w:rPr>
        <w:t>”</w:t>
      </w:r>
      <w:r>
        <w:rPr>
          <w:rFonts w:ascii="Times New Roman;sans-serif" w:hAnsi="Times New Roman;sans-serif"/>
          <w:b w:val="false"/>
          <w:color w:val="000000"/>
          <w:sz w:val="20"/>
        </w:rPr>
        <w:t>), to conduct an executive compensation market analysis and review of our short-term cash and long-term equity incentive practices to help ensure they align with market practices. Radford reviewed and advised on all principal aspects of our executive compensation program,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Assisting in developing a peer group of publicly traded companies to be used to help assess the competitiveness of executive compensation;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Assisting in ensuring a competitive compensation framework;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Meeting regularly with the Compensation Committee to review all elements of executive compensation, including the competitiveness of our executive compensation program;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Assisting in the competitive assessment of the short-term cash and long-term equity incentive plans designs;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Assisting in the risk assessment of our compensation program.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Outside of its services to the Compensation Committee, Radford provides certain other miscellaneous services to us, including those related to provision of surveys. The Compensation Committee evaluated the independence of Radford and determined that it is independent. The Compensation Committee also determined that Radford’s work for the Company in 2023 did not raise any conflicts of interest.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Role of Compensation Committee and Executive Officers in Compensation Decisions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works in close collaboration with the full Board on executive compensation matters. Following the adoption of our Compensation Committee charter, our Compensation Committee has adopted a practice of informing and consulting with the full Board concerning the establishment of performance goals and objectives for our Chief Executive Officer, evaluating our Chief Executive Officer’s performance in light of the goals and objectives that were set, and determining the Chief Executive Officer’s compensation based on that evaluation. Our Chief Executive Officer serves on our Board but recuses herself from any deliberations about her compensation. For fiscal year 2023, Katherine Stueland, our current Chief Executive Officer, prepared an analysis for the Compensation Committee to recommend each element of compensation to be paid to all executive officers except for themselves. The Compensation Committee considered their recommendations, along with an analysis from Radford, in approving the compensation of our executive officers other than Chief Executive Officer.</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Nominating and Corporate Governance Committee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Nominating and Governance Committee is comprised of Messrs. Ruch and Casdin and Ms. Leproust, with Ms. Leproust as the chairperson of our Nominating and Governance Committee. The Board has determined that each member of our Nominating and Governance Committee meets the requirements for independence under the current Nasdaq listing standards. Our Nominating and Governance Committee is responsible for, among other things: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identifying, considering and recommending candidates for membership on our Board;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overseeing the process of evaluating the performance of our Board;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advising our Board on other corporate governance matters.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Stock Ownership Guidelines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will periodically assess the appropriateness of stock ownership guidelines for directors and executive officers, including whether and to what extent directors and executive officers should be restricted from selling stock acquired through equity compensation.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Board and Committee Meetings and Attendance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Board and its committees meet throughout the year on a pre-determined schedule and also hold special meetings and act by written consent from time to time. Typically, in conjunction with the regularly scheduled meetings of the Board, the independent directors meet in executive sessions outside the presence of management.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Board met five times (including telephonic meetings) and took action by unanimous written consent six times. During 2023, our Audit Committee met four times, our Compensation Committee met four time and took action by unanimous written consent five times, and our Nominating and Governance Committee met one time. Each director attended at least 75% of the meetings held by the Board and by each committee on which he or she served while he or she was a director during the year.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acknowledge the value of having directors with significant experience in other businesses and activities. Effective service requires substantial commitment, but we recognize that the demands of other business activities vary substantially; therefore, we do not consider it necessary to impose specific limits on such activities so long as directors are sufficiently attentive and available to fulfill their duties and so long as directors comply at all times with our conflict of interests policies.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Director Attendance at Annual Meetings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do not have a formal policy regarding attendance by members of the Board at each annual meeting of stockholders, we encourage all of our directors to attend in person, or virtually, depending on the meeting format. In fiscal year 2023, two of the directors serving at the time of last year’s annual meeting attended that meeting.</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Board Diversity Matrix</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gender and ethnic diversity of our directors in accordance with the requirements of, and in the format prescribed by, Nasdaq Rule 5606. Each of the categories listed in the table below has the meaning set forth in Nasdaq Rule 5605(f).</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Board Diversity Matrix (as of April 15, 2024)</w:t>
      </w:r>
    </w:p>
    <w:tbl>
      <w:tblPr>
        <w:tblW w:w="8914" w:type="dxa"/>
        <w:jc w:val="left"/>
        <w:tblInd w:w="0" w:type="dxa"/>
        <w:tblLayout w:type="fixed"/>
        <w:tblCellMar>
          <w:top w:w="28" w:type="dxa"/>
          <w:left w:w="28" w:type="dxa"/>
          <w:bottom w:w="28" w:type="dxa"/>
          <w:right w:w="28" w:type="dxa"/>
        </w:tblCellMar>
      </w:tblPr>
      <w:tblGrid>
        <w:gridCol w:w="1337"/>
        <w:gridCol w:w="1172"/>
        <w:gridCol w:w="1180"/>
        <w:gridCol w:w="109"/>
        <w:gridCol w:w="109"/>
        <w:gridCol w:w="109"/>
        <w:gridCol w:w="245"/>
        <w:gridCol w:w="245"/>
        <w:gridCol w:w="246"/>
        <w:gridCol w:w="109"/>
        <w:gridCol w:w="109"/>
        <w:gridCol w:w="109"/>
        <w:gridCol w:w="180"/>
        <w:gridCol w:w="180"/>
        <w:gridCol w:w="181"/>
        <w:gridCol w:w="109"/>
        <w:gridCol w:w="109"/>
        <w:gridCol w:w="109"/>
        <w:gridCol w:w="370"/>
        <w:gridCol w:w="370"/>
        <w:gridCol w:w="371"/>
        <w:gridCol w:w="109"/>
        <w:gridCol w:w="109"/>
        <w:gridCol w:w="109"/>
        <w:gridCol w:w="447"/>
        <w:gridCol w:w="447"/>
        <w:gridCol w:w="635"/>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Number of Directors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98" w:type="dxa"/>
            <w:gridSpan w:val="21"/>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8914" w:type="dxa"/>
            <w:gridSpan w:val="2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 Gender Identity</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Female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Non-Binary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Did Not Disclose</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8914" w:type="dxa"/>
            <w:gridSpan w:val="27"/>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II: Demographic Background</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African American or Black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Alaskan Native or Native American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Hispanic or Latinx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Native Hawaiian or Pacific Islander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Two or More Races or Ethnicities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LGBTQ+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8"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Did Not Disclose Demographic Background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8"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bidi w:val="0"/>
        <w:spacing w:lineRule="auto" w:line="288" w:before="0" w:after="180"/>
        <w:jc w:val="both"/>
        <w:rPr/>
      </w:pPr>
      <w:r>
        <w:rPr>
          <w:rFonts w:ascii="Times New Roman;sans-serif" w:hAnsi="Times New Roman;sans-serif"/>
          <w:b w:val="false"/>
          <w:color w:val="000000"/>
          <w:sz w:val="20"/>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Times New Roman;sans-serif" w:hAnsi="Times New Roman;sans-serif"/>
          <w:b w:val="false"/>
          <w:i/>
          <w:color w:val="000000"/>
          <w:sz w:val="20"/>
          <w:u w:val="single"/>
        </w:rPr>
        <w:t>www.GeneDx.com</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Information contained on or accessible through such website is not a part of this proxy statement, and the inclusion of the website address in this proxy statement is an inactive textual reference only. We intend to disclose any amendments to the Code of Business Conduct and Ethics, or any waivers of its requirements, on its website to the extent required by the applicable rules and exchange requirements.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Stockholder Communications with the Board of Directors</w:t>
      </w:r>
    </w:p>
    <w:p>
      <w:pPr>
        <w:pStyle w:val="TextBody"/>
        <w:bidi w:val="0"/>
        <w:spacing w:lineRule="auto" w:line="288" w:before="0" w:after="180"/>
        <w:jc w:val="both"/>
        <w:rPr/>
      </w:pPr>
      <w:r>
        <w:rPr>
          <w:rFonts w:ascii="Times New Roman;sans-serif" w:hAnsi="Times New Roman;sans-serif"/>
          <w:b w:val="false"/>
          <w:color w:val="000000"/>
          <w:sz w:val="20"/>
        </w:rPr>
        <w:t>Should stockholders wish to communicate with the Board or any specified individual directors, such correspondence should be sent to the attention of the Corporate Secretary, at GeneDx Holdings Corp., 333 Ludlow Street, North Tower,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Stamford, Connecticut 06902. The Corporate Secretary will review such correspondence and forward the communication to the Board members, unless the communication contains advertisements or solicitations or is abusive, threatening or similarly inappropriate.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Considerations in Evaluating Director Nominees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Governance Committee is responsible for identifying, considering and recommending candidates to the Board for Board membership. A variety of methods are used to identify and evaluate director nominees, with the goal of maintaining and further developing a diverse, experienced and highly qualified Board. Candidates may come to our attention through current members of our Board, professional search firms, stockholders or other persons.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encourages the selection of directors who will contribute to the Company’s overall corporate goals. The Nominating and Governance Committee may from time to time review and recommend to the Board the desired qualifications, expertise and characteristics of directors, including such factors as independence, diversity, geography, financial skills and other expertise, breadth of experience, knowledge about our business and industry, willingness and ability to devote adequate time and effort to our Board, ability to contribute to our Board’s overall effectiveness, and the needs of our Board and its committees. In evaluating potential candidates for the Board, the Nominating and Governance Committee considers these factors in the light of the specific needs of the Board of Directors at that time. We value diversity on a company-wide basis but have not adopted a specific policy regarding Board diversity.</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Stockholder Recommendations for Nominations to the Board of Directors</w:t>
      </w:r>
    </w:p>
    <w:p>
      <w:pPr>
        <w:pStyle w:val="TextBody"/>
        <w:bidi w:val="0"/>
        <w:spacing w:lineRule="auto" w:line="288" w:before="0" w:after="180"/>
        <w:jc w:val="both"/>
        <w:rPr/>
      </w:pPr>
      <w:r>
        <w:rPr>
          <w:rFonts w:ascii="Times New Roman;sans-serif" w:hAnsi="Times New Roman;sans-serif"/>
          <w:b w:val="false"/>
          <w:color w:val="000000"/>
          <w:sz w:val="20"/>
        </w:rPr>
        <w:t>The Nominating and Governance Committee will consider properly submitted stockholder recommendations for candidates for our Board who meet the minimum qualifications as described above. The Nominating and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by complying with the procedures in Article I, Section 1.12.1 of our Amended and Restated Bylaws (as amended, the “</w:t>
      </w:r>
      <w:r>
        <w:rPr>
          <w:rFonts w:ascii="Times New Roman;sans-serif" w:hAnsi="Times New Roman;sans-serif"/>
          <w:b w:val="false"/>
          <w:i/>
          <w:color w:val="000000"/>
          <w:sz w:val="20"/>
        </w:rPr>
        <w:t>Bylaws</w:t>
      </w:r>
      <w:r>
        <w:rPr>
          <w:color w:val="000000"/>
        </w:rPr>
        <w:t>”</w:t>
      </w:r>
      <w:r>
        <w:rPr>
          <w:rFonts w:ascii="Times New Roman;sans-serif" w:hAnsi="Times New Roman;sans-serif"/>
          <w:b w:val="false"/>
          <w:color w:val="000000"/>
          <w:sz w:val="20"/>
        </w:rPr>
        <w:t>). Any eligible stockholder who wishes to submit a nomination should review the requirements in the Bylaws on nominations by stockholders. Any nomination should be sent in writing to our Corporate Secretary, at GeneDx Holdings Corp., 333 Ludlow Street, North Tower,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Stamford, Connecticut 06902. Submissions must include the full name of the proposed nominee, age, business and residential address, the principal occupation or employment of such nominee, other information regarding the nominee and proposing stockholder as specified in the Bylaws, and certain representations regarding the nomination. Any such submission must be accompanied by the written consent of the proposed nominee to be named as a nominee and to serve as a director if elected. If any materials are provided by a stockholder in connection with the recommendation of a director candidate, such materials are forwarded to the Nominating and Governance Committee.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regarding the process for properly submitting stockholder nominations for candidates for membership on our Board is set forth below under the section titled “Future Stockholder Proposals.” In addition to satisfying the foregoing requirements under the Bylaws, to comply with universal proxy rules, stockholders who intend to solicit proxies in support of director nominees other than the Company’s nominees for the 2024 annual meeting of stockholders must provide notice that sets forth the information required by Rule 14a-19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PROPOSAL NO. 1 - THE CLASS III DIRECTOR ELECTION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is divided into three classes. Each class serves for three years, with the terms of office of the respective classes expiring in successive years. Directors and director nominees in Class III will stand for election at this meeting. The terms of office of directors in Class I and Class II do not expire until the annual meetings of stockholders to be held in 2025 and 2026, respectively.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director will be elected by a plurality of the votes present online at the Annual Meeting or represented by proxy at the Annual Meeting and entitled to vote on the election of directors. This means that the three individuals nominated for election to the Board of Directors at the Annual Meeting receiving the highest number of “FOR” votes will be elected. You may either vote “FOR” any of the nominees or “WITHHOLD” your vote with respect to any of the nominees. Shares represented by proxies will be voted “FOR” the election of each of the Class III nominees, unless the proxy is marked to withhold authority to so vote. You may not cumulate votes in the election of directors. If any nominee for any reason is unable to serve, the proxies may be voted for such substitute nominee as the proxy holders, who are officers of our company, might determine. Each nominee has consented to being named in this proxy statement and to serve if elected. Proxies may not be voted for more than two directors.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Nominees to the Board of Directors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nominees and their ages as of April 15, 2024 are provided in the table below. Additional biographical information for each nominee is set forth in the text below the table. </w:t>
      </w:r>
    </w:p>
    <w:tbl>
      <w:tblPr>
        <w:tblW w:w="4300" w:type="dxa"/>
        <w:jc w:val="left"/>
        <w:tblInd w:w="0" w:type="dxa"/>
        <w:tblLayout w:type="fixed"/>
        <w:tblCellMar>
          <w:top w:w="28" w:type="dxa"/>
          <w:left w:w="28" w:type="dxa"/>
          <w:bottom w:w="28" w:type="dxa"/>
          <w:right w:w="28" w:type="dxa"/>
        </w:tblCellMar>
      </w:tblPr>
      <w:tblGrid>
        <w:gridCol w:w="867"/>
        <w:gridCol w:w="761"/>
        <w:gridCol w:w="772"/>
        <w:gridCol w:w="109"/>
        <w:gridCol w:w="109"/>
        <w:gridCol w:w="109"/>
        <w:gridCol w:w="145"/>
        <w:gridCol w:w="145"/>
        <w:gridCol w:w="146"/>
        <w:gridCol w:w="109"/>
        <w:gridCol w:w="109"/>
        <w:gridCol w:w="109"/>
        <w:gridCol w:w="237"/>
        <w:gridCol w:w="237"/>
        <w:gridCol w:w="336"/>
      </w:tblGrid>
      <w:tr>
        <w:trPr/>
        <w:tc>
          <w:tcPr>
            <w:tcW w:w="8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w:t>
            </w:r>
          </w:p>
        </w:tc>
      </w:tr>
      <w:tr>
        <w:trPr/>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Emily Leproust, Ph.D.</w:t>
            </w:r>
            <w:r>
              <w:rPr>
                <w:rFonts w:ascii="Times New Roman;sans-serif" w:hAnsi="Times New Roman;sans-serif"/>
                <w:b w:val="false"/>
                <w:color w:val="000000"/>
                <w:sz w:val="13"/>
              </w:rPr>
              <w:t>(1)(2)(3)</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III</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Keith Meister</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III</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Richard C. Pfenniger, Jr.</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III</w:t>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(1)Member of our Nominating and Corporate Governance Committee.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(2)Member of our Compensation Committee.</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(3)Member of our Audit Committee.</w:t>
      </w:r>
    </w:p>
    <w:p>
      <w:pPr>
        <w:pStyle w:val="TextBody"/>
        <w:bidi w:val="0"/>
        <w:spacing w:lineRule="auto" w:line="288" w:before="0" w:after="180"/>
        <w:jc w:val="both"/>
        <w:rPr/>
      </w:pPr>
      <w:r>
        <w:rPr>
          <w:rFonts w:ascii="Times New Roman;sans-serif" w:hAnsi="Times New Roman;sans-serif"/>
          <w:b/>
          <w:i/>
          <w:color w:val="000000"/>
          <w:sz w:val="20"/>
        </w:rPr>
        <w:t>Emily Leproust, Ph.D.,</w:t>
      </w:r>
      <w:r>
        <w:rPr>
          <w:color w:val="000000"/>
        </w:rPr>
        <w:t xml:space="preserve"> </w:t>
      </w:r>
      <w:r>
        <w:rPr>
          <w:rFonts w:ascii="Times New Roman;sans-serif" w:hAnsi="Times New Roman;sans-serif"/>
          <w:b w:val="false"/>
          <w:color w:val="000000"/>
          <w:sz w:val="20"/>
        </w:rPr>
        <w:t>has served as a member of our Board since September 2020. Dr. Leproust has been President and Chief Executive Officer of Twist 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Dr. Leproust holds a Ph.D. in Organic Chemistry from the University of Houston and a M.Sc. in Industrial Chemistry from the Lyon School of Industrial Chemistry. Dr. Leproust’s qualifications to serve on our Board include her extensive professional and educational experience in the life sciences industry.</w:t>
      </w:r>
    </w:p>
    <w:p>
      <w:pPr>
        <w:pStyle w:val="TextBody"/>
        <w:bidi w:val="0"/>
        <w:spacing w:lineRule="auto" w:line="288" w:before="0" w:after="180"/>
        <w:jc w:val="both"/>
        <w:rPr/>
      </w:pPr>
      <w:r>
        <w:rPr>
          <w:rFonts w:ascii="Times New Roman;sans-serif" w:hAnsi="Times New Roman;sans-serif"/>
          <w:b/>
          <w:i/>
          <w:color w:val="000000"/>
          <w:sz w:val="20"/>
        </w:rPr>
        <w:t>Keith Meister</w:t>
      </w:r>
      <w:r>
        <w:rPr>
          <w:color w:val="000000"/>
        </w:rPr>
        <w:t xml:space="preserve"> </w:t>
      </w:r>
      <w:r>
        <w:rPr>
          <w:rFonts w:ascii="Times New Roman;sans-serif" w:hAnsi="Times New Roman;sans-serif"/>
          <w:b w:val="false"/>
          <w:color w:val="000000"/>
          <w:sz w:val="20"/>
        </w:rPr>
        <w:t>has served as a member of our Board since January 2022, and previously served as the Chairman of the Board of CMLS from July 2020 to July 2021. He founded Corvex Management LP, a New York based investment manager, in December 2010 and since its inception has served as its Managing Partner and Chief Investment Officer. From 2003 to 2010, Mr. Meister served as Chief Executive Officer and then Principal Executive Officer and Vice Chairman of the board of Icahn Enterprises L.P., the primary investment vehicle for Carl Icahn. In addition, Mr. Meister previously served as Chairman of CMLS II from December 2020 to September 2021 and CMLS III from January 2021 to December 2021. Mr. Meister also serves on the Board of Directors of MGM Resorts International, a global hospitality and entertainment company, and its affiliate BetMGM. Mr. Meister has previously served on the board of directors of numerous other public companies in his career, including Yum! Brands Inc., The Williams Companies, Inc., ADT, Inc., Ralcorp Holdings, Inc. and Motorola, Inc. (now Motorola Solutions,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pStyle w:val="TextBody"/>
        <w:bidi w:val="0"/>
        <w:spacing w:lineRule="auto" w:line="288" w:before="0" w:after="180"/>
        <w:jc w:val="both"/>
        <w:rPr/>
      </w:pPr>
      <w:r>
        <w:rPr>
          <w:rFonts w:ascii="Times New Roman;sans-serif" w:hAnsi="Times New Roman;sans-serif"/>
          <w:b/>
          <w:i/>
          <w:color w:val="000000"/>
          <w:sz w:val="20"/>
        </w:rPr>
        <w:t>Richard C. Pfenniger, Jr.</w:t>
      </w:r>
      <w:r>
        <w:rPr>
          <w:rFonts w:ascii="Times New Roman;sans-serif" w:hAnsi="Times New Roman;sans-serif"/>
          <w:b w:val="false"/>
          <w:color w:val="000000"/>
          <w:sz w:val="20"/>
        </w:rPr>
        <w:t xml:space="preserve">, has served as a member of our Board since April 2022. Mr. Pfenniger is also a private investor who has served as an executive officer of several companies, including as Chief Executive Officer and President of Continucare Corporation, a provider of primary care physician and practice management services, from 2003 until 2011, where he also served as Chairman of the Board of Directors of Continucare Corporation from 2002 until 2011. Previously, Mr. Pfenniger served as the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Vice Chairman of Whitman Education Group, Inc. from 1997 through 2003. Prior to joining Whitman, he served as the Chief Operating Officer of IVAX from 1994 to 1997, and, from 1989 to 1994, he served as the Senior Vice President-Legal Affairs and General Counsel of IVAX Corporation. Prior thereto he was engaged in the private practice of law. Mr. Pfenniger currently serves as a director of OPKO Health, Inc., a biopharmaceutical and medical diagnostics company, Asensus Surgical, Inc., a medical device company, Cocrystal Pharma, Inc., a development stage pharmaceutical company, and Fluent, Inc., a data driven performance marketing company. He also serves as the Vice Chairman of the Board of Trustees and as a member of the Executive Committee of the Phillip and Patricia Frost Museum of Science. Mr. Pfenniger previously served as a director of BioCardia, Inc., clinical-stage regenerative medicine company developing novel therapeutics for cardiovascular diseases, IntegraMed America, Inc., a private specialty healthcare services company offering products and services to patients and providers in the fertility and vein care segments of the health industry, Vein Clinics of America and Wright Investors’ Services Holdings, Inc., an investment management and financial advisory firm. Mr. Pfenniger’s experience as a chief executive officer, chief operating officer and general counsel, and knowledge of the healthcare business provide him with the qualifications and skills to serve as a director on our Board.</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Continuing Directors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directors who are serving for terms that end after the Annual Meeting and their ages as of April 15, 2024 are provided in the table below. Additional biographical information for each continuing director is set forth in the text below the table.</w:t>
      </w:r>
    </w:p>
    <w:tbl>
      <w:tblPr>
        <w:tblW w:w="5164" w:type="dxa"/>
        <w:jc w:val="left"/>
        <w:tblInd w:w="0" w:type="dxa"/>
        <w:tblLayout w:type="fixed"/>
        <w:tblCellMar>
          <w:top w:w="28" w:type="dxa"/>
          <w:left w:w="28" w:type="dxa"/>
          <w:bottom w:w="28" w:type="dxa"/>
          <w:right w:w="28" w:type="dxa"/>
        </w:tblCellMar>
      </w:tblPr>
      <w:tblGrid>
        <w:gridCol w:w="607"/>
        <w:gridCol w:w="534"/>
        <w:gridCol w:w="538"/>
        <w:gridCol w:w="109"/>
        <w:gridCol w:w="109"/>
        <w:gridCol w:w="109"/>
        <w:gridCol w:w="145"/>
        <w:gridCol w:w="145"/>
        <w:gridCol w:w="146"/>
        <w:gridCol w:w="109"/>
        <w:gridCol w:w="109"/>
        <w:gridCol w:w="109"/>
        <w:gridCol w:w="234"/>
        <w:gridCol w:w="234"/>
        <w:gridCol w:w="236"/>
        <w:gridCol w:w="109"/>
        <w:gridCol w:w="109"/>
        <w:gridCol w:w="109"/>
        <w:gridCol w:w="399"/>
        <w:gridCol w:w="399"/>
        <w:gridCol w:w="566"/>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Director Since</w:t>
            </w:r>
          </w:p>
        </w:tc>
      </w:tr>
      <w:tr>
        <w:trPr/>
        <w:tc>
          <w:tcPr>
            <w:tcW w:w="167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38" w:after="30"/>
              <w:jc w:val="left"/>
              <w:rPr/>
            </w:pPr>
            <w:r>
              <w:rPr>
                <w:rFonts w:ascii="Times New Roman;sans-serif" w:hAnsi="Times New Roman;sans-serif"/>
                <w:b w:val="false"/>
                <w:color w:val="000000"/>
                <w:sz w:val="20"/>
              </w:rPr>
              <w:t>Eli D. Casdin</w:t>
            </w:r>
            <w:r>
              <w:rPr>
                <w:rFonts w:ascii="Times New Roman;sans-serif" w:hAnsi="Times New Roman;sans-serif"/>
                <w:b w:val="false"/>
                <w:color w:val="000000"/>
                <w:sz w:val="13"/>
              </w:rPr>
              <w:t>(1)(2)</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2020</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left"/>
              <w:rPr/>
            </w:pPr>
            <w:r>
              <w:rPr>
                <w:rFonts w:ascii="Times New Roman;sans-serif" w:hAnsi="Times New Roman;sans-serif"/>
                <w:b w:val="false"/>
                <w:color w:val="000000"/>
                <w:sz w:val="20"/>
              </w:rPr>
              <w:t>Joshua Ruch</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2021</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April 2022</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2021</w:t>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(1)Member of our Nominating and Corporate Governance Committee.</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(2)Member of our Compensation Committee.</w:t>
      </w:r>
    </w:p>
    <w:p>
      <w:pPr>
        <w:pStyle w:val="TextBody"/>
        <w:bidi w:val="0"/>
        <w:spacing w:lineRule="auto" w:line="288" w:before="0" w:after="180"/>
        <w:jc w:val="both"/>
        <w:rPr/>
      </w:pPr>
      <w:r>
        <w:rPr>
          <w:rFonts w:ascii="Times New Roman;sans-serif" w:hAnsi="Times New Roman;sans-serif"/>
          <w:b/>
          <w:i/>
          <w:color w:val="000000"/>
          <w:sz w:val="20"/>
        </w:rPr>
        <w:t xml:space="preserve">Eli Casdin </w:t>
      </w:r>
      <w:r>
        <w:rPr>
          <w:rFonts w:ascii="Times New Roman;sans-serif" w:hAnsi="Times New Roman;sans-serif"/>
          <w:b w:val="false"/>
          <w:color w:val="000000"/>
          <w:sz w:val="20"/>
        </w:rPr>
        <w:t>has served as a member of our Board since July 2020, and previously served as the Chief Executive Officer of CMLS from July 2020 to July 2021. Mr. Casdin founded Casdin Capital, LLC, an investment firm focused on the life sciences and healthcare industry, in November 2011, and currently serves as its Chief Investment Officer. Mr. Casdin has served on the boards of directors of Standard BioTools Inc. and 2seventy bio, Inc. since April 2022 and March 2024, respectively. Mr. Casdin has also served on the boards of directors of Exact Sciences Corp. from October 2017 to September 2020, Absci Corp. from December 2020 to July 20222, Century Therapeutics, Inc. from February 2021 to October 2022, EQRx, Inc. from January 2020 to November 2022, SomaLogic, Inc., from December 2021 to January 2024 (having previously served as the Chief Executive Officer of CMLS II from December 2020 to September 2021), and Tenaya Therapeutics, Inc., from October 2019 to December 2022.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pStyle w:val="TextBody"/>
        <w:bidi w:val="0"/>
        <w:spacing w:lineRule="auto" w:line="288" w:before="0" w:after="180"/>
        <w:jc w:val="both"/>
        <w:rPr/>
      </w:pPr>
      <w:r>
        <w:rPr>
          <w:rFonts w:ascii="Times New Roman;sans-serif" w:hAnsi="Times New Roman;sans-serif"/>
          <w:b/>
          <w:i/>
          <w:color w:val="000000"/>
          <w:sz w:val="20"/>
        </w:rPr>
        <w:t>Joshua Ruch</w:t>
      </w:r>
      <w:r>
        <w:rPr>
          <w:color w:val="000000"/>
        </w:rPr>
        <w:t xml:space="preserve"> </w:t>
      </w:r>
      <w:r>
        <w:rPr>
          <w:rFonts w:ascii="Times New Roman;sans-serif" w:hAnsi="Times New Roman;sans-serif"/>
          <w:b w:val="false"/>
          <w:color w:val="000000"/>
          <w:sz w:val="20"/>
        </w:rPr>
        <w:t>has served as a member of our Board since July 2021, and previously served as the Chairman of our Board from July 2021 to January 2022 and as a member of the board of directors of Legacy Sema4 from November 2017 to July 2021.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GeneDx, Mr. Ruch is also a trustee of the Mount Sinai Health System, Carnegie Hall and the National Humanities Center, and is a member of the Board of Governors of the Technion – Israel Institute of Technology and the Steering Committee of the Jacobs Institute. Mr. Ruch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pStyle w:val="TextBody"/>
        <w:bidi w:val="0"/>
        <w:spacing w:lineRule="auto" w:line="288" w:before="0" w:after="180"/>
        <w:jc w:val="both"/>
        <w:rPr/>
      </w:pPr>
      <w:r>
        <w:rPr>
          <w:rFonts w:ascii="Times New Roman;sans-serif" w:hAnsi="Times New Roman;sans-serif"/>
          <w:b/>
          <w:i/>
          <w:color w:val="000000"/>
          <w:sz w:val="20"/>
        </w:rPr>
        <w:t xml:space="preserve">Katherine Stueland </w:t>
      </w:r>
      <w:r>
        <w:rPr>
          <w:rFonts w:ascii="Times New Roman;sans-serif" w:hAnsi="Times New Roman;sans-serif"/>
          <w:b w:val="false"/>
          <w:color w:val="000000"/>
          <w:sz w:val="20"/>
        </w:rPr>
        <w:t xml:space="preserve">has served as our Chief Executive Officer and a member of our Board since April 2022, following the completion of the Acquisition. Prior to the Acquisition, Ms.Stueland was the President and Chief Executive Officer of Legacy GeneDx. Prior to joining Legacy GeneDx, Ms. Stueland served as the Chief Commercial Officer at Invitae Corporation, a biotechnology company, from October 2016 to June 2021 and as the Head of Communications and Investor Relations at Invitae Corporation from November 2013 to October 2016, during which time she helped Invitae Corporation transition from a private to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public company. Ms. Stueland previously served as the Principal at Vivo Communications, a technology company, from January 2013 to December 2013, and as the Vice President of Communications and Investor Relations at Dendreon Corporation, a biotechnology company, from September 2009 to June 2012. Ms. Stueland also previously served on the board of the Rivkin Center, a non-profit organization dedicated to the treatment and prevention of cancer in women. Ms. Stueland earned a B.S. in English language and literature from Miami University of Ohio. Ms. Stueland’s extensive leadership experience as an executive officer of biotechnology companies and knowledge of GeneDx’s business provide her with the qualifications and skills to serve as a director on our Board.</w:t>
      </w:r>
    </w:p>
    <w:p>
      <w:pPr>
        <w:pStyle w:val="TextBody"/>
        <w:bidi w:val="0"/>
        <w:spacing w:lineRule="auto" w:line="288" w:before="0" w:after="180"/>
        <w:jc w:val="both"/>
        <w:rPr/>
      </w:pPr>
      <w:r>
        <w:rPr>
          <w:rFonts w:ascii="Times New Roman;sans-serif" w:hAnsi="Times New Roman;sans-serif"/>
          <w:b/>
          <w:i/>
          <w:color w:val="000000"/>
          <w:sz w:val="20"/>
        </w:rPr>
        <w:t>Jason Ryan</w:t>
      </w:r>
      <w:r>
        <w:rPr>
          <w:color w:val="000000"/>
        </w:rPr>
        <w:t xml:space="preserve"> </w:t>
      </w:r>
      <w:r>
        <w:rPr>
          <w:rFonts w:ascii="Times New Roman;sans-serif" w:hAnsi="Times New Roman;sans-serif"/>
          <w:b w:val="false"/>
          <w:color w:val="000000"/>
          <w:sz w:val="20"/>
        </w:rPr>
        <w:t>has served as a member of our Board since July 2021, and as our Chairman since January 2022. Mr. Ryan previously served as our Executive Chairman from January 2022 to February 2024. Mr. Ryan served as Chief Operating and Financial Officer of Magenta Therapeutics, Inc., a biotechnology company, from January 2019 to November 2020. Prior to joining Magenta Therapeutics, Inc., Mr. Ryan previously served as Chief Financial Officer of Foundation Medicine, Inc., a molecular information company which became a wholly-owned subsidiary of Roche Holdings, Inc., from March 2015 to November 2018. Prior to his position as Chief Financial Officer of Foundation Medicine, Inc., Mr. Ryan served in various other finance roles at Foundation Medicine, including as Senior Vice President of Finance. Prior to joining Foundation Medicine, Inc., Mr. Ryan led the finance and strategic planning functions of various other life science companies including Taligen Therapeutics, Inc., Codon Devices Inc. and Genomics Collaborative, Inc. Mr. Ryan joined the board of directors of Singular Genomics Systems, Inc. in April 2021, and joined the board of directors of SomaLogic, Inc. in March 2023. He previously served on the board of directors of ArcherDX, Inc. (which was acquired by Invitae Corporation) from April 2020 to October 2020. He began his career at Deloitte &amp; Touche LLP. Mr. Ryan holds an M.B.A. from Babson College and a B.S. in economics from Bates College and earned a C.P.A. in Massachusetts. Mr. Ryan’s extensive finance experience and his leadership experience in the life sciences and biopharmaceutical industries qualifies him to serve as a director on our Board.</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Family Relationships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familial relationships among any of our directors and executive officers.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bidi w:val="0"/>
        <w:spacing w:lineRule="auto" w:line="288" w:before="0" w:after="180"/>
        <w:jc w:val="both"/>
        <w:rPr/>
      </w:pPr>
      <w:r>
        <w:rPr>
          <w:rFonts w:ascii="Times New Roman;sans-serif" w:hAnsi="Times New Roman;sans-serif"/>
          <w:b w:val="false"/>
          <w:color w:val="000000"/>
          <w:sz w:val="20"/>
        </w:rPr>
        <w:t>Please see the section entitled “</w:t>
      </w:r>
      <w:r>
        <w:rPr>
          <w:rFonts w:ascii="Times New Roman;sans-serif" w:hAnsi="Times New Roman;sans-serif"/>
          <w:b w:val="false"/>
          <w:i/>
          <w:color w:val="000000"/>
          <w:sz w:val="20"/>
        </w:rPr>
        <w:t>Executive Compensation—Director Compensation</w:t>
      </w:r>
      <w:r>
        <w:rPr>
          <w:color w:val="000000"/>
        </w:rPr>
        <w:t xml:space="preserve">” </w:t>
      </w:r>
      <w:r>
        <w:rPr>
          <w:rFonts w:ascii="Times New Roman;sans-serif" w:hAnsi="Times New Roman;sans-serif"/>
          <w:b w:val="false"/>
          <w:color w:val="000000"/>
          <w:sz w:val="20"/>
        </w:rPr>
        <w:t>for a summary of payments made to our directors.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Recommendation of the Board of Directors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OUR BOARD OF DIRECTORS RECOMMENDS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THAT OUR STOCKHOLDERS VOTE “FOR ALL NOMINEES”</w:t>
      </w:r>
    </w:p>
    <w:p>
      <w:pPr>
        <w:pStyle w:val="TextBody"/>
        <w:bidi w:val="0"/>
        <w:spacing w:lineRule="auto" w:line="288" w:before="0" w:after="180"/>
        <w:jc w:val="center"/>
        <w:rPr/>
      </w:pPr>
      <w:r>
        <w:rPr>
          <w:rFonts w:ascii="Times New Roman;sans-serif" w:hAnsi="Times New Roman;sans-serif"/>
          <w:b/>
          <w:color w:val="000000"/>
          <w:sz w:val="20"/>
        </w:rPr>
        <w:t>IN THE ELECTION OF THE CLASS III DIRECTORS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PROPOSAL NO. 2 - THE AUDITOR RATIFICATION</w:t>
      </w:r>
    </w:p>
    <w:p>
      <w:pPr>
        <w:pStyle w:val="TextBody"/>
        <w:bidi w:val="0"/>
        <w:spacing w:lineRule="auto" w:line="288" w:before="0" w:after="180"/>
        <w:jc w:val="both"/>
        <w:rPr/>
      </w:pPr>
      <w:r>
        <w:rPr>
          <w:rFonts w:ascii="Times New Roman;sans-serif" w:hAnsi="Times New Roman;sans-serif"/>
          <w:b w:val="false"/>
          <w:color w:val="000000"/>
          <w:sz w:val="20"/>
        </w:rPr>
        <w:t xml:space="preserve">Our Audit Committee has selected Ernst &amp; Young LLP as our principal independent registered public accounting firm to perform the audit of our consolidated financial statements for the fiscal year ending December 31, 2024. </w:t>
      </w:r>
      <w:r>
        <w:rPr>
          <w:rFonts w:ascii="Times New Roman;sans-serif" w:hAnsi="Times New Roman;sans-serif"/>
          <w:b/>
          <w:color w:val="000000"/>
          <w:sz w:val="20"/>
        </w:rPr>
        <w:t>Ernst &amp; Young LLP has served as the Company’s independent registered public accounting firm since the closing of the Business Combination, and the independent registered public accounting firm of Legacy Sema4 prior to the closing of the Business Combination.</w:t>
      </w:r>
      <w:r>
        <w:rPr>
          <w:color w:val="000000"/>
        </w:rPr>
        <w:t xml:space="preserve"> </w:t>
      </w:r>
      <w:r>
        <w:rPr>
          <w:rFonts w:ascii="Times New Roman;sans-serif" w:hAnsi="Times New Roman;sans-serif"/>
          <w:b w:val="false"/>
          <w:color w:val="000000"/>
          <w:sz w:val="20"/>
        </w:rPr>
        <w:t xml:space="preserve">We expect that representatives of Ernst &amp; Young LLP will be present at the Annual Meeting, will be able to make a statement if they so desire and will be available to respond to appropriate questions.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Annual Meeting, the stockholders are being asked to ratify the appointment of Ernst &amp; Young LLP as the Company’s independent registered public accounting firm for the fiscal year ending December 31, 2024. Although ratification by stockholders is not required by law, our Audit Committee is submitting the selection of Ernst &amp; Young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 Fees and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fees for professional audit services rendered by Ernst &amp; Young LLP for the audit of our annual consolidated financial statements for the years ended December 31, 2023 and 2022:</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Principal Accountant Fees and Services</w:t>
      </w:r>
    </w:p>
    <w:tbl>
      <w:tblPr>
        <w:tblW w:w="5767" w:type="dxa"/>
        <w:jc w:val="left"/>
        <w:tblInd w:w="0" w:type="dxa"/>
        <w:tblLayout w:type="fixed"/>
        <w:tblCellMar>
          <w:top w:w="28" w:type="dxa"/>
          <w:left w:w="28" w:type="dxa"/>
          <w:bottom w:w="28" w:type="dxa"/>
          <w:right w:w="28" w:type="dxa"/>
        </w:tblCellMar>
      </w:tblPr>
      <w:tblGrid>
        <w:gridCol w:w="716"/>
        <w:gridCol w:w="629"/>
        <w:gridCol w:w="634"/>
        <w:gridCol w:w="109"/>
        <w:gridCol w:w="109"/>
        <w:gridCol w:w="109"/>
        <w:gridCol w:w="251"/>
        <w:gridCol w:w="1164"/>
        <w:gridCol w:w="130"/>
        <w:gridCol w:w="109"/>
        <w:gridCol w:w="109"/>
        <w:gridCol w:w="109"/>
        <w:gridCol w:w="250"/>
        <w:gridCol w:w="1157"/>
        <w:gridCol w:w="182"/>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Fees Billed to GeneDx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2022</w:t>
            </w:r>
          </w:p>
        </w:tc>
      </w:tr>
      <w:tr>
        <w:trPr/>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Audit fees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1,955,000 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3,190,550 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Audit-related fees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All other fees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1,955,000 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3,593,550 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6"/>
        </w:rPr>
        <w:t>(1)</w:t>
      </w:r>
      <w:r>
        <w:rPr>
          <w:color w:val="000000"/>
        </w:rPr>
        <w:t>“</w:t>
      </w:r>
      <w:r>
        <w:rPr>
          <w:rFonts w:ascii="Times New Roman;sans-serif" w:hAnsi="Times New Roman;sans-serif"/>
          <w:b w:val="false"/>
          <w:i/>
          <w:color w:val="000000"/>
          <w:sz w:val="16"/>
        </w:rPr>
        <w:t>Audit fees</w:t>
      </w:r>
      <w:r>
        <w:rPr>
          <w:color w:val="000000"/>
        </w:rPr>
        <w:t xml:space="preserve">” </w:t>
      </w:r>
      <w:r>
        <w:rPr>
          <w:rFonts w:ascii="Times New Roman;sans-serif" w:hAnsi="Times New Roman;sans-serif"/>
          <w:b w:val="false"/>
          <w:color w:val="000000"/>
          <w:sz w:val="16"/>
        </w:rPr>
        <w:t>include fees for audit services primarily related to the audit of our annual consolidated financial statements; the review of our quarterly consolidated financial statements; consents, and assistance with and review of documents filed with the SEC; and other accounting and financial reporting consultation and research work billed as audit fees or necessary to comply with the standards of the Public Company Accounting Oversight Board (United States) and subsequent SEC filings including registration statements.</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(2)</w:t>
      </w:r>
      <w:r>
        <w:rPr>
          <w:color w:val="000000"/>
        </w:rPr>
        <w:t>“</w:t>
      </w:r>
      <w:r>
        <w:rPr>
          <w:rFonts w:ascii="Times New Roman;sans-serif" w:hAnsi="Times New Roman;sans-serif"/>
          <w:b w:val="false"/>
          <w:i/>
          <w:color w:val="000000"/>
          <w:sz w:val="16"/>
        </w:rPr>
        <w:t>Audit-related fees</w:t>
      </w:r>
      <w:r>
        <w:rPr>
          <w:color w:val="000000"/>
        </w:rPr>
        <w:t xml:space="preserve">” </w:t>
      </w:r>
      <w:r>
        <w:rPr>
          <w:rFonts w:ascii="Times New Roman;sans-serif" w:hAnsi="Times New Roman;sans-serif"/>
          <w:b w:val="false"/>
          <w:color w:val="000000"/>
          <w:sz w:val="16"/>
        </w:rPr>
        <w:t>include fees related to a comfort letter during fiscal year 2022.</w:t>
      </w:r>
    </w:p>
    <w:p>
      <w:pPr>
        <w:pStyle w:val="TextBody"/>
        <w:bidi w:val="0"/>
        <w:spacing w:lineRule="auto" w:line="288" w:before="0" w:after="180"/>
        <w:ind w:left="0" w:right="0" w:hanging="360"/>
        <w:jc w:val="both"/>
        <w:rPr/>
      </w:pPr>
      <w:r>
        <w:rPr>
          <w:rFonts w:ascii="Times New Roman;sans-serif" w:hAnsi="Times New Roman;sans-serif"/>
          <w:b w:val="false"/>
          <w:color w:val="000000"/>
          <w:sz w:val="16"/>
        </w:rPr>
        <w:t>(3)</w:t>
      </w:r>
      <w:r>
        <w:rPr>
          <w:color w:val="000000"/>
        </w:rPr>
        <w:t>“</w:t>
      </w:r>
      <w:r>
        <w:rPr>
          <w:rFonts w:ascii="Times New Roman;sans-serif" w:hAnsi="Times New Roman;sans-serif"/>
          <w:b w:val="false"/>
          <w:color w:val="000000"/>
          <w:sz w:val="16"/>
        </w:rPr>
        <w:t>All other fees” include fees for services other than the services described in the above categories, principally comprised of support services, principally comprised of online subscription fees for Ernst &amp; Young LLP’s accounting research tool.</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Policy on Audit Committee Pre-Approval of Audit and Permissible Non-Audit Services of Independent Registered Public Accounting Firm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Committee’s policy is to pre-approve all audit and permissible non-audit services rendered by our independent registered public accounting firm. The Audit Committee pre-approves, and may establish pre-approval policies and procedures for, all audit and non-audit related services provided by our independent registered public accounting firm as permitted by the Nasdaq rules, applicable laws and rules and regulations of the SEC and other applicable laws and regulations. The Audit Committee has determined that the rendering of the services other than audit services by Ernst &amp; Young LLP is compatible with maintaining the principal accountant’s independence.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Recommendation of the Board of Directors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OUR BOARD OF DIRECTORS RECOMMENDS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THAT OUR STOCKHOLDERS VOTE “FOR”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THE AUDITOR RATIFICATION.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REPORT OF THE AUDIT COMMITTEE</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information contained in the following report of our Audit Committee is not considered to be “soliciting material,” “filed” or incorporated by reference in any past or future filing by us under the Exchange Act or the Securities Act unless and only to the extent that we specifically incorporate it by reference.</w:t>
      </w:r>
    </w:p>
    <w:p>
      <w:pPr>
        <w:pStyle w:val="TextBody"/>
        <w:bidi w:val="0"/>
        <w:spacing w:lineRule="auto" w:line="288" w:before="0" w:after="180"/>
        <w:jc w:val="both"/>
        <w:rPr/>
      </w:pPr>
      <w:r>
        <w:rPr>
          <w:rFonts w:ascii="Times New Roman;sans-serif" w:hAnsi="Times New Roman;sans-serif"/>
          <w:b w:val="false"/>
          <w:color w:val="000000"/>
          <w:sz w:val="20"/>
        </w:rPr>
        <w:t>Our Audit Committee has reviewed and discussed with our management and Ernst &amp; Young LLP our audited consolidated financial statements for the year ended December 31, 2023. Our Audit Committee has also discussed with Ernst &amp; Young LLP the matters required to be discussed by Auditing Standard No. 1301 adopted by the Public Company Accounting Oversight Board (United States) regarding “</w:t>
      </w:r>
      <w:r>
        <w:rPr>
          <w:rFonts w:ascii="Times New Roman;sans-serif" w:hAnsi="Times New Roman;sans-serif"/>
          <w:b w:val="false"/>
          <w:i/>
          <w:color w:val="000000"/>
          <w:sz w:val="20"/>
        </w:rPr>
        <w:t>Communications with Audit Committees</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has received and reviewed the written disclosures and the letter from Ernst &amp; Young LLP required by applicable requirements of the Public Company Accounting Oversight Board regarding the independent accountant’s communications with our Audit Committee concerning independence, and has discussed with Ernst &amp; Young LLP its independence from 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review and discussions referred to above, our Audit Committee recommended to our board of directors that the audited consolidated financial statements be included in our annual report on Form 10-K for the year ended December 31, 2023 for filing with the U.S. Securities and Exchange Commission.</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Submitted by the Audit Committee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Keith Meister, Chair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Emily Leproust</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Richard C. Pfenniger, Jr.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EXECUTIVE OFFICERS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Management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names, ages as of April 15, 2024, and certain other information regarding our executive officers and directors:</w:t>
      </w:r>
    </w:p>
    <w:tbl>
      <w:tblPr>
        <w:tblW w:w="5949" w:type="dxa"/>
        <w:jc w:val="left"/>
        <w:tblInd w:w="0" w:type="dxa"/>
        <w:tblLayout w:type="fixed"/>
        <w:tblCellMar>
          <w:top w:w="28" w:type="dxa"/>
          <w:left w:w="28" w:type="dxa"/>
          <w:bottom w:w="28" w:type="dxa"/>
          <w:right w:w="28" w:type="dxa"/>
        </w:tblCellMar>
      </w:tblPr>
      <w:tblGrid>
        <w:gridCol w:w="628"/>
        <w:gridCol w:w="552"/>
        <w:gridCol w:w="559"/>
        <w:gridCol w:w="109"/>
        <w:gridCol w:w="109"/>
        <w:gridCol w:w="109"/>
        <w:gridCol w:w="145"/>
        <w:gridCol w:w="145"/>
        <w:gridCol w:w="146"/>
        <w:gridCol w:w="109"/>
        <w:gridCol w:w="109"/>
        <w:gridCol w:w="109"/>
        <w:gridCol w:w="911"/>
        <w:gridCol w:w="911"/>
        <w:gridCol w:w="1298"/>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Feeley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0" w:after="180"/>
        <w:jc w:val="both"/>
        <w:rPr/>
      </w:pPr>
      <w:r>
        <w:rPr>
          <w:rFonts w:ascii="Times New Roman;sans-serif" w:hAnsi="Times New Roman;sans-serif"/>
          <w:b w:val="false"/>
          <w:color w:val="000000"/>
          <w:sz w:val="20"/>
        </w:rPr>
        <w:t>For information regarding Ms. Stueland, please see the section entitled “</w:t>
      </w:r>
      <w:r>
        <w:rPr>
          <w:rFonts w:ascii="Times New Roman;sans-serif" w:hAnsi="Times New Roman;sans-serif"/>
          <w:b w:val="false"/>
          <w:i/>
          <w:color w:val="000000"/>
          <w:sz w:val="20"/>
        </w:rPr>
        <w:t>Proposal No. 1 - The Class III Director Election</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Executive Officers</w:t>
      </w:r>
    </w:p>
    <w:p>
      <w:pPr>
        <w:pStyle w:val="TextBody"/>
        <w:bidi w:val="0"/>
        <w:spacing w:lineRule="auto" w:line="288" w:before="0" w:after="180"/>
        <w:jc w:val="both"/>
        <w:rPr/>
      </w:pPr>
      <w:r>
        <w:rPr>
          <w:rFonts w:ascii="Times New Roman;sans-serif" w:hAnsi="Times New Roman;sans-serif"/>
          <w:b/>
          <w:i/>
          <w:color w:val="000000"/>
          <w:sz w:val="20"/>
        </w:rPr>
        <w:t>Kevin Feeley</w:t>
      </w:r>
      <w:r>
        <w:rPr>
          <w:color w:val="000000"/>
        </w:rPr>
        <w:t xml:space="preserve"> </w:t>
      </w:r>
      <w:r>
        <w:rPr>
          <w:rFonts w:ascii="Times New Roman;sans-serif" w:hAnsi="Times New Roman;sans-serif"/>
          <w:b w:val="false"/>
          <w:color w:val="000000"/>
          <w:sz w:val="20"/>
        </w:rPr>
        <w:t>has served as our Chief Financial Officer since August 2022. Mr. Feeley previously served as Senior Vice President of Operations and Head of GeneDx from May 2022 to August 2022. Prior to joining us, Mr. Feeley served as Chief Financial Officer of OPKO Health’s diagnostics division from 2016 to 2022, which included BioReference Laboratories, Inc. and Legacy GeneDx, prior to the Acquisition. Mr. Feeley previously served as the U.S. Controller at Reckitt Benckiser, a global consumer packaged goods company focused on health, hygiene, and nutrition brands. He also previously led SEC reporting at Bausch Health Companies, a public specialty pharmaceutical company, and spent twelve years in the audit practice of KPMG LLP working closely with large multinational pharmaceutical companies. Mr. Feeley is a certified public accountant and holds a BBA from James Madison University.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Executive Compensation Overview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All share amounts, exercise prices and other amounts set forth in this section have been adjusted for the impact of the Reverse Stock Split.</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Objectives of our Executive Compensation Program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main objectives of our executive compensation program are to create a competitive total rewards package to attract, retain and incent qualified executive officers who will lead us to long-term success and enhance stockholder value based on the balanced attainment of short-term performance objectives and long-term strategic goals. Each element of our compensation program supports these objectives.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Compensation of our Named Executive Officers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and accompanying narrative disclosure set forth information about the compensation earned by our named executive officers for the year ended December 31, 2023, who were: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Katherine Stueland, our Chief Executive Officer,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Jason Ryan, our former Executive Chairman of the Board and our current Chairman of the Board,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Kevin Feeley, our Chief Financial Officer,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Kareem Saad, our Chief Transformation Officer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named executive officers’ compensation primarily consists of (1) base salary, (2) annual discretionary cash bonus and (3) equity incentive awards. Our named executive officers, during their employment with us, are also eligible to participate in the same retirement and health and welfare benefit plans as its other full-time employees.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2023 Summary Compensation Table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summary information regarding the total compensation for services rendered in all capacities that was awarded to and earned by our named executive officers during the years ended December 31, 2023 and December 31, 2022:</w:t>
      </w:r>
    </w:p>
    <w:tbl>
      <w:tblPr>
        <w:tblW w:w="11267" w:type="dxa"/>
        <w:jc w:val="left"/>
        <w:tblInd w:w="0" w:type="dxa"/>
        <w:tblLayout w:type="fixed"/>
        <w:tblCellMar>
          <w:top w:w="28" w:type="dxa"/>
          <w:left w:w="28" w:type="dxa"/>
          <w:bottom w:w="28" w:type="dxa"/>
          <w:right w:w="28" w:type="dxa"/>
        </w:tblCellMar>
      </w:tblPr>
      <w:tblGrid>
        <w:gridCol w:w="810"/>
        <w:gridCol w:w="336"/>
        <w:gridCol w:w="250"/>
        <w:gridCol w:w="109"/>
        <w:gridCol w:w="109"/>
        <w:gridCol w:w="109"/>
        <w:gridCol w:w="174"/>
        <w:gridCol w:w="174"/>
        <w:gridCol w:w="178"/>
        <w:gridCol w:w="109"/>
        <w:gridCol w:w="109"/>
        <w:gridCol w:w="109"/>
        <w:gridCol w:w="211"/>
        <w:gridCol w:w="826"/>
        <w:gridCol w:w="109"/>
        <w:gridCol w:w="109"/>
        <w:gridCol w:w="109"/>
        <w:gridCol w:w="109"/>
        <w:gridCol w:w="439"/>
        <w:gridCol w:w="387"/>
        <w:gridCol w:w="191"/>
        <w:gridCol w:w="109"/>
        <w:gridCol w:w="109"/>
        <w:gridCol w:w="109"/>
        <w:gridCol w:w="211"/>
        <w:gridCol w:w="976"/>
        <w:gridCol w:w="109"/>
        <w:gridCol w:w="109"/>
        <w:gridCol w:w="109"/>
        <w:gridCol w:w="109"/>
        <w:gridCol w:w="333"/>
        <w:gridCol w:w="643"/>
        <w:gridCol w:w="109"/>
        <w:gridCol w:w="109"/>
        <w:gridCol w:w="109"/>
        <w:gridCol w:w="109"/>
        <w:gridCol w:w="237"/>
        <w:gridCol w:w="811"/>
        <w:gridCol w:w="123"/>
        <w:gridCol w:w="109"/>
        <w:gridCol w:w="109"/>
        <w:gridCol w:w="109"/>
        <w:gridCol w:w="211"/>
        <w:gridCol w:w="976"/>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Bonus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Stock </w:t>
            </w:r>
          </w:p>
          <w:p>
            <w:pPr>
              <w:pStyle w:val="TableContents"/>
              <w:bidi w:val="0"/>
              <w:spacing w:lineRule="auto" w:line="288" w:before="0" w:after="0"/>
              <w:jc w:val="center"/>
              <w:rPr/>
            </w:pPr>
            <w:r>
              <w:rPr>
                <w:rFonts w:ascii="Times New Roman;sans-serif" w:hAnsi="Times New Roman;sans-serif"/>
                <w:b/>
                <w:color w:val="000000"/>
                <w:sz w:val="16"/>
              </w:rPr>
              <w:t>Awards</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bidi w:val="0"/>
              <w:spacing w:lineRule="auto" w:line="288" w:before="0" w:after="0"/>
              <w:jc w:val="center"/>
              <w:rPr/>
            </w:pPr>
            <w:r>
              <w:rPr>
                <w:rFonts w:ascii="Times New Roman;sans-serif" w:hAnsi="Times New Roman;sans-serif"/>
                <w:b/>
                <w:color w:val="000000"/>
                <w:sz w:val="16"/>
              </w:rPr>
              <w:t>Awards</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All Other Compensation</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both"/>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3,575,335 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43" w:after="20"/>
              <w:jc w:val="both"/>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628,754 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992,464 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180"/>
              <w:jc w:val="both"/>
              <w:rPr/>
            </w:pPr>
            <w:r>
              <w:rPr>
                <w:rFonts w:ascii="Times New Roman;sans-serif" w:hAnsi="Times New Roman;sans-serif"/>
                <w:b w:val="false"/>
                <w:i/>
                <w:color w:val="000000"/>
                <w:sz w:val="20"/>
              </w:rPr>
              <w:t>Chairman of the Board</w:t>
            </w:r>
            <w:r>
              <w:rPr>
                <w:color w:val="000000"/>
              </w:rPr>
              <w:t xml:space="preserve"> </w:t>
            </w:r>
            <w:r>
              <w:rPr>
                <w:rFonts w:ascii="Times New Roman;sans-serif" w:hAnsi="Times New Roman;sans-serif"/>
                <w:b w:val="false"/>
                <w:i/>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3,193,461 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both"/>
              <w:rPr>
                <w:rFonts w:ascii="Times New Roman;sans-serif" w:hAnsi="Times New Roman;sans-serif"/>
                <w:b w:val="false"/>
                <w:color w:val="000000"/>
                <w:sz w:val="20"/>
              </w:rPr>
            </w:pPr>
            <w:r>
              <w:rPr>
                <w:rFonts w:ascii="Times New Roman;sans-serif" w:hAnsi="Times New Roman;sans-serif"/>
                <w:b w:val="false"/>
                <w:color w:val="000000"/>
                <w:sz w:val="20"/>
              </w:rPr>
              <w:t>Kevin Feeley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Kareem Saad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1,188,018 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Chief Transformation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45,269 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2,067,029 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amounts reported reflect the annual performance-based cash bonus amounts awarded to our named executive officers for their service in 2023 and 2022, as applicable. For additional information regarding the bonus compensation, see “—Bonuses.”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(2)Amounts represent the grant date fair value of the restricted stock units awarded to the named executive officer during 2023 and 2022 and the stock options awarded to the named executive officer during 2022 in accordance with FASB Accounting Standards Codification Topic 718. The assumptions used in determining the grant date fair value of the restricted stock units and stock options are set forth in Note 12 of the notes to our audited consolidated financial statements included in our Annual Report on Form 10-K for the year ended December 31, 2023. In determining the total value of the equity awards, we have considered all grants issued during the year as earned by the respective executive officers.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(3)The amounts reported in this column represent our matching contributions made on behalf of our named executive officers under our 401(k) plan, and other personal benefits including reimbursement for travel costs of $70,915 for Ms. Stueland, $3,480 for Mr. Ryan, $38,192 for Mr. Feeley and $41,360 for Mr. Kareem during 2023.</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(4)Following the expiration of his employment agreement on December 31, 2023 in accordance with its terms, on February 23, 2024, Mr. Ryan resigned from his officer position as the Executive Chairman of the Company, effective February 23, 2024. Mr. Ryan continues to serve as a member of and as the Chairman of the Board of Directors.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Narrative Disclosure to the Summary Compensation Table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Bonuses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their employment agreements, Ms. Stueland and Mr. Feeley are entitled to receive annual bonuses based on the achievement of corporate objectives focused on revenue growth, gross margins and efficient usage of cash. Individual performance objectives are factored into the bonus determination as well. For the 2023 bonuses, the target annual bonuses for both Ms. Stueland and Mr. Feeley were equal to 0% of their respective annual base salaries.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the 2022 bonuses, the target annual bonuses for Ms. Stueland and Mr. Feeley were equal to 100% and 50%, respectively, of their respective annual base salaries. We also awarded a discretionary bonus to Mr. Ryan in 2023 in recognition of Mr. Ryan’s contributions to the Company in 2022 and his role as our former Executive Chairman.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Equity Awards</w:t>
      </w:r>
    </w:p>
    <w:p>
      <w:pPr>
        <w:pStyle w:val="TextBody"/>
        <w:bidi w:val="0"/>
        <w:spacing w:lineRule="auto" w:line="288" w:before="0" w:after="180"/>
        <w:jc w:val="both"/>
        <w:rPr/>
      </w:pPr>
      <w:r>
        <w:rPr>
          <w:rFonts w:ascii="Times New Roman;sans-serif" w:hAnsi="Times New Roman;sans-serif"/>
          <w:b w:val="false"/>
          <w:color w:val="000000"/>
          <w:sz w:val="20"/>
        </w:rPr>
        <w:t>Our company offers stock options as well as service-based restricted stock units (“</w:t>
      </w:r>
      <w:r>
        <w:rPr>
          <w:rFonts w:ascii="Times New Roman;sans-serif" w:hAnsi="Times New Roman;sans-serif"/>
          <w:b w:val="false"/>
          <w:i/>
          <w:color w:val="000000"/>
          <w:sz w:val="20"/>
        </w:rPr>
        <w:t>RSU</w:t>
      </w:r>
      <w:r>
        <w:rPr>
          <w:color w:val="000000"/>
        </w:rPr>
        <w:t>”</w:t>
      </w:r>
      <w:r>
        <w:rPr>
          <w:rFonts w:ascii="Times New Roman;sans-serif" w:hAnsi="Times New Roman;sans-serif"/>
          <w:b w:val="false"/>
          <w:color w:val="000000"/>
          <w:sz w:val="20"/>
        </w:rPr>
        <w:t>s) to our named executive officers as the long-term incentive component of our compensation program. Stock options allow employees to purchase shares of our Class A Common Stock at a price per share at least equal to the fair market value of our Class A Common Stock on the date of grant and may or may not be intended to qualify as “incentive stock options” for U.S. federal income tax purposes. All of our named executive officers received RSU awards in recognition of their service to us and to further incentivize continued performance. Generally, our equity-based awards vest over four years, subject to the employee’s continued employment with us on each vesting date. In both 2023 and 2022, annual awards of RSU were made in the form of time-based awards, and time-based and performance-based awards in the case of our former Executive Chairman.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Performance-Based Equity Awards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we awarded Mr. Ryan 20,666 performance-based RSUs (or 682,000 RSUs before adjusting for the Reverse Stock Split) that were eligible to vest on December 31, 2023 based on the achievement of the financial performance goals applicable to our 2023 annual incentive program. The Company awarded these performance-based awards to better align the compensation of Mr. Ryan with his responsibilities in connection with the short-term performance of the Company. These performance-based RSUs were forfeited due to the established performance goals not being achieved.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we awarded 3,847 performance-based RSUs (or 126,980 RSUs before adjusting for the Reverse Stock Split) to Mr. Ryan that were eligible to vest on December 31, 2022 based on the achievement of certain corporate and financial objectives. These performance-based RSUs were all forfeited due to the established performance goals not being achieved. In December 2022, we awarded Mr. Ryan an additional 18,794 performance-based RSUs (or 620,177 RSUs before adjusting for the Reverse Stock Split) that were eligible to vest on December 31, 2023 based on the achievement of the financial performance goals applicable to our 2023 annual incentive program. These performance-based RSUs were forfeited due to the established performance goals not being achieved.</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Outstanding Equity Awards at 2023 Fiscal Year-End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outstanding equity awards held by each of our named executive officers as of December 31, 2023:</w:t>
      </w:r>
    </w:p>
    <w:tbl>
      <w:tblPr>
        <w:tblW w:w="10205" w:type="dxa"/>
        <w:jc w:val="left"/>
        <w:tblInd w:w="0" w:type="dxa"/>
        <w:tblLayout w:type="fixed"/>
        <w:tblCellMar>
          <w:top w:w="28" w:type="dxa"/>
          <w:left w:w="28" w:type="dxa"/>
          <w:bottom w:w="28" w:type="dxa"/>
          <w:right w:w="28" w:type="dxa"/>
        </w:tblCellMar>
      </w:tblPr>
      <w:tblGrid>
        <w:gridCol w:w="333"/>
        <w:gridCol w:w="293"/>
        <w:gridCol w:w="296"/>
        <w:gridCol w:w="109"/>
        <w:gridCol w:w="109"/>
        <w:gridCol w:w="109"/>
        <w:gridCol w:w="176"/>
        <w:gridCol w:w="176"/>
        <w:gridCol w:w="177"/>
        <w:gridCol w:w="109"/>
        <w:gridCol w:w="109"/>
        <w:gridCol w:w="109"/>
        <w:gridCol w:w="109"/>
        <w:gridCol w:w="109"/>
        <w:gridCol w:w="109"/>
        <w:gridCol w:w="336"/>
        <w:gridCol w:w="336"/>
        <w:gridCol w:w="337"/>
        <w:gridCol w:w="109"/>
        <w:gridCol w:w="109"/>
        <w:gridCol w:w="109"/>
        <w:gridCol w:w="381"/>
        <w:gridCol w:w="381"/>
        <w:gridCol w:w="382"/>
        <w:gridCol w:w="109"/>
        <w:gridCol w:w="109"/>
        <w:gridCol w:w="109"/>
        <w:gridCol w:w="212"/>
        <w:gridCol w:w="726"/>
        <w:gridCol w:w="109"/>
        <w:gridCol w:w="109"/>
        <w:gridCol w:w="109"/>
        <w:gridCol w:w="109"/>
        <w:gridCol w:w="297"/>
        <w:gridCol w:w="297"/>
        <w:gridCol w:w="298"/>
        <w:gridCol w:w="109"/>
        <w:gridCol w:w="109"/>
        <w:gridCol w:w="109"/>
        <w:gridCol w:w="329"/>
        <w:gridCol w:w="240"/>
        <w:gridCol w:w="241"/>
        <w:gridCol w:w="109"/>
        <w:gridCol w:w="109"/>
        <w:gridCol w:w="109"/>
        <w:gridCol w:w="216"/>
        <w:gridCol w:w="849"/>
        <w:gridCol w:w="171"/>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0"/>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 Awards (1)</w:t>
            </w:r>
          </w:p>
        </w:tc>
      </w:tr>
      <w:tr>
        <w:trPr/>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Underlying Unexercised Options Exercisable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Underlying Unexercised Options Unexercisable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 Exercise Price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or Units of Stock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Market Value of Shares or Units of Stock That Have Not Vested ($)(*)</w:t>
            </w:r>
          </w:p>
        </w:tc>
      </w:tr>
      <w:tr>
        <w:trPr/>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5/2/2022</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4/26/2023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10/15/2021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10/15/2021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1/18/2022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10/15/2021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Feeley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93,679 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4/26/2023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The closing market price of our Class A Common Stock on December 29, 2023, was $2.75 per share. This was the last market day of 2023.</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outstanding stock options were granted under our 2021 Equity Incentive Plan and pursuant to our prior merger agreements, as applicable. The outstanding RSUs were granted under our 2021 Equity Incentive Plan and pursuant to our prior merger agreements, as applicable.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(2)1/4th of the total shares underlying the stock options vest on April 29, 2023, 1/4th of the total shares underlying the stock options vest on April 29, 2024, and 1/16th of the total shares underlying the stock option vest on each quarterly anniversary thereof through April 29, 2026.</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(3)These stock options and RSUs vest in quarterly installments over a four-year period.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(4)These stock options were granted to Mr. Ryan in connection with his service as a member of our board of directors, prior to his appointment as our former Executive Chairman. These stock options vested on the earlier of (i) the date of the next annual meeting of the Company’s stockholders following the grant date and (i) the first anniversary of the grant date.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(5)These stock options and RSUs were granted to Mr. Ryan in connection with his service as a member of our board of directors, prior to his appointment as our former Executive Chairman. The stock options will vest in equal monthly installments over the three-year period following the grant date, and the RSUs will vest in equal annual installments over the three-year period following the grant date, in each case so long as Mr. Ryan continues to provide services to the Company through such vesting date.</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(6)The shares underlying the stock option fully vested on December 31, 2022.</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Employment Agreements with Our Named Executive Officers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Each of Ms. Stueland and Mr. Feeley have entered into an employment agreement with us that provides for at-will employment and includes each named executive officer’s base salary, standard employee benefit plan participation and a discretionary annual bonus. The employment agreements provide for an annual base salary of $675,000 and a target annual bonus of 100% of annual base salary in the case of Ms. Stueland, and an annual base salary of $450,000 and a target annual bonus of 50% of annual base salary in the case of Mr. Feeley. Mr. Ryan previously entered into an employment agreement with us that expired in accordance with its terms on December 31, 2023 and provided for an annual base salary of $337,500 and a target annual bonus of 100% of annual base salary. Mr. Ryan’s employment agreement also provided that he would be employed 50% of his time by us. Ms. Stueland’s and Mr. Feeley’s employment agreements also provide, and Mr. Ryan’s employment agreement provided, for the potential payments and benefits upon a termination of employment or in connection with a change in control as described below in “—Potential Payments upon Termination or Change in Control.” For more information, see “—Outstanding Equity Awards at 2023 Fiscal Year-End.”</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Potential Payments upon Termination or Change in Control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her employment agreement, if Ms. Stueland is terminated without “cause” or resigns for “good reason” (as such terms are defined in her employment agreement) other than in connection with a change in control, she will be entitled to receive 24 months of base salary continuation and 12 months of continued coverage under our group health benefit plans, subject to her execution of a release of claims. If instead such termination occurs within the period commencing three months prior to (or the date on which the Company has commenced engagement with a change in control counterparty, if later) and ending 12 months following a change in control, she will be entitled to receive 24 months of base salary continuation, a lump sum payment equal to two times her target annual bonus, 24 months of continued coverage under our group health benefit plans, and accelerated vesting of her outstanding equity-based compensation awards, subject to her execution of a release of claims. As described above in “—Outstanding Equity Awards at 2023 Fiscal Year-End”, a portion of the stock options held by Ms. Stueland would vest upon a change in control transaction.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his employment agreement, if Mr. Feeley is terminated without “cause” or resigns for “good reason” (as such terms are defined in his employment agreement) other than in connection with a change in control, he will be entitled to receive 9 months of base salary continuation and 12 months of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his employment agreement, if Mr. Ryan was terminated without “cause” or resigns for “good reason” (as such terms were defined in his employment agreement), he would be entitled to receive base salary continuation until December 31, 2023 and continued coverage under our group health benefit plans until December 31, 2023, subject to his execution of a release of claims. In addition, the performance goals applicable to the performance-based RSUs granted to Mr. Ryan would be deemed to have been achieved at 100% of the target performance in the event of a change in control.</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Inducement Awards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induce the individuals to accept employment with the Company, in 2023 we granted RSUs to acquire an aggregate of 270,664 shares of Class A Common Stock to 16 newly-hired employees.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2022, we granted stock options to purchase 149,458 shares of Class A Common Stock (or 4,932,132 shares before adjusting for the Reverse Stock Split) to 3 newly-hired employees and RSUs to acquire an aggregate of 129,854 shares of Class A Common Stock (or 4,285,208 shares before adjusting for the Reverse Stock Split) to 80 newly-hired employees. The foregoing included inducement stock options to purchase an aggregate of 107,610 shares (or 3,551,136 shares before adjusting for the Reverse Stock Split) of Class A Common Stock and 61,983 RSUs (or 2,045,454 RSUs before adjusting for the Reverse Stock Split) granted to Ms. Stueland as an inducement material to the employment of Ms. Stueland as the Chief Executive Officer of the Company, and inducement stock options to purchase an aggregate of 20,924 shares of Class A Common Stock (or 690,498 shares before adjusting for the Reverse Stock Split) and 12,052 RSUs (or 397,727 RSUs after adjusting for the Reverse Stock Split) granted to Mr. Feeley as an inducement material to the employment of Mr. Feeley as Head of GeneDx prior to becoming Chief Financial Officer of the Company.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directors who were members of our compensation committee during 2023 were Joshua Ruch, Emily Leproust and Eli Casdin. None of them at any time has been one of our officers or employees. None of our executive officers serves, or in the past has served, as a member of the Board or compensation committee of any entity that has one or more of its executive officers serving on our Board or our compensation committee.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Non-Employee Director Compensation Policy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adopted a non-employee director compensation policy that is designed to enable us to attract and retain, on a long-term basis, highly qualified non-employee directors. Our non-employee directors will receive an annual cash retainer of $40,000, payable quarterly, and a grant of stock options and RSUs with an aggregate grant-date value of $200,000, which will vest on the earlier of the first anniversary of the grant date and the next annual meeting of our stockholders. New non-employee directors will receive a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grant of stock options RSUs upon joining our Board with an aggregate grant-date value of $400,000, which will vest over the three-year period following the grant date.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Members of our audit committee will receive an additional annual cash retainer of $10,000, and the chairperson of our audit committee will receive an additional cash retainer of $20,000 (in lieu of the annual retainer for membership on the audit committee). Members of our compensation committee will receive an additional annual cash retainer of $7,500, and the chairperson of our compensation committee will receive an additional cash retainer of $15,000 (in lieu of the annual retainer for membership on the compensation committee). Members of our nominating and governance committee will receive an additional annual cash retainer of $5,000, and the chairperson of our nominating and governance committee will receive an additional cash retainer of $10,000 (in lieu of the annual retainer for membership on the compensation committee).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Former Executive Chairman Compensation</w:t>
      </w:r>
    </w:p>
    <w:p>
      <w:pPr>
        <w:pStyle w:val="TextBody"/>
        <w:bidi w:val="0"/>
        <w:spacing w:lineRule="auto" w:line="288" w:before="0" w:after="180"/>
        <w:jc w:val="both"/>
        <w:rPr/>
      </w:pPr>
      <w:r>
        <w:rPr>
          <w:rFonts w:ascii="Times New Roman;sans-serif" w:hAnsi="Times New Roman;sans-serif"/>
          <w:b w:val="false"/>
          <w:color w:val="000000"/>
          <w:sz w:val="20"/>
        </w:rPr>
        <w:t>In January 2022, our Board appointed Jason Ryan as our Executive Chairman and entered into an executive chairman agreement (the “</w:t>
      </w:r>
      <w:r>
        <w:rPr>
          <w:rFonts w:ascii="Times New Roman;sans-serif" w:hAnsi="Times New Roman;sans-serif"/>
          <w:b w:val="false"/>
          <w:i/>
          <w:color w:val="000000"/>
          <w:sz w:val="20"/>
        </w:rPr>
        <w:t>Executive Chairman Agreement</w:t>
      </w:r>
      <w:r>
        <w:rPr>
          <w:color w:val="000000"/>
        </w:rPr>
        <w:t>”</w:t>
      </w:r>
      <w:r>
        <w:rPr>
          <w:rFonts w:ascii="Times New Roman;sans-serif" w:hAnsi="Times New Roman;sans-serif"/>
          <w:b w:val="false"/>
          <w:color w:val="000000"/>
          <w:sz w:val="20"/>
        </w:rPr>
        <w:t>) with Mr. Ryan. Prior to this appointment, Mr. Ryan served as a non-employee director of our Board. The Executive Chairman Agreement provided for an annual base salary of $540,000. In connection with the appointment, we issued to Mr. Ryan an option to purchase 13,022 shares of our Class A Common Stock (or 429,730 shares before adjusting for the Reverse Stock Split), 7,500 service-based RSUs (or 247,525 RSUs before adjusting for the Reverse Stock Split) and 3,847 performance-based RSUs (or 126,980 RSUs before adjusting for the Reverse Stock Split), which service-based RSUs fully vested on December 31, 2022 and which performance-based RSUs were all forfeited due to the established performance goals not being achieved.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and April 2023, we issued Mr. Ryan an additional 18,794 and 20,666 performance-based RSUs, respectively (or 620,177 and 682,000 RSUs, respectively, before adjusting for the Reverse Stock Split), that were eligible to vest on December 31, 2023 based on the achievement of the financial performance goals applicable to our 2023 annual incentive program. These performance-based RSUs were all forfeited due to the established performance goals not being achieved.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entered into an amendment to the Executive Chairman Agreement on April 12, 2023 in order to extend the period of Mr. Ryan’s employment as our Executive Chairman and amend the terms of his employment, effective as of April 10, 2023. The amendment provided that for calendar year 2023, Mr. Ryan would be employed 50% of his time by the Company and receive a base annual salary of $337,500, with an opportunity to receive an annual performance bonus for calendar year 2023 with a target amount equal to 100% of the annual base salary. The Executive Chairman Agreement expired in accordance with its terms on December 31, 2023 and Mr. Ryan subsequently resigned as our Executive Chairman on February 23, 2024. Mr. Ryan remains on the Board as a non-employee director and as our Chairman.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2023 Director Compensation Table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compensation earned by or paid to our non-employee directors for services provided during the year ended December 31, 2023. Ms. Stueland and Mr. Ryan did not receive any compensation for their service as a director during fiscal year 2023, while also serving as Chief Executive Officer and Executive Chairman, respectively. Other than as described below, none of our non-employee directors received any fees or reimbursement of any expenses (other than customary expenses in connection with the attendance of meetings of our Board) or any equity or non-equity awards in the year ended December 31, 2023. Please see the section entitled “Executive Compensation—2023 Summary Compensation Table” for a summary of payments made to Ms. Stueland and Mr. Ryan.</w:t>
      </w:r>
    </w:p>
    <w:tbl>
      <w:tblPr>
        <w:tblW w:w="10205" w:type="dxa"/>
        <w:jc w:val="left"/>
        <w:tblInd w:w="0" w:type="dxa"/>
        <w:tblLayout w:type="fixed"/>
        <w:tblCellMar>
          <w:top w:w="28" w:type="dxa"/>
          <w:left w:w="28" w:type="dxa"/>
          <w:bottom w:w="28" w:type="dxa"/>
          <w:right w:w="28" w:type="dxa"/>
        </w:tblCellMar>
      </w:tblPr>
      <w:tblGrid>
        <w:gridCol w:w="683"/>
        <w:gridCol w:w="502"/>
        <w:gridCol w:w="505"/>
        <w:gridCol w:w="109"/>
        <w:gridCol w:w="109"/>
        <w:gridCol w:w="109"/>
        <w:gridCol w:w="362"/>
        <w:gridCol w:w="1238"/>
        <w:gridCol w:w="187"/>
        <w:gridCol w:w="109"/>
        <w:gridCol w:w="109"/>
        <w:gridCol w:w="109"/>
        <w:gridCol w:w="297"/>
        <w:gridCol w:w="1016"/>
        <w:gridCol w:w="153"/>
        <w:gridCol w:w="109"/>
        <w:gridCol w:w="109"/>
        <w:gridCol w:w="109"/>
        <w:gridCol w:w="514"/>
        <w:gridCol w:w="1759"/>
        <w:gridCol w:w="265"/>
        <w:gridCol w:w="109"/>
        <w:gridCol w:w="109"/>
        <w:gridCol w:w="109"/>
        <w:gridCol w:w="109"/>
        <w:gridCol w:w="109"/>
        <w:gridCol w:w="211"/>
        <w:gridCol w:w="826"/>
        <w:gridCol w:w="161"/>
      </w:tblGrid>
      <w:tr>
        <w:trPr/>
        <w:tc>
          <w:tcPr>
            <w:tcW w:w="68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Fees Earned or Paid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and Other Securities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Joshua Ruch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161,995 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 D. Casdin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Emily Leproust,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Meister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Richard Pfenninger, Jr.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amounts reported in this column represent the aggregate grant date fair value of the awards granted under our 2021 Equity Incentive Plan to our directors during the year ended December 31, 2023, as computed in accordance with FASB ASC Topic 718. The assumptions used in determining the grant date fair value of the awards reported in the Option Awards and Restricted Stock and Other Securities columns are set forth in Note 12 to our financial statements included elsewhere in this proxy statement. Note that the amounts reported in this column reflect the aggregate accounting cost for these awards granted during the year, and do not necessarily correspond to the actual economic value that may be received by the director from the awards.</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following table sets forth information regarding the aggregate number of shares of our Class A Common Stock underlying outstanding stock options held by our non-employee directors as of December 31, 2023 and the aggregate number of unvested shares of our Class A Common Stock underlying outstanding RSU awards held by our non-employee directors as of December 31, 2023:</w:t>
      </w:r>
    </w:p>
    <w:tbl>
      <w:tblPr>
        <w:tblW w:w="6413" w:type="dxa"/>
        <w:jc w:val="left"/>
        <w:tblInd w:w="0" w:type="dxa"/>
        <w:tblLayout w:type="fixed"/>
        <w:tblCellMar>
          <w:top w:w="28" w:type="dxa"/>
          <w:left w:w="28" w:type="dxa"/>
          <w:bottom w:w="28" w:type="dxa"/>
          <w:right w:w="28" w:type="dxa"/>
        </w:tblCellMar>
      </w:tblPr>
      <w:tblGrid>
        <w:gridCol w:w="710"/>
        <w:gridCol w:w="621"/>
        <w:gridCol w:w="634"/>
        <w:gridCol w:w="109"/>
        <w:gridCol w:w="109"/>
        <w:gridCol w:w="109"/>
        <w:gridCol w:w="679"/>
        <w:gridCol w:w="679"/>
        <w:gridCol w:w="681"/>
        <w:gridCol w:w="109"/>
        <w:gridCol w:w="109"/>
        <w:gridCol w:w="109"/>
        <w:gridCol w:w="513"/>
        <w:gridCol w:w="513"/>
        <w:gridCol w:w="729"/>
      </w:tblGrid>
      <w:tr>
        <w:trPr/>
        <w:tc>
          <w:tcPr>
            <w:tcW w:w="71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43" w:after="20"/>
              <w:jc w:val="center"/>
              <w:rPr>
                <w:rFonts w:ascii="Times New Roman;sans-serif" w:hAnsi="Times New Roman;sans-serif"/>
                <w:b/>
                <w:color w:val="000000"/>
                <w:sz w:val="16"/>
              </w:rPr>
            </w:pPr>
            <w:r>
              <w:rPr>
                <w:rFonts w:ascii="Times New Roman;sans-serif" w:hAnsi="Times New Roman;sans-serif"/>
                <w:b/>
                <w:color w:val="000000"/>
                <w:sz w:val="16"/>
              </w:rPr>
              <w:t>Shares Underlying</w:t>
            </w:r>
          </w:p>
          <w:p>
            <w:pPr>
              <w:pStyle w:val="TableContents"/>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Unexercised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Unvested Shares of</w:t>
              <w:br/>
              <w:t>Restricted Stock Units</w:t>
            </w:r>
          </w:p>
        </w:tc>
      </w:tr>
      <w:tr>
        <w:trPr/>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Joshua Ruch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5,958 </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 D. Casdin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Emily Leproust,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Meister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Pfenninger,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lineRule="auto" w:line="288" w:before="0" w:after="180"/>
        <w:jc w:val="both"/>
        <w:rPr/>
      </w:pPr>
      <w:r>
        <w:rPr>
          <w:rFonts w:ascii="Times New Roman;sans-serif" w:hAnsi="Times New Roman;sans-serif"/>
          <w:b w:val="false"/>
          <w:color w:val="000000"/>
          <w:sz w:val="20"/>
        </w:rPr>
        <w:t>The following table sets forth certain information, as of December 31, 2023, concerning securities authorized for issuance under our amended and restated 2021 Equity Incentive Plan (the “</w:t>
      </w:r>
      <w:r>
        <w:rPr>
          <w:rFonts w:ascii="Times New Roman;sans-serif" w:hAnsi="Times New Roman;sans-serif"/>
          <w:b w:val="false"/>
          <w:i/>
          <w:color w:val="000000"/>
          <w:sz w:val="20"/>
        </w:rPr>
        <w:t>2021 EIP</w:t>
      </w:r>
      <w:r>
        <w:rPr>
          <w:color w:val="000000"/>
        </w:rPr>
        <w:t>”</w:t>
      </w:r>
      <w:r>
        <w:rPr>
          <w:rFonts w:ascii="Times New Roman;sans-serif" w:hAnsi="Times New Roman;sans-serif"/>
          <w:b w:val="false"/>
          <w:color w:val="000000"/>
          <w:sz w:val="20"/>
        </w:rPr>
        <w:t>) and our 2021 Employee Stock Purchase Plan (the “</w:t>
      </w:r>
      <w:r>
        <w:rPr>
          <w:rFonts w:ascii="Times New Roman;sans-serif" w:hAnsi="Times New Roman;sans-serif"/>
          <w:b w:val="false"/>
          <w:i/>
          <w:color w:val="000000"/>
          <w:sz w:val="20"/>
        </w:rPr>
        <w:t>2021 ESPP</w:t>
      </w:r>
      <w:r>
        <w:rPr>
          <w:color w:val="000000"/>
        </w:rPr>
        <w:t>”</w:t>
      </w:r>
      <w:r>
        <w:rPr>
          <w:rFonts w:ascii="Times New Roman;sans-serif" w:hAnsi="Times New Roman;sans-serif"/>
          <w:b w:val="false"/>
          <w:color w:val="000000"/>
          <w:sz w:val="20"/>
        </w:rPr>
        <w:t>), our 2023 Equity Inducement Plan (the “</w:t>
      </w:r>
      <w:r>
        <w:rPr>
          <w:rFonts w:ascii="Times New Roman;sans-serif" w:hAnsi="Times New Roman;sans-serif"/>
          <w:b w:val="false"/>
          <w:i/>
          <w:color w:val="000000"/>
          <w:sz w:val="20"/>
        </w:rPr>
        <w:t>Equity Inducement Plan</w:t>
      </w:r>
      <w:r>
        <w:rPr>
          <w:color w:val="000000"/>
        </w:rPr>
        <w:t>”</w:t>
      </w:r>
      <w:r>
        <w:rPr>
          <w:rFonts w:ascii="Times New Roman;sans-serif" w:hAnsi="Times New Roman;sans-serif"/>
          <w:b w:val="false"/>
          <w:color w:val="000000"/>
          <w:sz w:val="20"/>
        </w:rPr>
        <w:t>) and Legacy Sema4’s 2017 Equity Incentive Plan (the “</w:t>
      </w:r>
      <w:r>
        <w:rPr>
          <w:rFonts w:ascii="Times New Roman;sans-serif" w:hAnsi="Times New Roman;sans-serif"/>
          <w:b w:val="false"/>
          <w:i/>
          <w:color w:val="000000"/>
          <w:sz w:val="20"/>
        </w:rPr>
        <w:t>2017 Plan</w:t>
      </w:r>
      <w:r>
        <w:rPr>
          <w:color w:val="000000"/>
        </w:rPr>
        <w:t>”</w:t>
      </w:r>
      <w:r>
        <w:rPr>
          <w:rFonts w:ascii="Times New Roman;sans-serif" w:hAnsi="Times New Roman;sans-serif"/>
          <w:b w:val="false"/>
          <w:color w:val="000000"/>
          <w:sz w:val="20"/>
        </w:rPr>
        <w:t xml:space="preserve">), as well as certain certain inducement awards granted in accordance with Nasdaq Listing Rules prior to the adoption of the Equity Inducement Plan. The 2021 EIP and 2021 ESPP contain “evergreen” provisions, pursuant to which on January 1st of each year we automatically add 5% and 1%, respectively, of our shares of Class A Common Stock outstanding on the preceding December 31 to the shares reserved for issuance under the 2021 EIP and 2021 ESPP. In addition, pursuant to a “pour over” provision in our 2021 EIP, options that were cancelled, expired or terminated under the 2017 Plan were added to the number of shares reserved for issuance under our 2021 EIP. </w:t>
      </w:r>
    </w:p>
    <w:tbl>
      <w:tblPr>
        <w:tblW w:w="10205" w:type="dxa"/>
        <w:jc w:val="left"/>
        <w:tblInd w:w="0" w:type="dxa"/>
        <w:tblLayout w:type="fixed"/>
        <w:tblCellMar>
          <w:top w:w="28" w:type="dxa"/>
          <w:left w:w="28" w:type="dxa"/>
          <w:bottom w:w="28" w:type="dxa"/>
          <w:right w:w="28" w:type="dxa"/>
        </w:tblCellMar>
      </w:tblPr>
      <w:tblGrid>
        <w:gridCol w:w="666"/>
        <w:gridCol w:w="585"/>
        <w:gridCol w:w="578"/>
        <w:gridCol w:w="743"/>
        <w:gridCol w:w="325"/>
        <w:gridCol w:w="325"/>
        <w:gridCol w:w="325"/>
        <w:gridCol w:w="325"/>
        <w:gridCol w:w="332"/>
        <w:gridCol w:w="109"/>
        <w:gridCol w:w="109"/>
        <w:gridCol w:w="109"/>
        <w:gridCol w:w="731"/>
        <w:gridCol w:w="731"/>
        <w:gridCol w:w="733"/>
        <w:gridCol w:w="109"/>
        <w:gridCol w:w="109"/>
        <w:gridCol w:w="109"/>
        <w:gridCol w:w="924"/>
        <w:gridCol w:w="408"/>
        <w:gridCol w:w="408"/>
        <w:gridCol w:w="408"/>
        <w:gridCol w:w="408"/>
        <w:gridCol w:w="596"/>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6"/>
            <w:tcBorders/>
            <w:tcMar>
              <w:top w:w="0" w:type="dxa"/>
              <w:left w:w="0" w:type="dxa"/>
              <w:bottom w:w="0" w:type="dxa"/>
              <w:right w:w="0" w:type="dxa"/>
            </w:tcMar>
            <w:vAlign w:val="center"/>
          </w:tcPr>
          <w:p>
            <w:pPr>
              <w:pStyle w:val="TableContents"/>
              <w:bidi w:val="0"/>
              <w:spacing w:lineRule="auto" w:line="240" w:before="43" w:after="20"/>
              <w:jc w:val="center"/>
              <w:rPr/>
            </w:pPr>
            <w:r>
              <w:rPr>
                <w:rFonts w:ascii="Times New Roman;sans-serif" w:hAnsi="Times New Roman;sans-serif"/>
                <w:b/>
                <w:color w:val="000000"/>
                <w:sz w:val="16"/>
              </w:rPr>
              <w:t>Number of Securities to be Issued Upon Exercise of Outstanding Options, Warrants and Rights</w:t>
            </w:r>
            <w:r>
              <w:rPr>
                <w:rFonts w:ascii="Times New Roman;sans-serif" w:hAnsi="Times New Roman;sans-serif"/>
                <w:b/>
                <w:color w:val="000000"/>
                <w:sz w:val="10"/>
              </w:rPr>
              <w:t>(1)</w:t>
            </w:r>
            <w:r>
              <w:rPr>
                <w:color w:val="000000"/>
              </w:rPr>
              <w:t xml:space="preserve"> </w:t>
            </w: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lineRule="auto" w:line="240" w:before="43" w:after="20"/>
              <w:jc w:val="center"/>
              <w:rPr/>
            </w:pPr>
            <w:r>
              <w:rPr>
                <w:rFonts w:ascii="Times New Roman;sans-serif" w:hAnsi="Times New Roman;sans-serif"/>
                <w:b/>
                <w:color w:val="000000"/>
                <w:sz w:val="16"/>
              </w:rPr>
              <w:t>Weighted-Average Exercise Price of Outstanding Options, Warrants and Rights</w:t>
            </w:r>
            <w:r>
              <w:rPr>
                <w:rFonts w:ascii="Times New Roman;sans-serif" w:hAnsi="Times New Roman;sans-serif"/>
                <w:b/>
                <w:color w:val="000000"/>
                <w:sz w:val="10"/>
              </w:rPr>
              <w:t>(2)</w:t>
            </w:r>
            <w:r>
              <w:rPr>
                <w:color w:val="000000"/>
              </w:rPr>
              <w:t xml:space="preserve"> </w:t>
            </w: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 Available for Future Issuance Under Equity Compensation Plans (Excluding Securities Reflected in Column (a) (#)</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Category</w:t>
            </w:r>
          </w:p>
        </w:tc>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373,194 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2,503,940 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133,765 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570,730 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506,959 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3,074,670 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(1)Consists of options to purchase shares of our Class A Common Stock.</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weighted average exercise price is calculated based solely on the outstanding stock options. It does not take into account the shares issuable upon vesting of outstanding RSU or PSU awards, which have no exercise price.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(3)After adjusting for the Reverse Stock Split, consists of 1,092,552 shares underlying RSU awards representing the right to acquire shares of our Class A Common Stock, 1,074,572 shares remaining available for issuance under the 2021 EIP and 336,816 shares remaining available for issuance under the 2021 ESPP. (i) on February 26, 2024, an additional 1,298,943 shares of Class A Common Stock became available for future issuance under the 2021 EIP and an additional 259,788 shares of Class A Common Stock became available for issuance under the 2021 ESPP, both pursuant to each plan’s evergreen provisions.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(4)After adjusting for the Reverse Stock Split, consists of (i) outstanding stock options that were assumed in connection with the Business Combination; and (ii) inducement option awards granted in accordance with Nasdaq Listing Rules as of December 31, 2023 with no material changes during the first three months of 2024. No additional awards may be granted under the 2017 Plan pursuant to which such assumed stock options were initially granted.</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(5)After adjusting for the Reverse Stock Split, consists of (i) inducement RSU awards granted in accordance with Nasdaq Listing Rules (including pursuant to the Equity Inducement Plan; and (ii) 235,851 shares remaining available for issuance under the Equity Inducement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CERTAIN RELATIONSHIPS AND RELATED PARTY TRANSACTIONS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Related Party Transactions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transactions since January 1, 2022 and currently proposed transactions in which:</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a.we have been or is to be a participant;</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amount involved exceeded or will exceed the lesser of $120,000 or 1% of the average of our total assets as of year-end for the last two completed fiscal years;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c.any of our directors, executive officers or holders of more than 5% of our capital stock, or any immediate family member of, or person sharing the household with, any of these individuals, had or will have a direct or indirect material interest.</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Related Party Transactions Related to the Underwritten and Registered Direct Offerings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Underwritten Offering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principal stockholders and their affiliated entities, including certain of our directors and stockholders affiliated with certain of our directors, purchased an aggregate of 6,320,343 shares (or 208,571,426 shares before adjusting for the Reverse Stock Split) of our Class A Common Stock in our underwritten public offering that closed on January 31, 2023 (the “Underwritten Offering”) at an offering price of $11.55 per share (or $0.35 per share before adjusting for the Reverse Stock Split). The following table summarizes the shares of Class A Common Stock purchased by members of our Board of Directors or their affiliates and holders of more than 5% of our outstanding Class A Common Stock:</w:t>
      </w:r>
    </w:p>
    <w:tbl>
      <w:tblPr>
        <w:tblW w:w="8758" w:type="dxa"/>
        <w:jc w:val="left"/>
        <w:tblInd w:w="0" w:type="dxa"/>
        <w:tblLayout w:type="fixed"/>
        <w:tblCellMar>
          <w:top w:w="28" w:type="dxa"/>
          <w:left w:w="28" w:type="dxa"/>
          <w:bottom w:w="28" w:type="dxa"/>
          <w:right w:w="28" w:type="dxa"/>
        </w:tblCellMar>
      </w:tblPr>
      <w:tblGrid>
        <w:gridCol w:w="1407"/>
        <w:gridCol w:w="1234"/>
        <w:gridCol w:w="1244"/>
        <w:gridCol w:w="109"/>
        <w:gridCol w:w="109"/>
        <w:gridCol w:w="109"/>
        <w:gridCol w:w="488"/>
        <w:gridCol w:w="488"/>
        <w:gridCol w:w="471"/>
        <w:gridCol w:w="133"/>
        <w:gridCol w:w="133"/>
        <w:gridCol w:w="133"/>
        <w:gridCol w:w="393"/>
        <w:gridCol w:w="2020"/>
        <w:gridCol w:w="287"/>
      </w:tblGrid>
      <w:tr>
        <w:trPr/>
        <w:tc>
          <w:tcPr>
            <w:tcW w:w="140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 of Class A Common Stock</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Purchaser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 Gross Consideration ($)</w:t>
            </w:r>
          </w:p>
        </w:tc>
      </w:tr>
      <w:tr>
        <w:trPr/>
        <w:tc>
          <w:tcPr>
            <w:tcW w:w="3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left"/>
              <w:rPr/>
            </w:pPr>
            <w:r>
              <w:rPr>
                <w:rFonts w:ascii="Times New Roman;sans-serif" w:hAnsi="Times New Roman;sans-serif"/>
                <w:b w:val="false"/>
                <w:color w:val="000000"/>
                <w:sz w:val="20"/>
              </w:rPr>
              <w:t>Entities affiliated with Casdin</w:t>
            </w:r>
            <w:r>
              <w:rPr>
                <w:rFonts w:ascii="Times New Roman;sans-serif" w:hAnsi="Times New Roman;sans-serif"/>
                <w:b w:val="false"/>
                <w:color w:val="000000"/>
                <w:sz w:val="13"/>
              </w:rPr>
              <w:t>(1)</w:t>
            </w: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2,597,402 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30,000,000 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both"/>
              <w:rPr/>
            </w:pPr>
            <w:r>
              <w:rPr>
                <w:rFonts w:ascii="Times New Roman;sans-serif" w:hAnsi="Times New Roman;sans-serif"/>
                <w:b w:val="false"/>
                <w:color w:val="000000"/>
                <w:sz w:val="20"/>
              </w:rPr>
              <w:t>Entities affiliated with Deerfield</w:t>
            </w:r>
            <w:r>
              <w:rPr>
                <w:color w:val="000000"/>
              </w:rPr>
              <w:t xml:space="preserve"> </w:t>
            </w:r>
            <w:r>
              <w:rPr>
                <w:rFonts w:ascii="Times New Roman;sans-serif" w:hAnsi="Times New Roman;sans-serif"/>
                <w:b w:val="false"/>
                <w:color w:val="000000"/>
                <w:sz w:val="13"/>
              </w:rPr>
              <w:t>(2)</w:t>
            </w: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1,428,571 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16,500,000 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r>
              <w:rPr>
                <w:rFonts w:ascii="Times New Roman;sans-serif" w:hAnsi="Times New Roman;sans-serif"/>
                <w:b w:val="false"/>
                <w:color w:val="000000"/>
                <w:sz w:val="20"/>
              </w:rPr>
              <w:t>Ichan School of Medicine at Mount Sinai</w:t>
            </w:r>
            <w:r>
              <w:rPr>
                <w:rFonts w:ascii="Times New Roman;sans-serif" w:hAnsi="Times New Roman;sans-serif"/>
                <w:b w:val="false"/>
                <w:color w:val="000000"/>
                <w:sz w:val="13"/>
              </w:rPr>
              <w:t>(3)</w:t>
            </w: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865,800 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left"/>
              <w:rPr/>
            </w:pPr>
            <w:r>
              <w:rPr>
                <w:rFonts w:ascii="Times New Roman;sans-serif" w:hAnsi="Times New Roman;sans-serif"/>
                <w:b w:val="false"/>
                <w:color w:val="000000"/>
                <w:sz w:val="20"/>
              </w:rPr>
              <w:t xml:space="preserve">Section 32 Fund 2, L.P. </w:t>
            </w:r>
            <w:r>
              <w:rPr>
                <w:rFonts w:ascii="Times New Roman;sans-serif" w:hAnsi="Times New Roman;sans-serif"/>
                <w:b w:val="false"/>
                <w:color w:val="000000"/>
                <w:sz w:val="13"/>
              </w:rPr>
              <w:t>(4)</w:t>
            </w: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865,800 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r>
              <w:rPr>
                <w:rFonts w:ascii="Times New Roman;sans-serif" w:hAnsi="Times New Roman;sans-serif"/>
                <w:b w:val="false"/>
                <w:color w:val="000000"/>
                <w:sz w:val="20"/>
              </w:rPr>
              <w:t>OPKO Health, Inc.</w:t>
            </w:r>
            <w:r>
              <w:rPr>
                <w:rFonts w:ascii="Times New Roman;sans-serif" w:hAnsi="Times New Roman;sans-serif"/>
                <w:b w:val="false"/>
                <w:color w:val="000000"/>
                <w:sz w:val="13"/>
              </w:rPr>
              <w:t>(5)</w:t>
            </w: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432,900 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r>
              <w:rPr>
                <w:rFonts w:ascii="Times New Roman;sans-serif" w:hAnsi="Times New Roman;sans-serif"/>
                <w:b w:val="false"/>
                <w:color w:val="000000"/>
                <w:sz w:val="20"/>
              </w:rPr>
              <w:t>Entities affiliated with Rho Partners</w:t>
            </w:r>
            <w:r>
              <w:rPr>
                <w:rFonts w:ascii="Times New Roman;sans-serif" w:hAnsi="Times New Roman;sans-serif"/>
                <w:b w:val="false"/>
                <w:color w:val="000000"/>
                <w:sz w:val="13"/>
              </w:rPr>
              <w:t>(6)</w:t>
            </w: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129,870 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6,320,343 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73,000,000 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(1)After adjustment for the Reverse Stock Split consists of 2,597,402 shares of Class A Common Stock offered and sold to entities whose general partner is Casdin Capital, LLC. Eli D. Casdin, a member of our Board, is a managing member of Casdin Capital, LLC.</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(2)After adjustment for the Reverse Stock Split consists of 1,428,571 shares of Class A Common Stock offered and sold to entities whose investment manager is Deerfield Management Company, L.P., which held more than 5% of our outstanding Class A Common Stock at the time of the Underwritten Offering.</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(3)After adjustment for the Reverse Stock Split consists of 865,800 shares of Class A Common Stock offered and sold to Ichan School of Medicine at Mount Sinai, which held more than 5% of our outstanding Class A Common Stock at the time of the Underwritten Offering.</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(4)After adjustment for the Reverse Stock Split consists of 865,800 shares of Class A Common Stock offered and sold to Section 32 Fund 2, L.P., which is an affiliate of Michael Pellini, a former member of our Board who resigned in February 2023.</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(5)After adjustment for the Reverse Stock Split consists of 432,900 shares of Class A Common Stock offered and sold to OPKO Health, Inc., which held more than 5% of our outstanding Class A Common Stock at the time of the Underwritten Offering.</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(6)After adjustment for the Reverse Stock Split consists of 99,799 shares of Class A Common Stock offered and sold to Vaal Investment Partners Q9 LP, 20,148 shares of Class A Common Stock offered and sold to Rugu2 LLC, and 9,923 shares of Class A Common Stock offered and sold to Kariba LLC. Rho Partners is an affiliate of Joshua Ruch, a member of our Board.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Registered Direct Offering</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January 26, 2023, we entered into subscription agreements with Corvex Select Equity Master Fund LP, Corvex Master Fund LP and Corvex Dynamic Equity Select Master Fund LP (the “Corvex Funds”), which are institutional investors affiliated with Keith Meister, a member of our Board, relating to a registered direct offering (the “Direct Offering”) of 100,000,000 shares of Class A Common Stock at $0.35 per share (or $11.55 per share after adjusting for the Reverse Stock Split) for a total consideration of $35,000,000. On January 31, 2023, we issued 77,663,376 shares (or 2,353,435 shares after adjusting for the Reverse Stock Split) in the Direct Offering, and on April 17, 2023, we issued 22,336,624 shares (or 676,867 shares after adjusting for the Reverse Stock Split) in connection with the Direct Offering. The following table sets forth the aggregate number of shares of our Class A Common Stock that we issued to the Corvex Funds in the Direct Offering:</w:t>
      </w:r>
    </w:p>
    <w:tbl>
      <w:tblPr>
        <w:tblW w:w="10205" w:type="dxa"/>
        <w:jc w:val="left"/>
        <w:tblInd w:w="0" w:type="dxa"/>
        <w:tblLayout w:type="fixed"/>
        <w:tblCellMar>
          <w:top w:w="28" w:type="dxa"/>
          <w:left w:w="28" w:type="dxa"/>
          <w:bottom w:w="28" w:type="dxa"/>
          <w:right w:w="28" w:type="dxa"/>
        </w:tblCellMar>
      </w:tblPr>
      <w:tblGrid>
        <w:gridCol w:w="1067"/>
        <w:gridCol w:w="936"/>
        <w:gridCol w:w="943"/>
        <w:gridCol w:w="109"/>
        <w:gridCol w:w="109"/>
        <w:gridCol w:w="109"/>
        <w:gridCol w:w="739"/>
        <w:gridCol w:w="579"/>
        <w:gridCol w:w="581"/>
        <w:gridCol w:w="109"/>
        <w:gridCol w:w="109"/>
        <w:gridCol w:w="109"/>
        <w:gridCol w:w="749"/>
        <w:gridCol w:w="668"/>
        <w:gridCol w:w="670"/>
        <w:gridCol w:w="109"/>
        <w:gridCol w:w="109"/>
        <w:gridCol w:w="109"/>
        <w:gridCol w:w="333"/>
        <w:gridCol w:w="1710"/>
        <w:gridCol w:w="249"/>
      </w:tblGrid>
      <w:tr>
        <w:trPr/>
        <w:tc>
          <w:tcPr>
            <w:tcW w:w="106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 of Class A Common Stock</w:t>
            </w:r>
          </w:p>
        </w:tc>
      </w:tr>
      <w:tr>
        <w:trPr/>
        <w:tc>
          <w:tcPr>
            <w:tcW w:w="2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Purchaser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Initial Direct Offering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Direct Offering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 Gross Consideration ($)</w:t>
            </w:r>
          </w:p>
        </w:tc>
      </w:tr>
      <w:tr>
        <w:trPr/>
        <w:tc>
          <w:tcPr>
            <w:tcW w:w="2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Corvex Master Fund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757,808 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217,953 </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11,270,000 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Corvex Select Equity Master Fund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1,435,595 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412,889 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21,350,000 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Corvex Dynamic Equity Select Master Fund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160,033 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46,026 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2,380,000 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2,353,436 </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676,868 </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35,000,000 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Related Party Transactions Related to the Acquisition</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Subscription Agreements</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Acquisition, certain investors entered into subscription agreements to purchase an aggregate of 50,000,000 shares of Class A Common Stock from us at $4.00 per share (or 1,515,151 shares at a price of $132.00 per share after adjusting for the Reverse Stock Split), for a gross aggregate purchase price of $200 million in private placements that closed in the first half of 2022. The funds from such private placement were primarily used to fund the Acquisition. The following table sets forth the number of shares of our Class A Common Stock issued to our directors, executive officers and holders of more than 5% of our outstanding Class A Common Stock and their affiliates in this transaction:</w:t>
      </w:r>
    </w:p>
    <w:tbl>
      <w:tblPr>
        <w:tblW w:w="8784" w:type="dxa"/>
        <w:jc w:val="left"/>
        <w:tblInd w:w="0" w:type="dxa"/>
        <w:tblLayout w:type="fixed"/>
        <w:tblCellMar>
          <w:top w:w="28" w:type="dxa"/>
          <w:left w:w="28" w:type="dxa"/>
          <w:bottom w:w="28" w:type="dxa"/>
          <w:right w:w="28" w:type="dxa"/>
        </w:tblCellMar>
      </w:tblPr>
      <w:tblGrid>
        <w:gridCol w:w="1405"/>
        <w:gridCol w:w="1233"/>
        <w:gridCol w:w="1247"/>
        <w:gridCol w:w="109"/>
        <w:gridCol w:w="109"/>
        <w:gridCol w:w="109"/>
        <w:gridCol w:w="554"/>
        <w:gridCol w:w="469"/>
        <w:gridCol w:w="471"/>
        <w:gridCol w:w="126"/>
        <w:gridCol w:w="126"/>
        <w:gridCol w:w="126"/>
        <w:gridCol w:w="366"/>
        <w:gridCol w:w="2066"/>
        <w:gridCol w:w="268"/>
      </w:tblGrid>
      <w:tr>
        <w:trPr/>
        <w:tc>
          <w:tcPr>
            <w:tcW w:w="140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 of Class A Common Stock</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Purchaser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 Gross Consideration ($)</w:t>
            </w:r>
          </w:p>
        </w:tc>
      </w:tr>
      <w:tr>
        <w:trPr/>
        <w:tc>
          <w:tcPr>
            <w:tcW w:w="3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left"/>
              <w:rPr/>
            </w:pPr>
            <w:r>
              <w:rPr>
                <w:rFonts w:ascii="Times New Roman;sans-serif" w:hAnsi="Times New Roman;sans-serif"/>
                <w:b w:val="false"/>
                <w:color w:val="000000"/>
                <w:sz w:val="20"/>
              </w:rPr>
              <w:t>Entities affiliated with Blackstone</w:t>
            </w:r>
            <w:r>
              <w:rPr>
                <w:rFonts w:ascii="Times New Roman;sans-serif" w:hAnsi="Times New Roman;sans-serif"/>
                <w:b w:val="false"/>
                <w:color w:val="000000"/>
                <w:sz w:val="13"/>
              </w:rPr>
              <w:t>(1)</w:t>
            </w: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75,757 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left"/>
              <w:rPr/>
            </w:pPr>
            <w:r>
              <w:rPr>
                <w:rFonts w:ascii="Times New Roman;sans-serif" w:hAnsi="Times New Roman;sans-serif"/>
                <w:b w:val="false"/>
                <w:color w:val="000000"/>
                <w:sz w:val="20"/>
              </w:rPr>
              <w:t>Entities affiliated with Casdin</w:t>
            </w:r>
            <w:r>
              <w:rPr>
                <w:rFonts w:ascii="Times New Roman;sans-serif" w:hAnsi="Times New Roman;sans-serif"/>
                <w:b w:val="false"/>
                <w:color w:val="000000"/>
                <w:sz w:val="13"/>
              </w:rPr>
              <w:t>(2)</w:t>
            </w: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346,590 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45,750,000 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r>
              <w:rPr>
                <w:rFonts w:ascii="Times New Roman;sans-serif" w:hAnsi="Times New Roman;sans-serif"/>
                <w:b w:val="false"/>
                <w:color w:val="000000"/>
                <w:sz w:val="20"/>
              </w:rPr>
              <w:t>Entities affiliated with Corvex</w:t>
            </w:r>
            <w:r>
              <w:rPr>
                <w:rFonts w:ascii="Times New Roman;sans-serif" w:hAnsi="Times New Roman;sans-serif"/>
                <w:b w:val="false"/>
                <w:color w:val="000000"/>
                <w:sz w:val="13"/>
              </w:rPr>
              <w:t>(3)</w:t>
            </w: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346,590 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45,750,000 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left"/>
              <w:rPr/>
            </w:pPr>
            <w:r>
              <w:rPr>
                <w:rFonts w:ascii="Times New Roman;sans-serif" w:hAnsi="Times New Roman;sans-serif"/>
                <w:b w:val="false"/>
                <w:color w:val="000000"/>
                <w:sz w:val="20"/>
              </w:rPr>
              <w:t>Ichan School of Medicine at Mount Sinai</w:t>
            </w:r>
            <w:r>
              <w:rPr>
                <w:rFonts w:ascii="Times New Roman;sans-serif" w:hAnsi="Times New Roman;sans-serif"/>
                <w:b w:val="false"/>
                <w:color w:val="000000"/>
                <w:sz w:val="13"/>
              </w:rPr>
              <w:t>(4)</w:t>
            </w: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189,393 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r>
              <w:rPr>
                <w:rFonts w:ascii="Times New Roman;sans-serif" w:hAnsi="Times New Roman;sans-serif"/>
                <w:b w:val="false"/>
                <w:color w:val="000000"/>
                <w:sz w:val="20"/>
              </w:rPr>
              <w:t>Entities affiliated with Deerfield</w:t>
            </w:r>
            <w:r>
              <w:rPr>
                <w:rFonts w:ascii="Times New Roman;sans-serif" w:hAnsi="Times New Roman;sans-serif"/>
                <w:b w:val="false"/>
                <w:color w:val="000000"/>
                <w:sz w:val="13"/>
              </w:rPr>
              <w:t>(5)</w:t>
            </w: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151,515 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left"/>
              <w:rPr/>
            </w:pPr>
            <w:r>
              <w:rPr>
                <w:rFonts w:ascii="Times New Roman;sans-serif" w:hAnsi="Times New Roman;sans-serif"/>
                <w:b w:val="false"/>
                <w:color w:val="000000"/>
                <w:sz w:val="20"/>
              </w:rPr>
              <w:t>Entities affiliated with Rho Partners</w:t>
            </w:r>
            <w:r>
              <w:rPr>
                <w:rFonts w:ascii="Times New Roman;sans-serif" w:hAnsi="Times New Roman;sans-serif"/>
                <w:b w:val="false"/>
                <w:color w:val="000000"/>
                <w:sz w:val="13"/>
              </w:rPr>
              <w:t>(6)</w:t>
            </w: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r>
              <w:rPr>
                <w:rFonts w:ascii="Times New Roman;sans-serif" w:hAnsi="Times New Roman;sans-serif"/>
                <w:b w:val="false"/>
                <w:color w:val="000000"/>
                <w:sz w:val="20"/>
              </w:rPr>
              <w:t>Section 32 Fund 2, L.P.</w:t>
            </w: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37,878 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1,212,116 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(1)After adjustment for the Reverse Stock Split, consists of 73,784 shares of Class A Common Stock offered and sold to BTO Sema4 Holdings L.P., 1,527 shares of Class A Common Stock offered and sold to Blackstone Tactical Opportunities Fund - FD L.P. and 446 shares of Class A Common Stock offered and sold to Blackstone Family Tactical Opportunities Investment Partnership III ESC L.P. The entities purchasing the Class A Common Stock are under control of The Blackstone Group Inc., which beneficially held more than 5% of our outstanding Class A Common Stock at the time of this transactions.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(2)After adjustment for the Reverse Stock Split, consists of 346,590 shares of Class A Common Stock offered and sold to Casdin Partners Master Fund, L.P., which is affiliated with Eli D. Casdin, a member of our Board.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(3)After adjustment for the Reverse Stock Split, consists of 107,788 shares of Class A Common Stock offered and sold to Corvex Master Fund LP, 221,818 shares of Class A Common Stock offered and sold to Corvex Select Equity Master Fund LP, and 16,984 shares of Class A Common Stock offered and sold to Corvex Dynamic Equity Select Master Fund LP. Corvex Master Fund LP, Corvex Select Equity Master Fund LP and Corvex Dynamic Equity Select Master Fund LP are affiliated with Keith Meister, a member of our Board.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(4)After adjustment for the Reverse Stock Split, consists of 189,393 shares of Class A Common Stock offered and sold to Ichan School of Medicine at Mount Sinai, which held more than 5% of our outstanding Class A Common Stock at the time of the transaction.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(5)After adjustment for the Reverse Stock Split, consists of 94,697 shares of Class A Common Stock offered and sold to Deerfield Private Design Fund V, L.P. and 56,818 shares of Class A Common Stock offered and sold to Deerfield Partners, L.P. The investment manager of Deerfield Private Design Fund V, L.P. and Deerfield Partners, L.P is Deerfield Management Company, L.P., which held more than 5% of our outstanding Class A Common Stock at the time of the transaction.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(6)After adjustment for the Reverse Stock Split, consists of 49,483 shares of Class A Common Stock offered and sold to Vaal Investment Partners Q9 LP, 9,990 shares of Class A Common Stock offered and sold to Rugu2 LLC, and 4,920 shares of Class A Common Stock offered and sold to Kariba LLC. Rho Partners is an affiliate of Joshua Ruch, a member of our Board.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(7)After adjustment for the Reverse Stock Split, consists of 37,878 shares of Class A Common Stock offered and sold to Section 32 Fund 2, L.P. Section32 is an affiliate of Michael Pellini, a former member of our Board who resigned in February 2023.</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Support Agreements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Acquisition, OPKO Health, Inc. (“OPKO”), the parent of Legacy GeneDx, and we entered into Support Agreements (the “Support Agreements”) with certain of our stockholders (including CMLS Holdings LLC, Casdin Partners Master Fund, L.P., Corvex Master Fund LP, Corvex Select Equity Master Fund LP, Corvex Dynamic Equity Select Master Fund LP, Icahn School of Medicine at Mount Sinai, and Section 32 Fund 2, L.P., whereby such stockholders agreed to, among other things, (a) vote at any meeting of our stockholders all of their shares of our Class A Common Stock held of record: (i) to approve the issuance of the stock consideration pursuant to the Agreement and Plan of Merger and Reorganization dated January 14, 2022, by and among the Company, GeneDx, Inc., OPKO, Orion Merger Sub I, Inc., Orion Merger Sub II, LLC, and GeneDx Holding 2, Inc. (the “Acquisition Merger Agreement”), and the issuance of our Class A Common Stock pursuant to the subscription agreements for the Acquisition; (ii) to approve the appointment of two specified designees to the Board for terms that expire no earlier than the end of the Second Milestone Period (as defined in the Acquisition Merger Agreement); (iii) to approve an amendment to our Third Amended and Restated Certificate of Incorporation (as amended, “Charter”) to increase the number of authorized shares of our Class A Common Stock from 380,000,000 (or 11,515,151 after adjusting for the Reverse Stock Split) to 1,000,000,000 (or 30,303,030 after adjusting for the Reverse Stock Split); (iv) to approve any other proposal included in a proxy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statement that is recommended by the Board as necessary to consummate the transactions in connection with the Acquisition Merger Agreement; (v) to approve any proposal that is recommended by the Board to adjourn the meeting to a later date, if there are not sufficient affirmative votes (in person or by proxy) to obtain the requested approvals on the date on which such meeting is held; and (vi) against any and all other proposals that could reasonably be expected to delay or impair the ability of us to consummate the transactions; (b) provide a proxy to us to vote such shares accordingly (subject to the condition that a proxy statement has been filed with the SEC and provided to our stockholders); (c) be bound by certain other covenants and agreements related to the transactions; and (d) be bound by certain transfer restrictions with respect to all or a percentage of their shares of our Class A Common Stock, prior to the meeting, in each case, on the terms and subject to the conditions set forth in the Support Agreements.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Transition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Acquisition, entered into a Transition Services Agreement dated as of April 29, 2022 (the “OPKO TSA”) pursuant to which OPKO has agreed to provide, at cost, subject to certain limited exceptions, in order to facilitate the transactions contemplated by the Acquisition Merger Agreement, including human resources, information technology support, and finance and accounting. Services in connection with the OPKO TSA were fully completed in October 2023. We made direct payments to OPKO of approximately $1.2 million and $0.7 million pursuant to such transition services agreement in 2023 and 2022, respectively.</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Milestone Shares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Acquisition Merger Agreement, the Company has reserved 30,864,198 shares of Class A Common Stock (or 935,278 shares after adjusting for the Reverse Stock Split) to be issued to OPKO upon the occurrence of certain Milestone Events (as defined in the Acquisition Merger Agreement) (such shares, the “Milestone Shares”). On April 14, 2023, the Company issued 23,148,148 Milestone Shares (or 701,459 shares after adjusting for the Reverse Stock Split), which amounted to a fair market value of approximately $6.7 million based on the closing price of our Class A Common Stock on April 14, 2023, to OPKO in accordance with the Acquisition Merger Agreement following the achievement of certain Milestone Events for the fiscal year ended December 31, 2022. The second milestone payment was determined to be zero as Milestone Events were not achieved for the fiscal year ended December 31, 2023.</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Working Capital Adjustment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and pursuant to the terms of the Acquisition Merger Agreement, we received a cash payment totaling approximately $1.3 million from OPKO in March 2023 to account for the Net Working Capital Shortfall (as defined in the Acquisition Merger Agreement) of Legacy GeneDx that was part of the initial consideration for the Acquisition.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Employment Arrangements with Immediate Family Members of Our Executive Officers and Directors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Emilio Schadt, the son of Eric Schadt, our former Chief Executive Officer and former director, was employed with us as a Data Science Software Engineer, where he was responsible for implementing methods to improve data reliability. During the year ended December 31, 2022, Mr. Emilio Schadt had total compensation, including base salary and bonus, of $124,631. Rick Wallsten, the brother of Eric Schadt, our former Chief Executive Officer and former director, was employed by us as a clinical pharmacist from November 2017 to October 2022, where he was responsible for certain aspects of our pharmacogenomics program. During the years ended December 31, 2022, Mr. Wallsten had total cash compensation, including base salary and bonus, of $159,350. Carol Senn, the sister-in-law of James Coffin, our former Chief Operating Officer, was employed with us as an Account Manager from November 2020 to October 2022, where she was responsible for certain aspects of growing the business. During the year ended December 31, 2022, Ms. Senn had total compensation, including base salary, of $143,808. Kelly Peterson, the sister of James Coffin, our former Chief Operating Officer, was employed with us as a Sales Specialist Oncology from February 2019 to October 2022, where she was responsible for the aspect of growing the business. During the year ended December 31, 2022, Ms. Peterson had total compensation, including base salary, of $174,470. None of the individuals discussed above in this paragraph remain employed or affiliated with the Company.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salary and bonus levels, as applicable, of the aforementioned individuals were based on reference to internal pay equity when compared to the compensation paid to employees in similar positions who were not related to our executive officers and directors. They also received equity awards on the same general terms and conditions as applicable to other employees in similar positions who were not related to our executive officers and directors.</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Licenses and Subleases</w:t>
      </w:r>
    </w:p>
    <w:p>
      <w:pPr>
        <w:pStyle w:val="TextBody"/>
        <w:bidi w:val="0"/>
        <w:spacing w:lineRule="auto" w:line="288" w:before="0" w:after="180"/>
        <w:jc w:val="both"/>
        <w:rPr/>
      </w:pPr>
      <w:r>
        <w:rPr>
          <w:rFonts w:ascii="Times New Roman;sans-serif" w:hAnsi="Times New Roman;sans-serif"/>
          <w:b w:val="false"/>
          <w:color w:val="000000"/>
          <w:sz w:val="20"/>
        </w:rPr>
        <w:t>We were a party to several space license agreements and continue to be a party to sublease agreements with the Mount Sinai Health System (which we refer to together with its related entities as “</w:t>
      </w:r>
      <w:r>
        <w:rPr>
          <w:rFonts w:ascii="Times New Roman;sans-serif" w:hAnsi="Times New Roman;sans-serif"/>
          <w:b w:val="false"/>
          <w:i/>
          <w:color w:val="000000"/>
          <w:sz w:val="20"/>
        </w:rPr>
        <w:t>Mount Sinai</w:t>
      </w:r>
      <w:r>
        <w:rPr>
          <w:color w:val="000000"/>
        </w:rPr>
        <w:t>”</w:t>
      </w:r>
      <w:r>
        <w:rPr>
          <w:rFonts w:ascii="Times New Roman;sans-serif" w:hAnsi="Times New Roman;sans-serif"/>
          <w:b w:val="false"/>
          <w:color w:val="000000"/>
          <w:sz w:val="20"/>
        </w:rPr>
        <w:t>) pursuant to which we leased approximately 124,000 square feet of office and laboratory space in Stamford, Connecticut for our headquarters and laboratory operations. Rent expense for all facilities subleased by Icahn School of Medicine at Mount Sinai (“</w:t>
      </w:r>
      <w:r>
        <w:rPr>
          <w:rFonts w:ascii="Times New Roman;sans-serif" w:hAnsi="Times New Roman;sans-serif"/>
          <w:b w:val="false"/>
          <w:i/>
          <w:color w:val="000000"/>
          <w:sz w:val="20"/>
        </w:rPr>
        <w:t>ISMMS</w:t>
      </w:r>
      <w:r>
        <w:rPr>
          <w:color w:val="000000"/>
        </w:rPr>
        <w:t>”</w:t>
      </w:r>
      <w:r>
        <w:rPr>
          <w:rFonts w:ascii="Times New Roman;sans-serif" w:hAnsi="Times New Roman;sans-serif"/>
          <w:b w:val="false"/>
          <w:color w:val="000000"/>
          <w:sz w:val="20"/>
        </w:rPr>
        <w:t xml:space="preserve">) to Legacy Sema4, for which sublease we provide guaranty for Legacy Sema4’s obligations thereunder, was $4.0 million for the year ended December 31, 2023 and $3.9 million for the year ended December 31, 2022. The total future minimum lease payments due under the sublease was $75.7 million on an undiscounted basis as of December 31, 2023. In March 2023, we executed an agreement with ISMMS to opt into the early termination clause set forth in the original prime lease agreement that was entered into by Mount Sinai on behalf of us, which resulted in a reduction to the total future minimum lease payments.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Transition Services and Employee Compensation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partial reimbursement to Mount Sinai for limited compensation, services, and related expenses for certain individuals employed by Mount Sinai and certain individuals employed at both Mount Sinai and our company. For the years ended December 31, 2023 and 2022, the total amount of such reimbursement for employee compensation and expenses incurred by us was equal to approximately $0.6 million and $0.8 million, respectively.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Commercial Relationships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Mount Sinai</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these arrangements include a data structuring and curation services agreement, dated August 1, 2019, with ISMMS and certain other Mount Sinai entities, pursuant to which we provide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provides us certain rights to use de-identified curated data. The data structuring and curation services agreement has a five-year term and, provided we are not in default under the terms of the agreement, the agreement may be renewed at our option for up to two one-year extension periods. Following the extension periods, the agreement may be further renewed by the mutual agreement of the parties. The agreement may be terminated earlier by Mount Sinai upon certain fundamental breaches by us, by us upon a breach by Mount Sinai of its material obligations, and by either party if certain insolvency or bankruptcy events occur with respect to the other party.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also receive products and services from Mount Sinai at fair market value, including for certain research and clinical services, development services and lab services, and licenses certain intellectual property from Mount Sinai. Pursuant to these arrangements, we made direct payments to Mount Sinai of approximately $1.3 million and $0.7 million for the years ended December 31, 2023 and 2022, respectively.</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Twist Biosciences</w:t>
      </w:r>
    </w:p>
    <w:p>
      <w:pPr>
        <w:pStyle w:val="TextBody"/>
        <w:bidi w:val="0"/>
        <w:spacing w:lineRule="auto" w:line="288" w:before="0" w:after="180"/>
        <w:jc w:val="both"/>
        <w:rPr/>
      </w:pPr>
      <w:r>
        <w:rPr>
          <w:rFonts w:ascii="Times New Roman;sans-serif" w:hAnsi="Times New Roman;sans-serif"/>
          <w:b w:val="false"/>
          <w:color w:val="000000"/>
          <w:sz w:val="20"/>
        </w:rPr>
        <w:t>We rely on a limited number of suppliers, one of which is Twist Biosciences Corp. (“</w:t>
      </w:r>
      <w:r>
        <w:rPr>
          <w:rFonts w:ascii="Times New Roman;sans-serif" w:hAnsi="Times New Roman;sans-serif"/>
          <w:b w:val="false"/>
          <w:i/>
          <w:color w:val="000000"/>
          <w:sz w:val="20"/>
        </w:rPr>
        <w:t>Twist</w:t>
      </w:r>
      <w:r>
        <w:rPr>
          <w:color w:val="000000"/>
        </w:rPr>
        <w:t>”</w:t>
      </w:r>
      <w:r>
        <w:rPr>
          <w:rFonts w:ascii="Times New Roman;sans-serif" w:hAnsi="Times New Roman;sans-serif"/>
          <w:b w:val="false"/>
          <w:color w:val="000000"/>
          <w:sz w:val="20"/>
        </w:rPr>
        <w:t>), for certain laboratory reagents, as well as sequencers and other equipment and materials, which we use in our laboratory operations. We entered into a master supply agreement with Twist on January 24, 2023 for the purpose of the supply by Twist of these reagents, equipment and materials to us. Emily Leproust, Ph.D., a member of our Board since September 2020, has been President and Chief Executive Officer of Twist since co-founding Twist in 2013. Since October 2018, she has also served as the chair of the board of directors for Twist. For the years ended December 31, 2023 and 2022, we made payments to Twist of approximately $3.4 million and $1.5 million for lab testing materials, respectively.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Indemnification Agreements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contains provisions limiting the liability of directors and executive officers, and our Bylaws provide that we will indemnify each of our directors to the fullest extent permitted under Delaware law. Our Charter and our Bylaws also provide the Board with discretion to indemnify officers and employees when determined appropriate by our Board.</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indemnification agreements with each of our directors and executive officers and certain other key employees. The indemnification agreements provide that we will indemnify each of its directors, executive officers, and such other key employees against any and all expenses incurred by that director, executive officer, or other key employee because of his or her status as one of the Company’s directors, executive officers, or other key employees, to the fullest extent permitted by Delaware law, our Charter and our Bylaws. In addition, the indemnification agreements provide that, to the fullest extent permitted by Delaware law, the Company will advance all expenses incurred by its directors, executive officers, and other key employees in connection with a legal proceeding involving his or her status as a director, executive officer, or key employee.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Review, Approval or Ratification of Transactions with Related Parties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2021, we adopted a written related party transaction policy in connection with the completion of the Business Combination. The policy provides that officers, directors, holders of more than 5% of any class of our voting securities, and any member of the immediate family of and any entity affiliated with any of the foregoing persons, will not be permitted to enter into a related-party transaction with us without the prior consent of our Audit Committee, or other independent members of our Board in the event it is inappropriate for the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the proposed transactions, our Audit Committee will take into account all of the relevant facts and circumstances available.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lineRule="auto" w:line="288" w:before="0" w:after="180"/>
        <w:jc w:val="both"/>
        <w:rPr/>
      </w:pPr>
      <w:r>
        <w:rPr>
          <w:rFonts w:ascii="Times New Roman;sans-serif" w:hAnsi="Times New Roman;sans-serif"/>
          <w:b w:val="false"/>
          <w:color w:val="000000"/>
          <w:sz w:val="20"/>
        </w:rPr>
        <w:t>The rules of Nasdaq require that a majority of our Board be independent. An “independent director” is defined generally as a person other than an executive officer or employee of the issuer or any other individual having a relationship which, in the opinion of the issuer’s board of directors, would interfere with the exercise of independent judgement in carrying out the responsibilities of a director. Each individual serving on our Board, other than Katherine Stueland and Jason Ryan, qualifies as an independent director under Nasdaq listing standards. Each director who serves on our Audit Committee, Compensation Committee and Nominating and Corporate Governance Committee are independent under Nasdaq listing standards. See the section entitled “</w:t>
      </w:r>
      <w:r>
        <w:rPr>
          <w:rFonts w:ascii="Times New Roman;sans-serif" w:hAnsi="Times New Roman;sans-serif"/>
          <w:b w:val="false"/>
          <w:i/>
          <w:color w:val="000000"/>
          <w:sz w:val="20"/>
        </w:rPr>
        <w:t>Corporate Governance</w:t>
      </w:r>
      <w:r>
        <w:rPr>
          <w:color w:val="000000"/>
        </w:rPr>
        <w:t xml:space="preserve">” </w:t>
      </w:r>
      <w:r>
        <w:rPr>
          <w:rFonts w:ascii="Times New Roman;sans-serif" w:hAnsi="Times New Roman;sans-serif"/>
          <w:b w:val="false"/>
          <w:color w:val="000000"/>
          <w:sz w:val="20"/>
        </w:rPr>
        <w:t>elsewhere in this proxy statement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SECURITY OWNERSHIP OF BENEFICIAL OWNERS AND MANAGEMENT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with respect to the beneficial ownership of our Class A Common Stock as of April 15, 2024, by: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each stockholder known by us to be the beneficial owner of more than 5% of our Class A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each of our named executive officers;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each of our directors;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all of our current directors and executive officers as a group.</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Percentage ownership of our Class A Common Stock is based on 26,141,662 shares of our Class A Common Stock outstanding on April 15, 2024. Beneficial ownership is determined according to the rules of the SEC, which generally provide that a person has beneficial ownership of a security if he, she or it possesses sole or shared voting or investment power over that security or has the right to acquire a security, such as through the exercise of warrants or stock options or the vesting of RSUs, within 60 days of the date above. Shares subject to warrants or options that are currently exercisable or exercisable within 60 days of the date above or subject to RSUs that vest within 60 days of such date are considered outstanding and beneficially owned by the person holding such warrants, options or RSUs for the purpose of computing the percentage ownership of that person but are not treated as outstanding for the purpose of computing the percentage ownership of any other person.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GeneDx Holdings Corp., 333 Ludlow Street, North Tower, 6th Floor, Stamford, Connecticut 06902.</w:t>
      </w:r>
    </w:p>
    <w:p>
      <w:pPr>
        <w:pStyle w:val="TextBody"/>
        <w:bidi w:val="0"/>
        <w:jc w:val="both"/>
        <w:rPr/>
      </w:pPr>
      <w:r>
        <w:rPr/>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06"/>
        <w:gridCol w:w="1101"/>
        <w:gridCol w:w="1104"/>
        <w:gridCol w:w="109"/>
        <w:gridCol w:w="109"/>
        <w:gridCol w:w="109"/>
        <w:gridCol w:w="1200"/>
        <w:gridCol w:w="1045"/>
        <w:gridCol w:w="1048"/>
        <w:gridCol w:w="109"/>
        <w:gridCol w:w="109"/>
        <w:gridCol w:w="109"/>
        <w:gridCol w:w="772"/>
        <w:gridCol w:w="772"/>
        <w:gridCol w:w="1103"/>
      </w:tblGrid>
      <w:tr>
        <w:trPr/>
        <w:tc>
          <w:tcPr>
            <w:tcW w:w="140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36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 of Beneficial 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of Class A Common Stock Beneficially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Outstanding Class A Common Stock</w:t>
            </w:r>
          </w:p>
        </w:tc>
      </w:tr>
      <w:tr>
        <w:trPr/>
        <w:tc>
          <w:tcPr>
            <w:tcW w:w="36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Named Executive Officers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Katherine Stueland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115,642 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Kareem Saad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29,517 </w:t>
            </w:r>
          </w:p>
        </w:tc>
        <w:tc>
          <w:tcPr>
            <w:tcW w:w="10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Jason Ryan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188,394 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Kevin Feeley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41,595 </w:t>
            </w:r>
          </w:p>
        </w:tc>
        <w:tc>
          <w:tcPr>
            <w:tcW w:w="10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Eli D. Casdin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3,676,838 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r>
      <w:tr>
        <w:trPr/>
        <w:tc>
          <w:tcPr>
            <w:tcW w:w="36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Emily Leproust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169,190 </w:t>
            </w:r>
          </w:p>
        </w:tc>
        <w:tc>
          <w:tcPr>
            <w:tcW w:w="10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Keith Meister </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3,012,443 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r>
      <w:tr>
        <w:trPr/>
        <w:tc>
          <w:tcPr>
            <w:tcW w:w="36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Joshua Ruch </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196,327 </w:t>
            </w:r>
          </w:p>
        </w:tc>
        <w:tc>
          <w:tcPr>
            <w:tcW w:w="10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Richard Pfenniger, Jr. </w:t>
            </w:r>
            <w:r>
              <w:rPr>
                <w:rFonts w:ascii="Times New Roman;sans-serif" w:hAnsi="Times New Roman;sans-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21,183 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All Executive Officers and Directors as a Group (9 Persons)</w:t>
            </w:r>
            <w:r>
              <w:rPr>
                <w:color w:val="000000"/>
              </w:rPr>
              <w:t xml:space="preserve"> </w:t>
            </w:r>
            <w:r>
              <w:rPr>
                <w:rFonts w:ascii="Times New Roman;sans-serif" w:hAnsi="Times New Roman;sans-serif"/>
                <w:b/>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7,246,988</w:t>
            </w:r>
            <w:r>
              <w:rPr>
                <w:color w:val="000000"/>
              </w:rPr>
              <w:t> </w:t>
            </w:r>
          </w:p>
        </w:tc>
        <w:tc>
          <w:tcPr>
            <w:tcW w:w="10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27.3%</w:t>
            </w:r>
          </w:p>
        </w:tc>
      </w:tr>
      <w:tr>
        <w:trPr/>
        <w:tc>
          <w:tcPr>
            <w:tcW w:w="36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Icahn School of Medicine at Mount Sinai </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3,732,633 </w:t>
            </w:r>
          </w:p>
        </w:tc>
        <w:tc>
          <w:tcPr>
            <w:tcW w:w="10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36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Entities affiliated with Casdin Partners Master Fund, LP</w:t>
            </w:r>
            <w:r>
              <w:rPr>
                <w:color w:val="000000"/>
              </w:rPr>
              <w:t xml:space="preserve"> </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3,136,411 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36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Corvex Management LP </w:t>
            </w:r>
            <w:r>
              <w:rPr>
                <w:rFonts w:ascii="Times New Roman;sans-serif" w:hAnsi="Times New Roman;sans-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2,473,781 </w:t>
            </w:r>
          </w:p>
        </w:tc>
        <w:tc>
          <w:tcPr>
            <w:tcW w:w="10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r>
      <w:tr>
        <w:trPr/>
        <w:tc>
          <w:tcPr>
            <w:tcW w:w="36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OPKO Health, Inc. </w:t>
            </w:r>
            <w:r>
              <w:rPr>
                <w:rFonts w:ascii="Times New Roman;sans-serif" w:hAnsi="Times New Roman;sans-serif"/>
                <w:b w:val="false"/>
                <w:color w:val="000000"/>
                <w:sz w:val="13"/>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3,558,601 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36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The Goldman Sachs Group, Inc. </w:t>
            </w:r>
            <w:r>
              <w:rPr>
                <w:rFonts w:ascii="Times New Roman;sans-serif" w:hAnsi="Times New Roman;sans-serif"/>
                <w:b w:val="false"/>
                <w:color w:val="000000"/>
                <w:sz w:val="13"/>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1,823,737 </w:t>
            </w:r>
          </w:p>
        </w:tc>
        <w:tc>
          <w:tcPr>
            <w:tcW w:w="10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Less than one percent.</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(1)Consists of (i) 66,698 shares of Class A Common Stock, (ii) 22,042 shares of Class A Common Stock issuable pursuant to RSUs that will vest within 60 days of April 15, 2024, and (iii) 26,902 shares of Class A Common Stock subject to options that are exercisable within 60 days of April 15, 2024.</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(2)Consists of 29,517 shares of Class A Common Stock.</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(3)Consists of (i) 188,356 shares of Class A Common Stock, (ii) 38 shares of Class A Common Stock issuable pursuant to RSUs that will vest within 60 days of April 15, 2024</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(4)Consists of (i) 28,927 shares of Class A Common Stock, (ii) 6,476 shares of Class A Common Stock subject to options that are exercisable within 60 days of April 15, 2024, and (iii) 6,476 shares of Class A Common Stock issuable pursuant to RSUs that will vest within 60 days of April 15, 2024.</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(5)Based on the information set forth in a Schedule 13D/A filed with the SEC on November 17, 2023 by CMLS Holdings LLC and a Form 4 filed by Casdin Capital LLC on March 6, 2024. Consists of (i) 3,142 shares of Class A Common Stock directly held by Mr. Casdin; (ii) 2,703,509 shares of Class A Common Stock held by Casdin Partners Master Fund, LP; (iii) 432,902 shares of Class A Common Stock held by Casdin Partners FO1-MSV LP; and (iv) (x) 333,144 shares of Class A Common Stock and (y) 204,141 shares of Class A Common Stock issuable upon the exercise of 204,141 private placement warrants held by CMLS Holdings LLC. Casdin Capital, LLC is the investment adviser to Casdin Partners Master Fund, LP and Casdin Partners FO1-MSV LP, and Casdin Partners GP, LLC is the general partner of Casdin Partners Master Fund, LP and Casdin Partners FO1-MSV LP. Mr. Casdin is the managing member of Casdin Capital, LLC and Casdin Partners GP, LLC. As such, each of the foregoing may be deemed to have or share beneficial ownership of the Common Stock held directly by Casdin Partners Master Fund, LP. Except for the shares of Class A Common Stock described in (i) and (ii) above, 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 The business address for the entities listed herein is c/o Corvex Management, L.P., 667 Madison Avenue, New York, NY 10065.</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(6)Consists of (i) 2,524 shares of Class A Common Stock and (ii) 166,666 shares of Class A Common Stock underlying private placement warrants that are exercisable within 60 days of April 15, 2024.</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(7)Based solely on the information set forth in a Schedule 13D/A filed with the SEC on November 17, 2023 by CMLS Holdings LLC. Includes (i) 1,377 shares of Class A Common Stock held directly by Mr. Meister; (ii) 2,473,781 shares of Class A Common Stock held by Corvex Management, L.P., which may be deemed to be indirectly beneficially owned by Mr. Meister by virtue of Mr. Meister’s control of the general partner of Corvex Management, L.P.; and (iii) (x) 333,144 shares of Class A Common Stock and (y) 204,141 shares of Class A Common Stock underlying private placement warrants that are exercisable within 60 days of April 15, 2024 held by CMLS Holdings LLC. The Board of Managers of CMLS Holdings LLC is comprised of Mr. Casdin and Mr. Meister who share voting and investment discretion with respect to the Class A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entities listed herein is c/o Corvex Management LP, 667 Madison Avenue, New York, NY 10065.</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(8)Consists of (i) 196,289 shares of Class A Common Stock and (ii) 38 shares of Class A Common Stock subject to options that are exercisable within 60 days of April 15, 2024.</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(9)Consists of (i) 20,918 shares of Class A Common Stock and (ii) 265 shares of Class A Common Stock subject to options that are exercisable within 60 days of April 15, 2024.</w:t>
      </w:r>
    </w:p>
    <w:p>
      <w:pPr>
        <w:pStyle w:val="TextBody"/>
        <w:bidi w:val="0"/>
        <w:spacing w:lineRule="auto" w:line="288"/>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(10)Consists of (i) 6,814,228 shares of Class A Common Stock held directly and indirectly by all current directors and current executive officers of the Company as a group, (ii) 28,234 shares of Class A Common Stock issuable pursuant to RSUs held directly by all current directors and executive officers of the Company as a group and that will be vested within 60 days of April 15, 2024, (iii) 33,719 shares of Class A Common Stock subject to options held directly by all current directors and executive officers of the Company as a group and that are exercisable within 60 days of April 15, 2024, and (iv) 370,807 shares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of Class A Common Stock underlying private placement warrants held directly and indirectly by all current directors and executive officers of the Company as a group and that are exercisable within 60 days of April 15, 2024.</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(11)Based solely on the information set forth in a Schedule 13D/A filed with the SEC on February 6, 2023 by Icahn School of Medicine at Mount Sinai (“ISMMS”). After adjustment for the Reverse Stock Split, consists of 3,732,633 shares of Class A Common Stock held by ISMMS.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(12)Based on the information set forth in a Schedule 13D filed with the SEC on November 17, 2023 by CMLS Holdings LLC and a Form 4 filed by Casdin Capital LLC on March 6, 2024. Consists of 3,136,411 shares of Class A Common Stock of which (x) Casdin Partners Master Fund, LP holds 2,703,509 shares and (y) Casdin Partners FO1-MSV LP holds 432,902 shares. Casdin Capital, LLC is the investment adviser to Casdin Partners Master Fund, LP and Casdin Partners FO1-MSV LP, and Casdin Partners GP, LLC is the general partner of Casdin Partners Master Fund LP and Casdin Partners FO1-MSV LP. Mr. Casdin is the managing member of Casdin Capital, LLC and Casdin Partners GP, LLC. As such, each of the foregoing may be deemed to have or share beneficial ownership of the Class A Common Stock held directly by Casdin Partners Master Fund, LP. The business address for the entities listed herein is c/o Corvex Management, L.P., 667 Madison Avenue, New York, NY 10065.</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(13)Based solely on the information set forth in a Schedule 13D filed with the SEC on November 17, 2023 by CMLS Holdings LLC. Consists of 2,473,781 shares of Class A Common Stock held indirectly by Corvex Management, L.P., which may be deemed to be indirectly beneficially owned by Mr. Meister by virtue of Mr. Meister’s control of the general partner of Corvex Management, L.P. The business address for Corvex Management, L.P. is 667 Madison Avenue, New York, NY 10065.</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(14)Based solely on the information set forth in a Schedule 13D/A filed with the SEC on April 20, 2023 by OPKO Health, Inc. After adjustment for the Reverse Stock Split, consists of 3,558,601 shares of Class A Common Stock. The business address for OPKO Health, Inc. in 4400 Biscayne Boulevard, Miami, FL 33137.</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(15)Based solely on the information set forth in a Schedule 13G filed with the SEC on December 1, 2023 by The Goldman Sachs Group, Inc. ("Goldman"). Consists of 1,823,747 shares of Class A Common Stock held by Goldman. Goldman Sachs &amp; Co, LLC is the investment adviser to Goldman. As such, each of the foregoing may be deemed to have or share beneficial ownership of the Class A Common Stock held directly by Goldman. The address for Goldman is 200 West Street, New York, NY 10282.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Section 16(a) of the Exchange Act requires our directors, executive officers, and any persons who own more than 10% of our common stock, to file initial reports of ownership and reports of changes in ownership with the SEC. Based solely on our review of the forms filed with the SEC and written representations from the directors and executive officers, we believe that all Section 16(a) filing requirements were timely met in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Representatives of our independent registered public accounting firm, Ernst &amp; Young LLP, will be present at the Annual Meeting. The representatives will have the opportunity to make a statement if they so desire and they are expected to be available to respond to appropriate questions.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HOUSEHOLDING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Unless we have received contrary instructions, we may send a single copy of the Notice of Internet Availability of Proxy Materials, or this proxy statement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the shares are registered in the name of the stockholder, the stockholder should contact us at our offices at GeneDx Holdings Corp., 333 Ludlow Street, North Tower,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Stamford, Connecticut 06902 or by telephone at (888) 729-1206, to inform us of his or her request;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a bank, broker or other nominee holds the shares, the stockholder should contact the bank, broker or other nominee directly.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for our securities is Continental Stock Transfer &amp; Trust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SUBMISSION OF STOCKHOLDER PROPOSALS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is aware of no other matter that may be brought before the Annual Meeting. Under Delaware law, only business that is specified in the Notice of Annual Meeting to stockholders may be transacted at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FUTURE STOCKHOLDER PROPOSALS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the 2025 annual meeting of stockholders will be held no later than June 2025. For any proposal to be considered for inclusion in the proxy statement and form of proxy for the Company’s 2025 annual meeting of stockholders, it must be submitted in writing and comply with the requirements of Rule 14a-8 of the Exchange Act. Such proposals must be received by the Company at its principal executive offices a reasonable time before the Company begins to print and mail its 2025 annual meeting proxy materials in order to be considered for inclusion in the proxy materials for the 2025 annual meeting. Stockholder proposals submitted pursuant to Rule 14a-8 under the Exchange Act and intended to be presented at our 2025 annual meeting of stockholders must have been received by us not later than December 30, 2024 in order to be considered for inclusion in our proxy materials for that meeting.</w:t>
      </w:r>
    </w:p>
    <w:p>
      <w:pPr>
        <w:pStyle w:val="TextBody"/>
        <w:bidi w:val="0"/>
        <w:spacing w:lineRule="auto" w:line="288" w:before="0" w:after="180"/>
        <w:jc w:val="both"/>
        <w:rPr/>
      </w:pPr>
      <w:r>
        <w:rPr>
          <w:rFonts w:ascii="Times New Roman;sans-serif" w:hAnsi="Times New Roman;sans-serif"/>
          <w:b w:val="false"/>
          <w:color w:val="000000"/>
          <w:sz w:val="20"/>
        </w:rPr>
        <w:t>In addition to any other applicable requirements, for business and for nominations to be properly brought before an annual meeting by a stockholder, the Bylaws provide that the stockholder must give timely notice in proper written form to our Corporate Secretary at GeneDx Holdings Corp., 333 Ludlow Street, North Tower,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Stamford, Connecticut 06902, Attn: Corporate Secretary, and such business must otherwise be a proper matter for stockholder action. A stockholder’s notice to the Corporate Secretary must set forth as to each matter the stockholder proposes to bring before the annual meeting the information required by the Bylaws. Such notice, to be timely, must be received not less than 75 days nor more than 105 days prior to the first anniversary of the preceding year’s annual meeting. As a result, any notice given by or on behalf of a stockholder pursuant to these provisions of the Bylaws (and not pursuant to SEC Rule 14a-8) must be received by April 6, 2025 (but not before March 7, 2025). However, that in the event that the date of the annual meeting is advanced by more than thirty (30) days, or delayed by more than sixty (60) days, a stockholder’s notice must be so received not earlier than the one hundred and fifth (105th)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Nominations and proposals also must satisfy other requirements set forth in the Bylaws. The chairman of our Board may refuse to acknowledge the introduction of any stockholder proposal not made in compliance with the foregoing procedures and requirements set forth in the Bylaws.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complying with the procedures of our Bylaws, including the notice deadlines set forth above and therein, to comply with the universal proxy rules, stockholders who intend to solicit proxies in support of director nominees, other than the Company’s nominees, must also comply with the additional requirements of Rule 14a-19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bidi w:val="0"/>
        <w:spacing w:lineRule="auto" w:line="288" w:before="0" w:after="180"/>
        <w:jc w:val="both"/>
        <w:rPr/>
      </w:pPr>
      <w:r>
        <w:rPr>
          <w:rFonts w:ascii="Times New Roman;sans-serif" w:hAnsi="Times New Roman;sans-serif"/>
          <w:b w:val="false"/>
          <w:color w:val="000000"/>
          <w:sz w:val="20"/>
        </w:rPr>
        <w:t xml:space="preserve">We file reports, proxy statements and other information with the SEC as required by the Exchange Act. You can read the Company’s SEC filings, including this proxy statement, over the Internet at the SEC’s website at </w:t>
      </w:r>
      <w:r>
        <w:rPr>
          <w:rFonts w:ascii="Times New Roman;sans-serif" w:hAnsi="Times New Roman;sans-serif"/>
          <w:b w:val="false"/>
          <w:i/>
          <w:color w:val="000000"/>
          <w:sz w:val="20"/>
          <w:u w:val="single"/>
        </w:rPr>
        <w:t>http://www.sec.gov</w:t>
      </w:r>
      <w:r>
        <w:rPr>
          <w:rFonts w:ascii="Times New Roman;sans-serif" w:hAnsi="Times New Roman;sans-serif"/>
          <w:b w:val="false"/>
          <w:color w:val="000000"/>
          <w:sz w:val="20"/>
        </w:rPr>
        <w:t xml:space="preserv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would like additional copies of this proxy statement or if you have questions about the transaction or the proposals to be presented at the Annual Meeting, you should contact the Company at the following address and telephone number, or email: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 Ludlow Street</w:t>
      </w:r>
    </w:p>
    <w:p>
      <w:pPr>
        <w:pStyle w:val="TextBody"/>
        <w:bidi w:val="0"/>
        <w:spacing w:lineRule="auto" w:line="288" w:before="0" w:after="0"/>
        <w:jc w:val="center"/>
        <w:rPr/>
      </w:pPr>
      <w:r>
        <w:rPr>
          <w:rFonts w:ascii="Times New Roman;sans-serif" w:hAnsi="Times New Roman;sans-serif"/>
          <w:b w:val="false"/>
          <w:color w:val="000000"/>
          <w:sz w:val="20"/>
        </w:rPr>
        <w:t>North Tower, 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Stamford, Connecticut 06902</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Telephone: (888) 729-1206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Email: Investors@GeneDx.com</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Investor Relations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You may also obtain these documents by requesting them in writing or by telephone from the Company’s proxy solicitation agent at the following address and telephone number:</w:t>
      </w:r>
    </w:p>
    <w:p>
      <w:pPr>
        <w:pStyle w:val="TextBody"/>
        <w:bidi w:val="0"/>
        <w:spacing w:lineRule="auto" w:line="288" w:before="0" w:after="180"/>
        <w:jc w:val="both"/>
        <w:rPr/>
      </w:pPr>
      <w:r>
        <w:rPr>
          <w:rFonts w:ascii="Times New Roman;sans-serif" w:hAnsi="Times New Roman;sans-serif"/>
          <w:b/>
          <w:color w:val="000000"/>
          <w:sz w:val="20"/>
        </w:rPr>
        <w:t xml:space="preserve">If you are a stockholder of the Company and would like to request documents, please do so no later than five business days before the Annual Meeting in order to receive them before the Annual Meeting. </w:t>
      </w:r>
      <w:r>
        <w:rPr>
          <w:rFonts w:ascii="Times New Roman;sans-serif" w:hAnsi="Times New Roman;sans-serif"/>
          <w:b w:val="false"/>
          <w:color w:val="000000"/>
          <w:sz w:val="20"/>
        </w:rPr>
        <w:t xml:space="preserve">If you request any documents from us, we will mail them to you by first class mail, or another equally prompt means.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Electronic Delivery of Stockholder Communications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encourage you to help us conserve natural resources, as well as significantly reduce printing and mailing costs, by signing up to receive your stockholder communications electronically via e-mail. With electronic delivery, you will be notified via email as soon as future annual reports and proxy statements are available on the Internet, and you can submit your stockholder votes online. Electronic delivery can also eliminate duplicate mailings and reduce the amount of bulky paper documents you maintain in your personal files. To sign up for electronic delivery:</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Registered Owner</w:t>
      </w:r>
      <w:r>
        <w:rPr>
          <w:color w:val="000000"/>
        </w:rPr>
        <w:t> </w:t>
      </w:r>
      <w:r>
        <w:rPr>
          <w:rFonts w:ascii="Times New Roman;sans-serif" w:hAnsi="Times New Roman;sans-serif"/>
          <w:b w:val="false"/>
          <w:color w:val="000000"/>
          <w:sz w:val="20"/>
        </w:rPr>
        <w:t xml:space="preserve">(you hold our common stock in your own name through our transfer agent, Continental Stock Transfer &amp; Trust Company, or you are in possession of stock certificates): visit </w:t>
      </w:r>
      <w:r>
        <w:rPr>
          <w:rFonts w:ascii="Times New Roman;sans-serif" w:hAnsi="Times New Roman;sans-serif"/>
          <w:b w:val="false"/>
          <w:i/>
          <w:color w:val="000000"/>
          <w:sz w:val="20"/>
          <w:u w:val="single"/>
        </w:rPr>
        <w:t>www.continentalstock.com</w:t>
      </w:r>
      <w:r>
        <w:rPr>
          <w:color w:val="000000"/>
        </w:rPr>
        <w:t xml:space="preserve"> </w:t>
      </w:r>
      <w:r>
        <w:rPr>
          <w:rFonts w:ascii="Times New Roman;sans-serif" w:hAnsi="Times New Roman;sans-serif"/>
          <w:b w:val="false"/>
          <w:color w:val="000000"/>
          <w:sz w:val="20"/>
        </w:rPr>
        <w:t>and log into your account to enroll.</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Beneficial Owner</w:t>
      </w:r>
      <w:r>
        <w:rPr>
          <w:color w:val="000000"/>
        </w:rPr>
        <w:t> </w:t>
      </w:r>
      <w:r>
        <w:rPr>
          <w:rFonts w:ascii="Times New Roman;sans-serif" w:hAnsi="Times New Roman;sans-serif"/>
          <w:b w:val="false"/>
          <w:color w:val="000000"/>
          <w:sz w:val="20"/>
        </w:rPr>
        <w:t>(your shares are held by a brokerage firm, a bank, a trustee or a nominee): If you hold shares beneficially, please follow the instructions provided to you by your broker, bank, trustee or nominee.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Your electronic delivery enrollment will be effective until you cancel it. Stockholders who are record owners of shares of our Class A Common Stock may call Continental Stock Transfer &amp; Trust Company, our transfer agent, by phone at (212) 509-5586, by e-mail at cstmail@continentalstock.com, or visit </w:t>
      </w:r>
      <w:r>
        <w:rPr>
          <w:rFonts w:ascii="Times New Roman;sans-serif" w:hAnsi="Times New Roman;sans-serif"/>
          <w:b w:val="false"/>
          <w:i/>
          <w:color w:val="000000"/>
          <w:sz w:val="20"/>
          <w:u w:val="single"/>
        </w:rPr>
        <w:t>www.continentalstock.com</w:t>
      </w:r>
      <w:r>
        <w:rPr>
          <w:color w:val="000000"/>
        </w:rPr>
        <w:t xml:space="preserve"> </w:t>
      </w:r>
      <w:r>
        <w:rPr>
          <w:rFonts w:ascii="Times New Roman;sans-serif" w:hAnsi="Times New Roman;sans-serif"/>
          <w:b w:val="false"/>
          <w:color w:val="000000"/>
          <w:sz w:val="20"/>
        </w:rPr>
        <w:t>with questions about electronic delivery.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does not presently intend to bring any other business before the Annual Meeting and, so far as is known to our Board, no matters are to be brought before the Annual Meeting except as specified in the Notice of Annual Meeting of Stockholders. As to any business that may arise and properly come before the Annual Meeting, however, it is intended that proxies, in the form enclosed, will be voted in respect thereof in accordance with the judgment of the persons voting such proxies.</w:t>
      </w:r>
    </w:p>
    <w:tbl>
      <w:tblPr>
        <w:tblW w:w="4920" w:type="dxa"/>
        <w:jc w:val="left"/>
        <w:tblInd w:w="0" w:type="dxa"/>
        <w:tblLayout w:type="fixed"/>
        <w:tblCellMar>
          <w:top w:w="28" w:type="dxa"/>
          <w:left w:w="28" w:type="dxa"/>
          <w:bottom w:w="28" w:type="dxa"/>
          <w:right w:w="28" w:type="dxa"/>
        </w:tblCellMar>
      </w:tblPr>
      <w:tblGrid>
        <w:gridCol w:w="707"/>
        <w:gridCol w:w="620"/>
        <w:gridCol w:w="623"/>
        <w:gridCol w:w="868"/>
        <w:gridCol w:w="868"/>
        <w:gridCol w:w="123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2024</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Stamford, Connecticut</w:t>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PROXY CARD</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3.35pt;mso-position-horizontal:left;mso-position-horizontal-relative:text">
                <v:textbox>
                  <w:txbxContent>
                    <w:p>
                      <w:pPr>
                        <w:pStyle w:val="TextBody"/>
                        <w:bidi w:val="0"/>
                        <w:spacing w:lineRule="auto" w:line="386"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jc w:val="center"/>
        <w:rPr/>
      </w:pPr>
      <w:r>
        <w:rPr/>
        <w:drawing>
          <wp:inline distT="0" distB="0" distL="0" distR="0">
            <wp:extent cx="7038975" cy="9144000"/>
            <wp:effectExtent l="0" t="0" r="0" b="0"/>
            <wp:docPr id="3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 descr=""/>
                    <pic:cNvPicPr>
                      <a:picLocks noChangeAspect="1" noChangeArrowheads="1"/>
                    </pic:cNvPicPr>
                  </pic:nvPicPr>
                  <pic:blipFill>
                    <a:blip r:embed="rId4"/>
                    <a:stretch>
                      <a:fillRect/>
                    </a:stretch>
                  </pic:blipFill>
                  <pic:spPr bwMode="auto">
                    <a:xfrm>
                      <a:off x="0" y="0"/>
                      <a:ext cx="7038975" cy="9144000"/>
                    </a:xfrm>
                    <a:prstGeom prst="rect">
                      <a:avLst/>
                    </a:prstGeom>
                  </pic:spPr>
                </pic:pic>
              </a:graphicData>
            </a:graphic>
          </wp:inline>
        </w:drawing>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PROXY CARD</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93.35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jc w:val="center"/>
        <w:rPr/>
      </w:pPr>
      <w:r>
        <w:rPr/>
        <w:drawing>
          <wp:inline distT="0" distB="0" distL="0" distR="0">
            <wp:extent cx="7038975" cy="9144000"/>
            <wp:effectExtent l="0" t="0" r="0" b="0"/>
            <wp:docPr id="4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 descr=""/>
                    <pic:cNvPicPr>
                      <a:picLocks noChangeAspect="1" noChangeArrowheads="1"/>
                    </pic:cNvPicPr>
                  </pic:nvPicPr>
                  <pic:blipFill>
                    <a:blip r:embed="rId5"/>
                    <a:stretch>
                      <a:fillRect/>
                    </a:stretch>
                  </pic:blipFill>
                  <pic:spPr bwMode="auto">
                    <a:xfrm>
                      <a:off x="0" y="0"/>
                      <a:ext cx="7038975" cy="91440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21922</Words>
  <Characters>116706</Characters>
  <CharactersWithSpaces>137826</CharactersWithSpaces>
  <Paragraphs>1071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