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7</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229,657,978 Shares of Common Stock</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7,236,667 Warrants to Purchase Shares of Common Stock</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91440</wp:posOffset>
            </wp:positionV>
            <wp:extent cx="1071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393" w:lineRule="exact"/>
        <w:rPr>
          <w:sz w:val="24"/>
          <w:szCs w:val="24"/>
          <w:color w:val="auto"/>
        </w:rPr>
      </w:pPr>
    </w:p>
    <w:p>
      <w:pPr>
        <w:jc w:val="both"/>
        <w:spacing w:after="0" w:line="276" w:lineRule="auto"/>
        <w:rPr>
          <w:sz w:val="20"/>
          <w:szCs w:val="20"/>
          <w:color w:val="auto"/>
        </w:rPr>
      </w:pPr>
      <w:r>
        <w:rPr>
          <w:rFonts w:ascii="Arial" w:cs="Arial" w:eastAsia="Arial" w:hAnsi="Arial"/>
          <w:sz w:val="18"/>
          <w:szCs w:val="18"/>
          <w:color w:val="auto"/>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Items 5.02, 8.01 and 9.01(a) and (b), and the related exhibits to such items from our current report on Form 8-K, filed with the Securities and Exchange Commission (the “SEC”) on August 26, 2022. Accordingly, we have attached the information contained in Items 5.02, 8.01 and 9.01(a) and (b), and the related exhibits to such items in this prospectus supplement.</w:t>
      </w:r>
    </w:p>
    <w:p>
      <w:pPr>
        <w:spacing w:after="0" w:line="227" w:lineRule="exact"/>
        <w:rPr>
          <w:sz w:val="24"/>
          <w:szCs w:val="24"/>
          <w:color w:val="auto"/>
        </w:rPr>
      </w:pPr>
    </w:p>
    <w:p>
      <w:pPr>
        <w:jc w:val="both"/>
        <w:spacing w:after="0" w:line="310"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spacing w:after="0" w:line="133" w:lineRule="exact"/>
        <w:rPr>
          <w:sz w:val="24"/>
          <w:szCs w:val="24"/>
          <w:color w:val="auto"/>
        </w:rPr>
      </w:pPr>
    </w:p>
    <w:p>
      <w:pPr>
        <w:jc w:val="both"/>
        <w:spacing w:after="0" w:line="318"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30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 “SMFR” and “SMFRW”, respectively. On August 25, 2022, the last reported sales price of our common stock was $1.22 per share and the last reported sales price of our public warrants was $0.31 per warrant.</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9 of the Prospectus to read about factors you should consider before buying our securities.</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26, 2022</w:t>
      </w:r>
    </w:p>
    <w:p>
      <w:pPr>
        <w:sectPr>
          <w:pgSz w:w="11900" w:h="16838" w:orient="portrait"/>
          <w:cols w:equalWidth="0" w:num="1">
            <w:col w:w="11240"/>
          </w:cols>
          <w:pgMar w:left="320" w:top="1435" w:right="339" w:bottom="1440" w:gutter="0" w:footer="0" w:header="0"/>
        </w:sectPr>
      </w:pPr>
    </w:p>
    <w:bookmarkStart w:id="2" w:name="page3"/>
    <w:bookmarkEnd w:id="2"/>
    <w:p>
      <w:pPr>
        <w:ind w:right="2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11" w:lineRule="exact"/>
        <w:rPr>
          <w:sz w:val="20"/>
          <w:szCs w:val="20"/>
          <w:color w:val="auto"/>
        </w:rPr>
      </w:pPr>
    </w:p>
    <w:p>
      <w:pPr>
        <w:ind w:left="280" w:hanging="272"/>
        <w:spacing w:after="0"/>
        <w:tabs>
          <w:tab w:leader="none" w:pos="280" w:val="left"/>
        </w:tabs>
        <w:numPr>
          <w:ilvl w:val="0"/>
          <w:numId w:val="1"/>
        </w:numPr>
        <w:rPr>
          <w:rFonts w:ascii="Arial" w:cs="Arial" w:eastAsia="Arial" w:hAnsi="Arial"/>
          <w:sz w:val="20"/>
          <w:szCs w:val="20"/>
          <w:color w:val="auto"/>
        </w:rPr>
      </w:pPr>
      <w:r>
        <w:rPr>
          <w:rFonts w:ascii="Arial" w:cs="Arial" w:eastAsia="Arial" w:hAnsi="Arial"/>
          <w:sz w:val="22"/>
          <w:szCs w:val="22"/>
          <w:i w:val="1"/>
          <w:iCs w:val="1"/>
          <w:color w:val="auto"/>
        </w:rPr>
        <w:t>Departure of Directors or Certain Officers.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August 26, 2022, Sema4 Holdings Corp. (“Sema4 Holdings” or the “Company”) announced that its Interim Chief Financial Officer and Deputy Chief Financial Officer, Richard Miao, will leave the Company. Mr. Miao’s last day of employment will be September 2, 2022. Pursuant to his employment agreement with the Company, Mr. Miao will be entitled to receive accrued and unpaid compensation owed to him through the last day of his employment.</w:t>
      </w:r>
    </w:p>
    <w:p>
      <w:pPr>
        <w:spacing w:after="0" w:line="213"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2"/>
          <w:szCs w:val="22"/>
          <w:i w:val="1"/>
          <w:iCs w:val="1"/>
          <w:color w:val="auto"/>
        </w:rPr>
        <w:t>Appointment of Certain Officers.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August 25, 2022, Kevin Feeley, the Company’s current Senior Vice President of Operations and Head of GeneDx, was appointed to also serve as the Chief Financial Officer, effective August 25, 2022. In this role, Mr. Feeley has assumed the responsibilities of Principal Financial Officer and Principal Accounting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Mr. Feeley has served as Senior Vice President of Operations of the Company and Head of GeneDx since April 2022. Prior to joining the Company, Mr. Feeley held the position of Chief Financial Officer of BioReference Laboratories, Inc. and GeneDx, Inc. from January 2018 to April 2022. Mr. Feeley also spent more than a decade in the audit practice of KPMG LLP, working closely with large multinational pharmaceutical companies. He is a certified Public Accountant and holds a B.B.A. in Accounting from James Madison University.</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connection with the appointment, the Company and Mr. Feeley entered into an amendment to Mr. Feeley’s employment agreement providing for (i) a salary increase for a total annual base salary of $450,000, (ii) target annual bonus of 50% of annual base salary, and (iii) a grant of stock options and restricted stock units with an aggregate grant-date value of $750,000. The foregoing description of the amendment to Mr. Feeley’s employment agreement does not purport to be complete and is qualified in its entirety by reference to the full text of such amendment, a copy of which is attached as Exhibit 10.1 and is incorporated herein by reference.</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Mr. Feeley has no family relationships that require disclosure pursuant to Item 401(d) of Regulation S-K and has not been involved in any transactions that require disclosure pursuant to Item 404(a) of Regulation S-K. There is no arrangement or understanding between Mr. Feeley and any other person pursuant to which Mr. Feeley was named Chief Financial Officer of the Company.</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May 2, 2022, the Company filed a Current Report on Form 8-K (the “GeneDx Acquisition Form 8-K”) to report, among other items, the completion of the acquisition (the “Acquisition”) of GeneDx, Inc. (“GeneDx”) pursuant to that certain Agreement and Plan of Merger, dated January 14, 2022 (as amended, the “Merger Agreement”), among the Company, GeneDx, OPKO Health, Inc. and the other parties thereto. The GeneDx Acquisition Form 8-K incorporated by reference the audited combined carve out balance sheets of GeneDx and subsidiary as of December 31, 2021 and 2020, the related audited combined carve out statements of comprehensive loss, equity and cash flows for each of the two years in the period ended December 31, 2021, and the related notes (the “GeneDx Annual Financial Statements”), and included the unaudited pro forma combined financial information of the Company giving effect to the Acquisition of GeneDx as of and for the year ended December 31, 2021, and the related notes (the “Company Annual Pro Forma Financial Information”).</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filing of Registration Statements on Form S-3 by the Company on the date hereof, this Current Report on Form 8-K is also being filed to provide updated combined carve out financial statements of GeneDx and subsidiary for the three months ended March 31, 2022 and 2021 (the “GeneDx Interim Financial Statements”) and updated unaudited pro forma combined financial information of the Company giving effect to the Acquisition for the six months ended June 30, 2022 (the “Company Interim Pro Forma Financial Information”), as required by Form S-3. These GeneDx Interim Financial Statements and the Company Interim Pro Forma Financial Information updates and supplements the GeneDx Annual Financial Statements and the Company Annual Pro Forma Financial Information. To the extent that information in Item 8.01 and Item 9.01(a) and (b) of this Current Report on Form 8-K and the related Exhibits 99.2 and 99.3 hereto differs from or updates information contained in the GeneDx Acquisition Form 8-K, the information</w:t>
      </w:r>
    </w:p>
    <w:p>
      <w:pPr>
        <w:sectPr>
          <w:pgSz w:w="11900" w:h="16838" w:orient="portrait"/>
          <w:cols w:equalWidth="0" w:num="1">
            <w:col w:w="11240"/>
          </w:cols>
          <w:pgMar w:left="320" w:top="765" w:right="339" w:bottom="1440" w:gutter="0" w:footer="0" w:header="0"/>
        </w:sectPr>
      </w:pPr>
    </w:p>
    <w:bookmarkStart w:id="3" w:name="page4"/>
    <w:bookmarkEnd w:id="3"/>
    <w:p>
      <w:pPr>
        <w:spacing w:after="0" w:line="246" w:lineRule="auto"/>
        <w:rPr>
          <w:sz w:val="20"/>
          <w:szCs w:val="20"/>
          <w:color w:val="auto"/>
        </w:rPr>
      </w:pPr>
      <w:r>
        <w:rPr>
          <w:rFonts w:ascii="Arial" w:cs="Arial" w:eastAsia="Arial" w:hAnsi="Arial"/>
          <w:sz w:val="20"/>
          <w:szCs w:val="20"/>
          <w:color w:val="auto"/>
        </w:rPr>
        <w:t>in such items of and exhibits to this Current Report on Form 8-K shall supersede or supplement the information in the GeneDx Acquisition Form 8-K.</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 and Exhibits.</w:t>
      </w:r>
    </w:p>
    <w:p>
      <w:pPr>
        <w:spacing w:after="0" w:line="168" w:lineRule="exact"/>
        <w:rPr>
          <w:sz w:val="20"/>
          <w:szCs w:val="20"/>
          <w:color w:val="auto"/>
        </w:rPr>
      </w:pPr>
    </w:p>
    <w:p>
      <w:pPr>
        <w:ind w:left="420" w:hanging="412"/>
        <w:spacing w:after="0"/>
        <w:tabs>
          <w:tab w:leader="none" w:pos="420" w:val="left"/>
        </w:tabs>
        <w:numPr>
          <w:ilvl w:val="0"/>
          <w:numId w:val="3"/>
        </w:numPr>
        <w:rPr>
          <w:rFonts w:ascii="Arial" w:cs="Arial" w:eastAsia="Arial" w:hAnsi="Arial"/>
          <w:sz w:val="20"/>
          <w:szCs w:val="20"/>
          <w:color w:val="auto"/>
        </w:rPr>
      </w:pPr>
      <w:r>
        <w:rPr>
          <w:rFonts w:ascii="Arial" w:cs="Arial" w:eastAsia="Arial" w:hAnsi="Arial"/>
          <w:sz w:val="20"/>
          <w:szCs w:val="20"/>
          <w:color w:val="auto"/>
        </w:rPr>
        <w:t>Financial Statements of Business Acquired.</w:t>
      </w:r>
    </w:p>
    <w:p>
      <w:pPr>
        <w:spacing w:after="0" w:line="256" w:lineRule="exact"/>
        <w:rPr>
          <w:rFonts w:ascii="Arial" w:cs="Arial" w:eastAsia="Arial" w:hAnsi="Arial"/>
          <w:sz w:val="20"/>
          <w:szCs w:val="20"/>
          <w:color w:val="auto"/>
        </w:rPr>
      </w:pPr>
    </w:p>
    <w:p>
      <w:pPr>
        <w:ind w:left="980" w:right="280" w:hanging="243"/>
        <w:spacing w:after="0" w:line="301" w:lineRule="auto"/>
        <w:tabs>
          <w:tab w:leader="none" w:pos="1215"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combined carve-out financial statements of GeneDx and Subsidiary for the three months ended March 31, 2022 and March 2021, are being filed as Exhibit 99.2 to this Current Report on Form 8-K and are included herein.</w:t>
      </w:r>
    </w:p>
    <w:p>
      <w:pPr>
        <w:spacing w:after="0" w:line="180" w:lineRule="exact"/>
        <w:rPr>
          <w:rFonts w:ascii="Arial" w:cs="Arial" w:eastAsia="Arial" w:hAnsi="Arial"/>
          <w:sz w:val="19"/>
          <w:szCs w:val="19"/>
          <w:color w:val="auto"/>
        </w:rPr>
      </w:pPr>
    </w:p>
    <w:p>
      <w:pPr>
        <w:ind w:left="300" w:hanging="292"/>
        <w:spacing w:after="0"/>
        <w:tabs>
          <w:tab w:leader="none" w:pos="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 Forma Financial Information.</w:t>
      </w:r>
    </w:p>
    <w:p>
      <w:pPr>
        <w:spacing w:after="0" w:line="242" w:lineRule="exact"/>
        <w:rPr>
          <w:rFonts w:ascii="Arial" w:cs="Arial" w:eastAsia="Arial" w:hAnsi="Arial"/>
          <w:sz w:val="20"/>
          <w:szCs w:val="20"/>
          <w:color w:val="auto"/>
        </w:rPr>
      </w:pPr>
    </w:p>
    <w:p>
      <w:pPr>
        <w:ind w:left="980" w:right="140" w:hanging="243"/>
        <w:spacing w:after="0" w:line="301" w:lineRule="auto"/>
        <w:tabs>
          <w:tab w:leader="none" w:pos="1017" w:val="left"/>
        </w:tabs>
        <w:numPr>
          <w:ilvl w:val="1"/>
          <w:numId w:val="3"/>
        </w:numPr>
        <w:rPr>
          <w:rFonts w:ascii="Arial" w:cs="Arial" w:eastAsia="Arial" w:hAnsi="Arial"/>
          <w:sz w:val="19"/>
          <w:szCs w:val="19"/>
          <w:color w:val="auto"/>
        </w:rPr>
      </w:pPr>
      <w:r>
        <w:rPr>
          <w:rFonts w:ascii="Arial" w:cs="Arial" w:eastAsia="Arial" w:hAnsi="Arial"/>
          <w:sz w:val="19"/>
          <w:szCs w:val="19"/>
          <w:color w:val="auto"/>
        </w:rPr>
        <w:t>The unaudited pro forma combined financial information of the Company giving effect to the Acquisition for the six months ended June 30, 2022, is being filed as Exhibit 99.3 to this Current Report on Form 8-K and is included herein.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40" w:type="dxa"/>
            <w:vAlign w:val="bottom"/>
            <w:gridSpan w:val="5"/>
          </w:tcPr>
          <w:p>
            <w:pPr>
              <w:spacing w:after="0"/>
              <w:rPr>
                <w:sz w:val="20"/>
                <w:szCs w:val="20"/>
                <w:color w:val="auto"/>
              </w:rPr>
            </w:pPr>
            <w:r>
              <w:rPr>
                <w:rFonts w:ascii="Arial" w:cs="Arial" w:eastAsia="Arial" w:hAnsi="Arial"/>
                <w:sz w:val="20"/>
                <w:szCs w:val="20"/>
                <w:color w:val="auto"/>
              </w:rPr>
              <w:t>(d) Exhibits.</w:t>
            </w:r>
          </w:p>
        </w:tc>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20"/>
                <w:szCs w:val="20"/>
                <w:b w:val="1"/>
                <w:bCs w:val="1"/>
                <w:color w:val="auto"/>
                <w:w w:val="92"/>
              </w:rPr>
              <w:t>Exhibit</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0" w:type="dxa"/>
            <w:vAlign w:val="bottom"/>
            <w:vMerge w:val="restart"/>
          </w:tcPr>
          <w:p>
            <w:pPr>
              <w:spacing w:after="0"/>
              <w:rPr>
                <w:sz w:val="22"/>
                <w:szCs w:val="22"/>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2"/>
              </w:rPr>
              <w:t>Number</w:t>
            </w:r>
          </w:p>
        </w:tc>
        <w:tc>
          <w:tcPr>
            <w:tcW w:w="280" w:type="dxa"/>
            <w:vAlign w:val="bottom"/>
            <w:vMerge w:val="restart"/>
          </w:tcPr>
          <w:p>
            <w:pPr>
              <w:spacing w:after="0"/>
              <w:rPr>
                <w:sz w:val="22"/>
                <w:szCs w:val="22"/>
                <w:color w:val="auto"/>
              </w:rPr>
            </w:pPr>
          </w:p>
        </w:tc>
        <w:tc>
          <w:tcPr>
            <w:tcW w:w="4500" w:type="dxa"/>
            <w:vAlign w:val="bottom"/>
            <w:vMerge w:val="restart"/>
          </w:tcPr>
          <w:p>
            <w:pPr>
              <w:spacing w:after="0"/>
              <w:rPr>
                <w:sz w:val="22"/>
                <w:szCs w:val="22"/>
                <w:color w:val="auto"/>
              </w:rPr>
            </w:pPr>
          </w:p>
        </w:tc>
        <w:tc>
          <w:tcPr>
            <w:tcW w:w="462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34"/>
        </w:trPr>
        <w:tc>
          <w:tcPr>
            <w:tcW w:w="260" w:type="dxa"/>
            <w:vAlign w:val="bottom"/>
            <w:vMerge w:val="continue"/>
          </w:tcPr>
          <w:p>
            <w:pPr>
              <w:spacing w:after="0"/>
              <w:rPr>
                <w:sz w:val="2"/>
                <w:szCs w:val="2"/>
                <w:color w:val="auto"/>
              </w:rPr>
            </w:pPr>
          </w:p>
        </w:tc>
        <w:tc>
          <w:tcPr>
            <w:tcW w:w="700" w:type="dxa"/>
            <w:vAlign w:val="bottom"/>
            <w:gridSpan w:val="3"/>
          </w:tcPr>
          <w:p>
            <w:pPr>
              <w:spacing w:after="0"/>
              <w:rPr>
                <w:sz w:val="2"/>
                <w:szCs w:val="2"/>
                <w:color w:val="auto"/>
              </w:rPr>
            </w:pPr>
          </w:p>
        </w:tc>
        <w:tc>
          <w:tcPr>
            <w:tcW w:w="280" w:type="dxa"/>
            <w:vAlign w:val="bottom"/>
            <w:vMerge w:val="continue"/>
          </w:tcPr>
          <w:p>
            <w:pPr>
              <w:spacing w:after="0"/>
              <w:rPr>
                <w:sz w:val="2"/>
                <w:szCs w:val="2"/>
                <w:color w:val="auto"/>
              </w:rPr>
            </w:pPr>
          </w:p>
        </w:tc>
        <w:tc>
          <w:tcPr>
            <w:tcW w:w="4500" w:type="dxa"/>
            <w:vAlign w:val="bottom"/>
            <w:vMerge w:val="continue"/>
          </w:tcPr>
          <w:p>
            <w:pPr>
              <w:spacing w:after="0"/>
              <w:rPr>
                <w:sz w:val="2"/>
                <w:szCs w:val="2"/>
                <w:color w:val="auto"/>
              </w:rPr>
            </w:pPr>
          </w:p>
        </w:tc>
        <w:tc>
          <w:tcPr>
            <w:tcW w:w="46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3"/>
            <w:vMerge w:val="restart"/>
          </w:tcPr>
          <w:p>
            <w:pPr>
              <w:jc w:val="center"/>
              <w:ind w:left="201"/>
              <w:spacing w:after="0"/>
              <w:rPr>
                <w:sz w:val="20"/>
                <w:szCs w:val="20"/>
                <w:color w:val="auto"/>
              </w:rPr>
            </w:pPr>
            <w:r>
              <w:rPr>
                <w:rFonts w:ascii="Arial" w:cs="Arial" w:eastAsia="Arial" w:hAnsi="Arial"/>
                <w:sz w:val="20"/>
                <w:szCs w:val="20"/>
                <w:color w:val="auto"/>
                <w:w w:val="87"/>
              </w:rPr>
              <w:t>10.1</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gridSpan w:val="5"/>
          </w:tcPr>
          <w:p>
            <w:pPr>
              <w:spacing w:after="0"/>
              <w:rPr>
                <w:rFonts w:ascii="Arial" w:cs="Arial" w:eastAsia="Arial" w:hAnsi="Arial"/>
                <w:sz w:val="20"/>
                <w:szCs w:val="20"/>
                <w:color w:val="0000FF"/>
              </w:rPr>
            </w:pPr>
            <w:hyperlink r:id="rId10">
              <w:r>
                <w:rPr>
                  <w:rFonts w:ascii="Arial" w:cs="Arial" w:eastAsia="Arial" w:hAnsi="Arial"/>
                  <w:sz w:val="20"/>
                  <w:szCs w:val="20"/>
                  <w:color w:val="0000FF"/>
                </w:rPr>
                <w:t>Amendment No.1 to the Employment of Agreement of Kevin Feeley, dated August 25, 2022</w:t>
              </w:r>
            </w:hyperlink>
          </w:p>
        </w:tc>
        <w:tc>
          <w:tcPr>
            <w:tcW w:w="0" w:type="dxa"/>
            <w:vAlign w:val="bottom"/>
          </w:tcPr>
          <w:p>
            <w:pPr>
              <w:spacing w:after="0"/>
              <w:rPr>
                <w:sz w:val="1"/>
                <w:szCs w:val="1"/>
                <w:color w:val="auto"/>
              </w:rPr>
            </w:pPr>
          </w:p>
        </w:tc>
      </w:tr>
      <w:tr>
        <w:trPr>
          <w:trHeight w:val="20"/>
        </w:trPr>
        <w:tc>
          <w:tcPr>
            <w:tcW w:w="920" w:type="dxa"/>
            <w:vAlign w:val="bottom"/>
            <w:gridSpan w:val="3"/>
            <w:vMerge w:val="restart"/>
          </w:tcPr>
          <w:p>
            <w:pPr>
              <w:jc w:val="center"/>
              <w:ind w:left="201"/>
              <w:spacing w:after="0"/>
              <w:rPr>
                <w:sz w:val="20"/>
                <w:szCs w:val="20"/>
                <w:color w:val="auto"/>
              </w:rPr>
            </w:pPr>
            <w:r>
              <w:rPr>
                <w:rFonts w:ascii="Arial" w:cs="Arial" w:eastAsia="Arial" w:hAnsi="Arial"/>
                <w:sz w:val="20"/>
                <w:szCs w:val="20"/>
                <w:color w:val="auto"/>
                <w:w w:val="87"/>
              </w:rPr>
              <w:t>99.2</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2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bottom w:val="single" w:sz="8" w:color="0000FF"/>
            </w:tcBorders>
            <w:gridSpan w:val="5"/>
          </w:tcPr>
          <w:p>
            <w:pPr>
              <w:spacing w:after="0"/>
              <w:rPr>
                <w:rFonts w:ascii="Arial" w:cs="Arial" w:eastAsia="Arial" w:hAnsi="Arial"/>
                <w:sz w:val="20"/>
                <w:szCs w:val="20"/>
                <w:color w:val="0000FF"/>
                <w:w w:val="89"/>
              </w:rPr>
            </w:pPr>
            <w:hyperlink r:id="rId11">
              <w:r>
                <w:rPr>
                  <w:rFonts w:ascii="Arial" w:cs="Arial" w:eastAsia="Arial" w:hAnsi="Arial"/>
                  <w:sz w:val="20"/>
                  <w:szCs w:val="20"/>
                  <w:color w:val="0000FF"/>
                  <w:w w:val="89"/>
                </w:rPr>
                <w:t>Combined Carve-out Financial Statements of GeneDx and Subsidiary for the Three Months Ended March 31, 2022</w:t>
              </w:r>
            </w:hyperlink>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left="201"/>
              <w:spacing w:after="0"/>
              <w:rPr>
                <w:sz w:val="20"/>
                <w:szCs w:val="20"/>
                <w:color w:val="auto"/>
              </w:rPr>
            </w:pPr>
            <w:r>
              <w:rPr>
                <w:rFonts w:ascii="Arial" w:cs="Arial" w:eastAsia="Arial" w:hAnsi="Arial"/>
                <w:sz w:val="20"/>
                <w:szCs w:val="20"/>
                <w:color w:val="auto"/>
                <w:w w:val="87"/>
              </w:rPr>
              <w:t>99.3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gridSpan w:val="5"/>
          </w:tcPr>
          <w:p>
            <w:pPr>
              <w:spacing w:after="0"/>
              <w:rPr>
                <w:rFonts w:ascii="Arial" w:cs="Arial" w:eastAsia="Arial" w:hAnsi="Arial"/>
                <w:sz w:val="20"/>
                <w:szCs w:val="20"/>
                <w:color w:val="0000FF"/>
                <w:w w:val="92"/>
              </w:rPr>
            </w:pPr>
            <w:hyperlink r:id="rId12">
              <w:r>
                <w:rPr>
                  <w:rFonts w:ascii="Arial" w:cs="Arial" w:eastAsia="Arial" w:hAnsi="Arial"/>
                  <w:sz w:val="20"/>
                  <w:szCs w:val="20"/>
                  <w:color w:val="0000FF"/>
                  <w:w w:val="92"/>
                </w:rPr>
                <w:t>Unaudited Pro Forma Combined Financial Information of the Company for the Six Months ended June 30, 2022</w:t>
              </w:r>
            </w:hyperlink>
          </w:p>
        </w:tc>
        <w:tc>
          <w:tcPr>
            <w:tcW w:w="0" w:type="dxa"/>
            <w:vAlign w:val="bottom"/>
          </w:tcPr>
          <w:p>
            <w:pPr>
              <w:spacing w:after="0"/>
              <w:rPr>
                <w:sz w:val="1"/>
                <w:szCs w:val="1"/>
                <w:color w:val="auto"/>
              </w:rPr>
            </w:pPr>
          </w:p>
        </w:tc>
      </w:tr>
      <w:tr>
        <w:trPr>
          <w:trHeight w:val="376"/>
        </w:trPr>
        <w:tc>
          <w:tcPr>
            <w:tcW w:w="920" w:type="dxa"/>
            <w:vAlign w:val="bottom"/>
            <w:gridSpan w:val="3"/>
          </w:tcPr>
          <w:p>
            <w:pPr>
              <w:jc w:val="center"/>
              <w:ind w:left="201"/>
              <w:spacing w:after="0"/>
              <w:rPr>
                <w:sz w:val="20"/>
                <w:szCs w:val="20"/>
                <w:color w:val="auto"/>
              </w:rPr>
            </w:pPr>
            <w:r>
              <w:rPr>
                <w:rFonts w:ascii="Arial" w:cs="Arial" w:eastAsia="Arial" w:hAnsi="Arial"/>
                <w:sz w:val="20"/>
                <w:szCs w:val="20"/>
                <w:color w:val="auto"/>
                <w:w w:val="89"/>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top w:val="single" w:sz="8" w:color="0000FF"/>
            </w:tcBorders>
            <w:gridSpan w:val="4"/>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771"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3200" w:type="dxa"/>
            <w:vAlign w:val="bottom"/>
          </w:tcPr>
          <w:p>
            <w:pPr>
              <w:spacing w:after="0"/>
              <w:rPr>
                <w:sz w:val="22"/>
                <w:szCs w:val="22"/>
                <w:color w:val="auto"/>
              </w:rPr>
            </w:pPr>
          </w:p>
        </w:tc>
        <w:tc>
          <w:tcPr>
            <w:tcW w:w="7320" w:type="dxa"/>
            <w:vAlign w:val="bottom"/>
            <w:gridSpan w:val="2"/>
          </w:tcPr>
          <w:p>
            <w:pPr>
              <w:ind w:left="1420"/>
              <w:spacing w:after="0"/>
              <w:rPr>
                <w:sz w:val="20"/>
                <w:szCs w:val="20"/>
                <w:color w:val="auto"/>
              </w:rPr>
            </w:pPr>
            <w:r>
              <w:rPr>
                <w:rFonts w:ascii="Arial" w:cs="Arial" w:eastAsia="Arial" w:hAnsi="Arial"/>
                <w:sz w:val="20"/>
                <w:szCs w:val="20"/>
                <w:b w:val="1"/>
                <w:bCs w:val="1"/>
                <w:color w:val="auto"/>
              </w:rPr>
              <w:t>Sema4 Holdings Corp.</w:t>
            </w:r>
          </w:p>
        </w:tc>
      </w:tr>
      <w:tr>
        <w:trPr>
          <w:trHeight w:val="529"/>
        </w:trPr>
        <w:tc>
          <w:tcPr>
            <w:tcW w:w="3200" w:type="dxa"/>
            <w:vAlign w:val="bottom"/>
          </w:tcPr>
          <w:p>
            <w:pPr>
              <w:spacing w:after="0"/>
              <w:rPr>
                <w:sz w:val="20"/>
                <w:szCs w:val="20"/>
                <w:color w:val="auto"/>
              </w:rPr>
            </w:pPr>
            <w:r>
              <w:rPr>
                <w:rFonts w:ascii="Arial" w:cs="Arial" w:eastAsia="Arial" w:hAnsi="Arial"/>
                <w:sz w:val="20"/>
                <w:szCs w:val="20"/>
                <w:color w:val="auto"/>
              </w:rPr>
              <w:t>Date: August 26, 2022</w:t>
            </w:r>
          </w:p>
        </w:tc>
        <w:tc>
          <w:tcPr>
            <w:tcW w:w="2420" w:type="dxa"/>
            <w:vAlign w:val="bottom"/>
          </w:tcPr>
          <w:p>
            <w:pPr>
              <w:ind w:left="1420"/>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Katherine Stueland</w:t>
            </w:r>
          </w:p>
        </w:tc>
      </w:tr>
      <w:tr>
        <w:trPr>
          <w:trHeight w:val="250"/>
        </w:trPr>
        <w:tc>
          <w:tcPr>
            <w:tcW w:w="3200" w:type="dxa"/>
            <w:vAlign w:val="bottom"/>
          </w:tcPr>
          <w:p>
            <w:pPr>
              <w:spacing w:after="0"/>
              <w:rPr>
                <w:sz w:val="21"/>
                <w:szCs w:val="21"/>
                <w:color w:val="auto"/>
              </w:rPr>
            </w:pPr>
          </w:p>
        </w:tc>
        <w:tc>
          <w:tcPr>
            <w:tcW w:w="2420" w:type="dxa"/>
            <w:vAlign w:val="bottom"/>
          </w:tcPr>
          <w:p>
            <w:pPr>
              <w:ind w:left="142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Katherine Stueland</w:t>
            </w:r>
          </w:p>
        </w:tc>
      </w:tr>
      <w:tr>
        <w:trPr>
          <w:trHeight w:val="253"/>
        </w:trPr>
        <w:tc>
          <w:tcPr>
            <w:tcW w:w="3200" w:type="dxa"/>
            <w:vAlign w:val="bottom"/>
          </w:tcPr>
          <w:p>
            <w:pPr>
              <w:spacing w:after="0"/>
              <w:rPr>
                <w:sz w:val="22"/>
                <w:szCs w:val="22"/>
                <w:color w:val="auto"/>
              </w:rPr>
            </w:pPr>
          </w:p>
        </w:tc>
        <w:tc>
          <w:tcPr>
            <w:tcW w:w="2420" w:type="dxa"/>
            <w:vAlign w:val="bottom"/>
          </w:tcPr>
          <w:p>
            <w:pPr>
              <w:ind w:left="142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13" w:right="339" w:bottom="1440" w:gutter="0" w:footer="0" w:header="0"/>
        </w:sectPr>
      </w:pPr>
    </w:p>
    <w:bookmarkStart w:id="5" w:name="page6"/>
    <w:bookmarkEnd w:id="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2"/>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1818331/000162828022023779/exhibit101-8xkx8262022.htm" TargetMode="External"/><Relationship Id="rId11" Type="http://schemas.openxmlformats.org/officeDocument/2006/relationships/hyperlink" Target="https://www.sec.gov/Archives/edgar/data/1818331/000162828022023779/exhibit992-8xkx8262022.htm" TargetMode="External"/><Relationship Id="rId12" Type="http://schemas.openxmlformats.org/officeDocument/2006/relationships/hyperlink" Target="https://www.sec.gov/Archives/edgar/data/1818331/000162828022023779/exhibit993-8xkx826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2022-08-26T18:52:28Z</dcterms:created>
  <dcterms:modified xsi:type="dcterms:W3CDTF">2022-08-26T18:52:28Z</dcterms:modified>
</cp:coreProperties>
</file>