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200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001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03/15/2026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right"/>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jc w:val="center"/>
              <w:ind w:left="38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3,815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3"/>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25,657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7,197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3"/>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32,854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76.3492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30,470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3,065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77.0495</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27,405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89"/>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77.9354</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27,148</w:t>
            </w:r>
            <w:r>
              <w:rPr>
                <w:rFonts w:ascii="Times New Roman" w:cs="Times New Roman" w:eastAsia="Times New Roman" w:hAnsi="Times New Roman"/>
                <w:sz w:val="21"/>
                <w:szCs w:val="21"/>
                <w:color w:val="008000"/>
                <w:w w:val="95"/>
                <w:vertAlign w:val="superscript"/>
              </w:rPr>
              <w:t>(6)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3,815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03/15/2026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3,815</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11,446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7,197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03/16/2026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28,787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$75.735 to $76.73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and 5 of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$76.74 to $77.71 per share,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$77.75 to $78.16 per share, inclusive.</w:t>
      </w:r>
    </w:p>
    <w:p>
      <w:pPr>
        <w:spacing w:after="0" w:line="45" w:lineRule="exact"/>
        <w:rPr>
          <w:rFonts w:ascii="Times New Roman" w:cs="Times New Roman" w:eastAsia="Times New Roman" w:hAnsi="Times New Roman"/>
          <w:sz w:val="13"/>
          <w:szCs w:val="13"/>
          <w:color w:val="008000"/>
        </w:rPr>
      </w:pPr>
    </w:p>
    <w:p>
      <w:pPr>
        <w:jc w:val="both"/>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27,148 shares of Class A Common Stock beneficially owned by the Reporting Person, the Reporting Person held RSUs representing contingent rights to receive up to an aggregate 109,423 shares of the Issuer's Class A Common Stock and options to purchase up to an aggregate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award vested or vests annually on the anniversary of the grant date, with the first tranche vested on March 15, 2026, subject to the Reporting Person's continued service to the Issuer on each vesting date. These RSUs do not have an expiration date; they either vest or are cancelled prior to the vesting date.</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2026-03-17T17:42:18Z</dcterms:created>
  <dcterms:modified xsi:type="dcterms:W3CDTF">2026-03-17T17:42:18Z</dcterms:modified>
</cp:coreProperties>
</file>