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Clark Daniel Emmett</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05"/>
        <w:spacing w:after="0"/>
        <w:rPr>
          <w:sz w:val="20"/>
          <w:szCs w:val="20"/>
          <w:color w:val="auto"/>
        </w:rPr>
      </w:pPr>
      <w:r>
        <w:rPr>
          <w:rFonts w:ascii="Arial" w:cs="Arial" w:eastAsia="Arial" w:hAnsi="Arial"/>
          <w:sz w:val="17"/>
          <w:szCs w:val="17"/>
          <w:color w:val="0000FF"/>
        </w:rPr>
        <w:t>Secretary and General Counsel</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5,800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8,484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2,093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5.53</w:t>
            </w:r>
            <w:r>
              <w:rPr>
                <w:rFonts w:ascii="Arial" w:cs="Arial" w:eastAsia="Arial" w:hAnsi="Arial"/>
                <w:sz w:val="22"/>
                <w:szCs w:val="22"/>
                <w:color w:val="008000"/>
                <w:w w:val="85"/>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6,391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$5.61,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44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2021-12-03T17:55:58Z</dcterms:created>
  <dcterms:modified xsi:type="dcterms:W3CDTF">2021-12-03T17:55:58Z</dcterms:modified>
</cp:coreProperties>
</file>