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6869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Charney Dennis</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3"/>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-3426460</wp:posOffset>
            </wp:positionV>
            <wp:extent cx="29210" cy="343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315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as of 1/36 of the total shares monthly beginning on November 15, 2021 until fully vested, subject to the Reporting Person continuing to provide services to the Issuer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will vest in equal annual installments over the three-year period following the grant date, subject to the Reporting Person continuing to provide services to the Issuer through each vesting 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40"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2021-10-19T18:19:29Z</dcterms:created>
  <dcterms:modified xsi:type="dcterms:W3CDTF">2021-10-19T18:19:29Z</dcterms:modified>
</cp:coreProperties>
</file>