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Dechairo Bryan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GeneDx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WGS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GENEDX HOLDINGS CORP.</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333 LUDLOW ST., NORTH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6TH FLOOR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Bridget Brown,</w:t>
            </w:r>
          </w:p>
        </w:tc>
        <w:tc>
          <w:tcPr>
            <w:tcW w:w="7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25" w:lineRule="exact"/>
        <w:rPr>
          <w:sz w:val="20"/>
          <w:szCs w:val="20"/>
          <w:color w:val="auto"/>
        </w:rPr>
      </w:pPr>
    </w:p>
    <w:p>
      <w:pPr>
        <w:jc w:val="both"/>
        <w:ind w:right="20"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Bridget Brown and Kevin Feeley, as long as they are providing services to GeneDx Holdings Corp., a Delaware corporation (the “Company”), or either of them, acting individually, as the undersigned’s true and lawful attorney-in-fact to:</w:t>
      </w:r>
    </w:p>
    <w:p>
      <w:pPr>
        <w:spacing w:after="0" w:line="218" w:lineRule="exact"/>
        <w:rPr>
          <w:sz w:val="20"/>
          <w:szCs w:val="20"/>
          <w:color w:val="auto"/>
        </w:rPr>
      </w:pPr>
    </w:p>
    <w:p>
      <w:pPr>
        <w:jc w:val="both"/>
        <w:ind w:left="1560" w:right="20" w:hanging="720"/>
        <w:spacing w:after="0" w:line="245" w:lineRule="auto"/>
        <w:tabs>
          <w:tab w:leader="none" w:pos="153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the Company, Forms 3, 4, and 5, and any amendments thereto, in accordance with Section 16(a) of the Securities Exchange Act of 1934 (as amended, the “</w:t>
      </w:r>
      <w:r>
        <w:rPr>
          <w:rFonts w:ascii="Times New Roman" w:cs="Times New Roman" w:eastAsia="Times New Roman" w:hAnsi="Times New Roman"/>
          <w:sz w:val="24"/>
          <w:szCs w:val="24"/>
          <w:b w:val="1"/>
          <w:bCs w:val="1"/>
          <w:color w:val="auto"/>
        </w:rPr>
        <w:t>Exchange Act</w:t>
      </w:r>
      <w:r>
        <w:rPr>
          <w:rFonts w:ascii="Times New Roman" w:cs="Times New Roman" w:eastAsia="Times New Roman" w:hAnsi="Times New Roman"/>
          <w:sz w:val="24"/>
          <w:szCs w:val="24"/>
          <w:color w:val="auto"/>
        </w:rPr>
        <w:t>”), and the rules and regulations thereunder;</w:t>
      </w:r>
    </w:p>
    <w:p>
      <w:pPr>
        <w:spacing w:after="0" w:line="223" w:lineRule="exact"/>
        <w:rPr>
          <w:rFonts w:ascii="Times New Roman" w:cs="Times New Roman" w:eastAsia="Times New Roman" w:hAnsi="Times New Roman"/>
          <w:sz w:val="22"/>
          <w:szCs w:val="22"/>
          <w:color w:val="auto"/>
        </w:rPr>
      </w:pPr>
    </w:p>
    <w:p>
      <w:pPr>
        <w:jc w:val="both"/>
        <w:ind w:left="1560" w:right="20" w:hanging="720"/>
        <w:spacing w:after="0" w:line="245" w:lineRule="auto"/>
        <w:tabs>
          <w:tab w:leader="none" w:pos="153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p>
    <w:p>
      <w:pPr>
        <w:spacing w:after="0" w:line="223" w:lineRule="exact"/>
        <w:rPr>
          <w:rFonts w:ascii="Times New Roman" w:cs="Times New Roman" w:eastAsia="Times New Roman" w:hAnsi="Times New Roman"/>
          <w:sz w:val="22"/>
          <w:szCs w:val="22"/>
          <w:color w:val="auto"/>
        </w:rPr>
      </w:pPr>
    </w:p>
    <w:p>
      <w:pPr>
        <w:jc w:val="both"/>
        <w:ind w:left="1560" w:right="20" w:hanging="720"/>
        <w:spacing w:after="0" w:line="241" w:lineRule="auto"/>
        <w:tabs>
          <w:tab w:leader="none" w:pos="153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jc w:val="both"/>
        <w:ind w:left="120" w:right="20"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38" w:lineRule="exact"/>
        <w:rPr>
          <w:sz w:val="20"/>
          <w:szCs w:val="20"/>
          <w:color w:val="auto"/>
        </w:rPr>
      </w:pPr>
    </w:p>
    <w:p>
      <w:pPr>
        <w:jc w:val="both"/>
        <w:ind w:left="120" w:firstLine="720"/>
        <w:spacing w:after="0" w:line="239" w:lineRule="auto"/>
        <w:rPr>
          <w:sz w:val="20"/>
          <w:szCs w:val="20"/>
          <w:color w:val="auto"/>
        </w:rPr>
      </w:pPr>
      <w:r>
        <w:rPr>
          <w:rFonts w:ascii="Times New Roman" w:cs="Times New Roman" w:eastAsia="Times New Roman" w:hAnsi="Times New Roman"/>
          <w:sz w:val="24"/>
          <w:szCs w:val="24"/>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32" w:lineRule="exact"/>
        <w:rPr>
          <w:sz w:val="20"/>
          <w:szCs w:val="20"/>
          <w:color w:val="auto"/>
        </w:rPr>
      </w:pPr>
    </w:p>
    <w:p>
      <w:pPr>
        <w:jc w:val="both"/>
        <w:ind w:left="120" w:right="20" w:firstLine="720"/>
        <w:spacing w:after="0" w:line="242" w:lineRule="auto"/>
        <w:rPr>
          <w:sz w:val="20"/>
          <w:szCs w:val="20"/>
          <w:color w:val="auto"/>
        </w:rPr>
      </w:pPr>
      <w:r>
        <w:rPr>
          <w:rFonts w:ascii="Times New Roman" w:cs="Times New Roman" w:eastAsia="Times New Roman" w:hAnsi="Times New Roman"/>
          <w:sz w:val="24"/>
          <w:szCs w:val="24"/>
          <w:color w:val="auto"/>
        </w:rPr>
        <w:t>This Power of Attorney supersedes and replaces all prior Powers of Attorney submitted by the undersigned.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840" w:right="300"/>
        <w:spacing w:after="0" w:line="248"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this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4"/>
          <w:szCs w:val="24"/>
          <w:color w:val="auto"/>
        </w:rPr>
        <w:t>2nd day of January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4"/>
          <w:szCs w:val="24"/>
          <w:color w:val="auto"/>
        </w:rPr>
        <w:t>By: /s/ Bryan Dechairo</w:t>
      </w:r>
    </w:p>
    <w:p>
      <w:pPr>
        <w:spacing w:after="0" w:line="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4"/>
          <w:szCs w:val="24"/>
          <w:color w:val="auto"/>
        </w:rPr>
        <w:t>Name: Bryan Dechairo</w:t>
      </w:r>
    </w:p>
    <w:sectPr>
      <w:pgSz w:w="11900" w:h="16838" w:orient="portrait"/>
      <w:cols w:equalWidth="0" w:num="1">
        <w:col w:w="10840"/>
      </w:cols>
      <w:pgMar w:left="480" w:top="434" w:right="579" w:bottom="81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1759"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2025-01-13T12:02:52Z</dcterms:created>
  <dcterms:modified xsi:type="dcterms:W3CDTF">2025-01-13T12:02:52Z</dcterms:modified>
</cp:coreProperties>
</file>