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Assad Shawn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02/10/2022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37"/>
        <w:spacing w:after="0"/>
        <w:rPr>
          <w:sz w:val="20"/>
          <w:szCs w:val="20"/>
          <w:color w:val="auto"/>
        </w:rPr>
      </w:pPr>
      <w:r>
        <w:rPr>
          <w:rFonts w:ascii="Arial" w:cs="Arial" w:eastAsia="Arial" w:hAnsi="Arial"/>
          <w:sz w:val="17"/>
          <w:szCs w:val="17"/>
          <w:color w:val="0000FF"/>
        </w:rPr>
        <w:t>Chief Accounting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6"/>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jc w:val="center"/>
              <w:ind w:left="591"/>
              <w:spacing w:after="0"/>
              <w:rPr>
                <w:sz w:val="20"/>
                <w:szCs w:val="20"/>
                <w:color w:val="auto"/>
              </w:rPr>
            </w:pPr>
            <w:r>
              <w:rPr>
                <w:rFonts w:ascii="Arial" w:cs="Arial" w:eastAsia="Arial" w:hAnsi="Arial"/>
                <w:sz w:val="17"/>
                <w:szCs w:val="17"/>
                <w:color w:val="0000FF"/>
                <w:w w:val="89"/>
              </w:rPr>
              <w:t>02/10/2022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10,457</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3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28,424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jc w:val="center"/>
              <w:ind w:left="591"/>
              <w:spacing w:after="0"/>
              <w:rPr>
                <w:sz w:val="20"/>
                <w:szCs w:val="20"/>
                <w:color w:val="auto"/>
              </w:rPr>
            </w:pPr>
            <w:r>
              <w:rPr>
                <w:rFonts w:ascii="Arial" w:cs="Arial" w:eastAsia="Arial" w:hAnsi="Arial"/>
                <w:sz w:val="17"/>
                <w:szCs w:val="17"/>
                <w:color w:val="0000FF"/>
                <w:w w:val="89"/>
              </w:rPr>
              <w:t>02/11/2022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3,647</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3.64</w:t>
            </w:r>
            <w:r>
              <w:rPr>
                <w:rFonts w:ascii="Arial" w:cs="Arial" w:eastAsia="Arial" w:hAnsi="Arial"/>
                <w:sz w:val="21"/>
                <w:szCs w:val="21"/>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24,777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10,457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02/10/2022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10,457</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135,951</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2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$3.64 to $3.66,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1/16th of the total shares vested beginning on October 25, 2021, and thereafter vests as to 1/16th of the total shares underlying the award in quarterly installments until fully vested on May 10,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02/14/2022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2022-02-14T19:47:23Z</dcterms:created>
  <dcterms:modified xsi:type="dcterms:W3CDTF">2022-02-14T19:47:23Z</dcterms:modified>
</cp:coreProperties>
</file>