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22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8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gridSpan w:val="2"/>
            <w:vMerge w:val="restart"/>
          </w:tcPr>
          <w:p>
            <w:pPr>
              <w:spacing w:after="0"/>
              <w:rPr>
                <w:rFonts w:ascii="Times New Roman" w:cs="Times New Roman" w:eastAsia="Times New Roman" w:hAnsi="Times New Roman"/>
                <w:sz w:val="21"/>
                <w:szCs w:val="21"/>
                <w:color w:val="0000EE"/>
                <w:w w:val="99"/>
              </w:rPr>
            </w:pPr>
            <w:hyperlink r:id="rId13">
              <w:r>
                <w:rPr>
                  <w:rFonts w:ascii="Times New Roman" w:cs="Times New Roman" w:eastAsia="Times New Roman" w:hAnsi="Times New Roman"/>
                  <w:sz w:val="21"/>
                  <w:szCs w:val="21"/>
                  <w:color w:val="0000EE"/>
                  <w:w w:val="99"/>
                </w:rPr>
                <w:t>Feeley Kevin</w:t>
              </w:r>
            </w:hyperlink>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80" w:type="dxa"/>
            <w:vAlign w:val="bottom"/>
            <w:gridSpan w:val="6"/>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GeneDx Holdings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WGS</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80" w:type="dxa"/>
            <w:vAlign w:val="bottom"/>
            <w:gridSpan w:val="6"/>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82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80" w:type="dxa"/>
            <w:vAlign w:val="bottom"/>
            <w:gridSpan w:val="6"/>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gridSpan w:val="3"/>
            <w:vMerge w:val="restart"/>
          </w:tcPr>
          <w:p>
            <w:pPr>
              <w:ind w:left="10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Borders>
              <w:bottom w:val="single" w:sz="8" w:color="0000EE"/>
            </w:tcBorders>
            <w:gridSpan w:val="2"/>
            <w:vMerge w:val="continue"/>
          </w:tcPr>
          <w:p>
            <w:pPr>
              <w:spacing w:after="0"/>
              <w:rPr>
                <w:sz w:val="5"/>
                <w:szCs w:val="5"/>
                <w:color w:val="auto"/>
              </w:rPr>
            </w:pPr>
          </w:p>
        </w:tc>
        <w:tc>
          <w:tcPr>
            <w:tcW w:w="40" w:type="dxa"/>
            <w:vAlign w:val="bottom"/>
            <w:vMerge w:val="restart"/>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gridSpan w:val="2"/>
          </w:tcPr>
          <w:p>
            <w:pPr>
              <w:spacing w:after="0"/>
              <w:rPr>
                <w:sz w:val="4"/>
                <w:szCs w:val="4"/>
                <w:color w:val="auto"/>
              </w:rPr>
            </w:pPr>
          </w:p>
        </w:tc>
        <w:tc>
          <w:tcPr>
            <w:tcW w:w="4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82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50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84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100"/>
              <w:spacing w:after="0" w:line="138" w:lineRule="exact"/>
              <w:rPr>
                <w:sz w:val="20"/>
                <w:szCs w:val="20"/>
                <w:color w:val="auto"/>
              </w:rPr>
            </w:pPr>
            <w:r>
              <w:rPr>
                <w:rFonts w:ascii="Arial" w:cs="Arial" w:eastAsia="Arial" w:hAnsi="Arial"/>
                <w:sz w:val="13"/>
                <w:szCs w:val="13"/>
                <w:color w:val="auto"/>
              </w:rPr>
              <w:t>Officer (give title</w:t>
            </w:r>
          </w:p>
        </w:tc>
        <w:tc>
          <w:tcPr>
            <w:tcW w:w="1740" w:type="dxa"/>
            <w:vAlign w:val="bottom"/>
            <w:gridSpan w:val="4"/>
          </w:tcPr>
          <w:p>
            <w:pPr>
              <w:ind w:left="480"/>
              <w:spacing w:after="0" w:line="138"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EEEEEE"/>
              <w:bottom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500" w:type="dxa"/>
            <w:vAlign w:val="bottom"/>
            <w:tcBorders>
              <w:top w:val="single" w:sz="8" w:color="EEEEEE"/>
            </w:tcBorders>
          </w:tcPr>
          <w:p>
            <w:pPr>
              <w:spacing w:after="0"/>
              <w:rPr>
                <w:sz w:val="8"/>
                <w:szCs w:val="8"/>
                <w:color w:val="auto"/>
              </w:rPr>
            </w:pPr>
          </w:p>
        </w:tc>
        <w:tc>
          <w:tcPr>
            <w:tcW w:w="40" w:type="dxa"/>
            <w:vAlign w:val="bottom"/>
            <w:tcBorders>
              <w:top w:val="single" w:sz="8" w:color="EEEEEE"/>
            </w:tcBorders>
          </w:tcPr>
          <w:p>
            <w:pPr>
              <w:spacing w:after="0"/>
              <w:rPr>
                <w:sz w:val="8"/>
                <w:szCs w:val="8"/>
                <w:color w:val="auto"/>
              </w:rPr>
            </w:pPr>
          </w:p>
        </w:tc>
        <w:tc>
          <w:tcPr>
            <w:tcW w:w="1120" w:type="dxa"/>
            <w:vAlign w:val="bottom"/>
            <w:tcBorders>
              <w:top w:val="single" w:sz="8" w:color="EEEEEE"/>
              <w:bottom w:val="single" w:sz="8" w:color="EEEEEE"/>
            </w:tcBorders>
            <w:gridSpan w:val="2"/>
            <w:vMerge w:val="restart"/>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Borders>
              <w:top w:val="single" w:sz="8" w:color="EEEEEE"/>
              <w:bottom w:val="single" w:sz="8" w:color="EEEEEE"/>
            </w:tcBorders>
            <w:vMerge w:val="restart"/>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gridSpan w:val="2"/>
            <w:vMerge w:val="restart"/>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vMerge w:val="restart"/>
          </w:tcPr>
          <w:p>
            <w:pPr>
              <w:spacing w:after="0"/>
              <w:rPr>
                <w:sz w:val="8"/>
                <w:szCs w:val="8"/>
                <w:color w:val="auto"/>
              </w:rPr>
            </w:pPr>
          </w:p>
        </w:tc>
        <w:tc>
          <w:tcPr>
            <w:tcW w:w="1180" w:type="dxa"/>
            <w:vAlign w:val="bottom"/>
            <w:gridSpan w:val="3"/>
            <w:vMerge w:val="restart"/>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vMerge w:val="restart"/>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340" w:type="dxa"/>
            <w:vAlign w:val="bottom"/>
            <w:vMerge w:val="continue"/>
          </w:tcPr>
          <w:p>
            <w:pPr>
              <w:spacing w:after="0"/>
              <w:rPr>
                <w:sz w:val="5"/>
                <w:szCs w:val="5"/>
                <w:color w:val="auto"/>
              </w:rPr>
            </w:pPr>
          </w:p>
        </w:tc>
        <w:tc>
          <w:tcPr>
            <w:tcW w:w="8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288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2880" w:type="dxa"/>
            <w:vAlign w:val="bottom"/>
            <w:gridSpan w:val="6"/>
            <w:vMerge w:val="continue"/>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7"/>
            <w:vMerge w:val="restart"/>
          </w:tcPr>
          <w:p>
            <w:pPr>
              <w:ind w:left="4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72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C/O GENEDX HOLDINGS CORP.</w:t>
            </w:r>
          </w:p>
        </w:tc>
        <w:tc>
          <w:tcPr>
            <w:tcW w:w="132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01/02/2025</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92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720" w:type="dxa"/>
            <w:vAlign w:val="bottom"/>
            <w:gridSpan w:val="8"/>
            <w:vMerge w:val="continue"/>
          </w:tcPr>
          <w:p>
            <w:pPr>
              <w:spacing w:after="0"/>
              <w:rPr>
                <w:sz w:val="11"/>
                <w:szCs w:val="11"/>
                <w:color w:val="auto"/>
              </w:rPr>
            </w:pPr>
          </w:p>
        </w:tc>
        <w:tc>
          <w:tcPr>
            <w:tcW w:w="13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7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333 LUDLOW ST, NORTH TOWER, 6TH</w:t>
            </w: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FLOOR</w:t>
            </w: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38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tcPr>
          <w:p>
            <w:pPr>
              <w:spacing w:after="0"/>
              <w:rPr>
                <w:sz w:val="10"/>
                <w:szCs w:val="10"/>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380" w:type="dxa"/>
            <w:vAlign w:val="bottom"/>
            <w:gridSpan w:val="7"/>
            <w:vMerge w:val="continue"/>
          </w:tcPr>
          <w:p>
            <w:pPr>
              <w:spacing w:after="0"/>
              <w:rPr>
                <w:sz w:val="5"/>
                <w:szCs w:val="5"/>
                <w:color w:val="auto"/>
              </w:rPr>
            </w:pPr>
          </w:p>
        </w:tc>
        <w:tc>
          <w:tcPr>
            <w:tcW w:w="360" w:type="dxa"/>
            <w:vAlign w:val="bottom"/>
          </w:tcPr>
          <w:p>
            <w:pPr>
              <w:spacing w:after="0"/>
              <w:rPr>
                <w:sz w:val="5"/>
                <w:szCs w:val="5"/>
                <w:color w:val="auto"/>
              </w:rPr>
            </w:pPr>
          </w:p>
        </w:tc>
        <w:tc>
          <w:tcPr>
            <w:tcW w:w="3420" w:type="dxa"/>
            <w:vAlign w:val="bottom"/>
            <w:gridSpan w:val="1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vMerge w:val="restart"/>
          </w:tcPr>
          <w:p>
            <w:pPr>
              <w:spacing w:after="0"/>
              <w:rPr>
                <w:sz w:val="7"/>
                <w:szCs w:val="7"/>
                <w:color w:val="auto"/>
              </w:rPr>
            </w:pPr>
          </w:p>
        </w:tc>
        <w:tc>
          <w:tcPr>
            <w:tcW w:w="78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780" w:type="dxa"/>
            <w:vAlign w:val="bottom"/>
            <w:gridSpan w:val="4"/>
            <w:vMerge w:val="continue"/>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gridSpan w:val="7"/>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STAMFORD</w:t>
            </w: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CT</w:t>
            </w:r>
          </w:p>
        </w:tc>
        <w:tc>
          <w:tcPr>
            <w:tcW w:w="840" w:type="dxa"/>
            <w:vAlign w:val="bottom"/>
          </w:tcPr>
          <w:p>
            <w:pPr>
              <w:spacing w:after="0"/>
              <w:rPr>
                <w:sz w:val="17"/>
                <w:szCs w:val="17"/>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06902</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920" w:type="dxa"/>
            <w:vAlign w:val="bottom"/>
            <w:gridSpan w:val="7"/>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3"/>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240" w:type="dxa"/>
            <w:vAlign w:val="bottom"/>
            <w:tcBorders>
              <w:bottom w:val="single" w:sz="8" w:color="2C2C2C"/>
            </w:tcBorders>
            <w:gridSpan w:val="2"/>
          </w:tcPr>
          <w:p>
            <w:pPr>
              <w:spacing w:after="0"/>
              <w:rPr>
                <w:sz w:val="10"/>
                <w:szCs w:val="10"/>
                <w:color w:val="auto"/>
              </w:rPr>
            </w:pPr>
          </w:p>
        </w:tc>
        <w:tc>
          <w:tcPr>
            <w:tcW w:w="250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9"/>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8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300" w:type="dxa"/>
            <w:vAlign w:val="bottom"/>
            <w:gridSpan w:val="3"/>
          </w:tcPr>
          <w:p>
            <w:pPr>
              <w:ind w:left="20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2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3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5"/>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180" w:type="dxa"/>
            <w:vAlign w:val="bottom"/>
            <w:gridSpan w:val="5"/>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jc w:val="right"/>
              <w:ind w:right="249"/>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ind w:right="74"/>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01/02/2025</w:t>
            </w: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right"/>
              <w:ind w:right="249"/>
              <w:spacing w:after="0"/>
              <w:rPr>
                <w:sz w:val="20"/>
                <w:szCs w:val="20"/>
                <w:color w:val="auto"/>
              </w:rPr>
            </w:pPr>
            <w:r>
              <w:rPr>
                <w:rFonts w:ascii="Times New Roman" w:cs="Times New Roman" w:eastAsia="Times New Roman" w:hAnsi="Times New Roman"/>
                <w:sz w:val="17"/>
                <w:szCs w:val="17"/>
                <w:color w:val="0000FF"/>
              </w:rPr>
              <w:t>319</w:t>
            </w:r>
          </w:p>
        </w:tc>
        <w:tc>
          <w:tcPr>
            <w:tcW w:w="50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75.0757</w:t>
            </w:r>
            <w:r>
              <w:rPr>
                <w:rFonts w:ascii="Times New Roman" w:cs="Times New Roman" w:eastAsia="Times New Roman" w:hAnsi="Times New Roman"/>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27,881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01/02/2025</w:t>
            </w: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right"/>
              <w:ind w:right="249"/>
              <w:spacing w:after="0"/>
              <w:rPr>
                <w:sz w:val="20"/>
                <w:szCs w:val="20"/>
                <w:color w:val="auto"/>
              </w:rPr>
            </w:pPr>
            <w:r>
              <w:rPr>
                <w:rFonts w:ascii="Times New Roman" w:cs="Times New Roman" w:eastAsia="Times New Roman" w:hAnsi="Times New Roman"/>
                <w:sz w:val="17"/>
                <w:szCs w:val="17"/>
                <w:color w:val="0000FF"/>
              </w:rPr>
              <w:t>774</w:t>
            </w:r>
          </w:p>
        </w:tc>
        <w:tc>
          <w:tcPr>
            <w:tcW w:w="50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76.0004</w:t>
            </w:r>
            <w:r>
              <w:rPr>
                <w:rFonts w:ascii="Times New Roman" w:cs="Times New Roman" w:eastAsia="Times New Roman" w:hAnsi="Times New Roman"/>
                <w:sz w:val="22"/>
                <w:szCs w:val="22"/>
                <w:color w:val="008000"/>
                <w:vertAlign w:val="superscript"/>
              </w:rPr>
              <w:t>(3)</w:t>
            </w:r>
          </w:p>
        </w:tc>
        <w:tc>
          <w:tcPr>
            <w:tcW w:w="2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27,107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01/02/2025</w:t>
            </w: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20" w:type="dxa"/>
            <w:vAlign w:val="bottom"/>
            <w:tcBorders>
              <w:bottom w:val="single" w:sz="8" w:color="2C2C2C"/>
            </w:tcBorders>
          </w:tcPr>
          <w:p>
            <w:pPr>
              <w:jc w:val="right"/>
              <w:ind w:right="249"/>
              <w:spacing w:after="0"/>
              <w:rPr>
                <w:sz w:val="20"/>
                <w:szCs w:val="20"/>
                <w:color w:val="auto"/>
              </w:rPr>
            </w:pPr>
            <w:r>
              <w:rPr>
                <w:rFonts w:ascii="Times New Roman" w:cs="Times New Roman" w:eastAsia="Times New Roman" w:hAnsi="Times New Roman"/>
                <w:sz w:val="17"/>
                <w:szCs w:val="17"/>
                <w:color w:val="0000FF"/>
              </w:rPr>
              <w:t>337</w:t>
            </w:r>
          </w:p>
        </w:tc>
        <w:tc>
          <w:tcPr>
            <w:tcW w:w="50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77.0427</w:t>
            </w:r>
            <w:r>
              <w:rPr>
                <w:rFonts w:ascii="Times New Roman" w:cs="Times New Roman" w:eastAsia="Times New Roman" w:hAnsi="Times New Roman"/>
                <w:sz w:val="22"/>
                <w:szCs w:val="22"/>
                <w:color w:val="008000"/>
                <w:vertAlign w:val="superscript"/>
              </w:rPr>
              <w:t>(4)</w:t>
            </w:r>
          </w:p>
        </w:tc>
        <w:tc>
          <w:tcPr>
            <w:tcW w:w="2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26,770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0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4"/>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20" w:type="dxa"/>
            <w:vAlign w:val="bottom"/>
          </w:tcPr>
          <w:p>
            <w:pPr>
              <w:jc w:val="right"/>
              <w:spacing w:after="0" w:line="133"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4"/>
                <w:szCs w:val="14"/>
                <w:color w:val="auto"/>
              </w:rPr>
            </w:pP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was effected pursuant to a Rule 10b5-1 trading plan adopted by the Reporting Person on August 21, 2024.</w:t>
      </w:r>
    </w:p>
    <w:p>
      <w:pPr>
        <w:spacing w:after="0" w:line="50" w:lineRule="exact"/>
        <w:rPr>
          <w:rFonts w:ascii="Times New Roman" w:cs="Times New Roman" w:eastAsia="Times New Roman" w:hAnsi="Times New Roman"/>
          <w:sz w:val="13"/>
          <w:szCs w:val="13"/>
          <w:color w:val="008000"/>
        </w:rPr>
      </w:pPr>
    </w:p>
    <w:p>
      <w:pPr>
        <w:ind w:left="40" w:right="3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$74.66 to $75.50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3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$75.73 to $76.64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3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$76.75 to $77.67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Bridget Brown, Attorney-</w:t>
            </w:r>
          </w:p>
        </w:tc>
        <w:tc>
          <w:tcPr>
            <w:tcW w:w="80" w:type="dxa"/>
            <w:vAlign w:val="bottom"/>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01/06/2025</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44119" TargetMode="External"/><Relationship Id="rId14"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2025-01-06T17:10:00Z</dcterms:created>
  <dcterms:modified xsi:type="dcterms:W3CDTF">2025-01-06T17:10:00Z</dcterms:modified>
</cp:coreProperties>
</file>