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SCHEDULE 13D/A</w:t>
      </w:r>
    </w:p>
    <w:p>
      <w:pPr>
        <w:spacing w:after="0" w:line="2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(Amendment No. 7*)</w:t>
      </w:r>
    </w:p>
    <w:p>
      <w:pPr>
        <w:spacing w:after="0" w:line="17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GeneDx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1685290</wp:posOffset>
            </wp:positionH>
            <wp:positionV relativeFrom="paragraph">
              <wp:posOffset>27940</wp:posOffset>
            </wp:positionV>
            <wp:extent cx="37719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Class A Common Stock, par value $0.0001 per share</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81663L200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19685</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Steven D. Rubin</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Executive Vice President - Administration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OPKO Health, Inc.</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4400 Biscayne Boulevard</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Miami, Florida 33137</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Telephone: (305) 575-4100</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1290955</wp:posOffset>
            </wp:positionH>
            <wp:positionV relativeFrom="paragraph">
              <wp:posOffset>-125095</wp:posOffset>
            </wp:positionV>
            <wp:extent cx="4560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60570" cy="8890"/>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communications)</w:t>
      </w:r>
    </w:p>
    <w:p>
      <w:pPr>
        <w:spacing w:after="0" w:line="200" w:lineRule="exact"/>
        <w:rPr>
          <w:sz w:val="24"/>
          <w:szCs w:val="24"/>
          <w:color w:val="auto"/>
        </w:rPr>
      </w:pPr>
    </w:p>
    <w:p>
      <w:pPr>
        <w:spacing w:after="0" w:line="219"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September 16,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19685</wp:posOffset>
            </wp:positionV>
            <wp:extent cx="25628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1"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statement)</w:t>
      </w:r>
    </w:p>
    <w:p>
      <w:pPr>
        <w:spacing w:after="0" w:line="207"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which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Rule 13d-7(b)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159" w:lineRule="exact"/>
        <w:rPr>
          <w:sz w:val="24"/>
          <w:szCs w:val="24"/>
          <w:color w:val="auto"/>
        </w:rPr>
      </w:pPr>
    </w:p>
    <w:p>
      <w:pPr>
        <w:ind w:left="460" w:right="200" w:hanging="452"/>
        <w:spacing w:after="0" w:line="282"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xml:space="preserve">”) or otherwise subject to the liabilities of that section of the Act but shall be subject to all other provisions of the Act (however, see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611505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1" w:name="page2"/>
    <w:bookmarkEnd w:id="1"/>
    <w:p>
      <w:pPr>
        <w:spacing w:after="0"/>
        <w:tabs>
          <w:tab w:leader="none" w:pos="5100" w:val="left"/>
          <w:tab w:leader="none" w:pos="10300" w:val="left"/>
        </w:tabs>
        <w:rPr>
          <w:sz w:val="20"/>
          <w:szCs w:val="20"/>
          <w:color w:val="auto"/>
        </w:rPr>
      </w:pPr>
      <w:r>
        <w:rPr>
          <w:rFonts w:ascii="Times New Roman" w:cs="Times New Roman" w:eastAsia="Times New Roman" w:hAnsi="Times New Roman"/>
          <w:sz w:val="18"/>
          <w:szCs w:val="18"/>
          <w:color w:val="auto"/>
        </w:rPr>
        <w:t>CUSIP No. 81663L200</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2 of 5</w:t>
      </w:r>
    </w:p>
    <w:p>
      <w:pPr>
        <w:spacing w:after="0" w:line="200" w:lineRule="exact"/>
        <w:rPr>
          <w:sz w:val="20"/>
          <w:szCs w:val="20"/>
          <w:color w:val="auto"/>
        </w:rPr>
      </w:pPr>
    </w:p>
    <w:p>
      <w:pPr>
        <w:spacing w:after="0" w:line="255" w:lineRule="exact"/>
        <w:rPr>
          <w:sz w:val="20"/>
          <w:szCs w:val="20"/>
          <w:color w:val="auto"/>
        </w:rPr>
      </w:pPr>
    </w:p>
    <w:p>
      <w:pPr>
        <w:ind w:left="700" w:hanging="553"/>
        <w:spacing w:after="0"/>
        <w:tabs>
          <w:tab w:leader="none" w:pos="7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4225" cy="5617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5617210"/>
                    </a:xfrm>
                    <a:prstGeom prst="rect">
                      <a:avLst/>
                    </a:prstGeom>
                    <a:noFill/>
                  </pic:spPr>
                </pic:pic>
              </a:graphicData>
            </a:graphic>
          </wp:anchor>
        </w:drawing>
      </w: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OPKO Health, Inc.</w:t>
      </w:r>
    </w:p>
    <w:p>
      <w:pPr>
        <w:spacing w:after="0" w:line="27" w:lineRule="exact"/>
        <w:rPr>
          <w:sz w:val="20"/>
          <w:szCs w:val="20"/>
          <w:color w:val="auto"/>
        </w:rPr>
      </w:pPr>
    </w:p>
    <w:p>
      <w:pPr>
        <w:ind w:left="700" w:hanging="553"/>
        <w:spacing w:after="0"/>
        <w:tabs>
          <w:tab w:leader="none" w:pos="7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180" w:lineRule="exact"/>
        <w:rPr>
          <w:sz w:val="20"/>
          <w:szCs w:val="20"/>
          <w:color w:val="auto"/>
        </w:rPr>
      </w:pPr>
    </w:p>
    <w:p>
      <w:pPr>
        <w:ind w:left="700"/>
        <w:spacing w:after="0" w:line="207" w:lineRule="exact"/>
        <w:tabs>
          <w:tab w:leader="none" w:pos="15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83" w:lineRule="exact"/>
        <w:rPr>
          <w:sz w:val="20"/>
          <w:szCs w:val="20"/>
          <w:color w:val="auto"/>
        </w:rPr>
      </w:pPr>
    </w:p>
    <w:p>
      <w:pPr>
        <w:ind w:left="700" w:hanging="553"/>
        <w:spacing w:after="0"/>
        <w:tabs>
          <w:tab w:leader="none" w:pos="7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19" w:lineRule="exact"/>
        <w:rPr>
          <w:sz w:val="20"/>
          <w:szCs w:val="20"/>
          <w:color w:val="auto"/>
        </w:rPr>
      </w:pPr>
    </w:p>
    <w:p>
      <w:pPr>
        <w:ind w:left="700" w:hanging="553"/>
        <w:spacing w:after="0"/>
        <w:tabs>
          <w:tab w:leader="none" w:pos="7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OO</w:t>
      </w:r>
    </w:p>
    <w:p>
      <w:pPr>
        <w:spacing w:after="0" w:line="27" w:lineRule="exact"/>
        <w:rPr>
          <w:sz w:val="20"/>
          <w:szCs w:val="20"/>
          <w:color w:val="auto"/>
        </w:rPr>
      </w:pPr>
    </w:p>
    <w:p>
      <w:pPr>
        <w:ind w:left="700" w:hanging="553"/>
        <w:spacing w:after="0" w:line="207" w:lineRule="exact"/>
        <w:tabs>
          <w:tab w:leader="none" w:pos="7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DISCLOSURE OF LEGAL PROCEEDINGS IS REQUIRED PURSUANT TO ITEM 2(d) or 2(e) </w:t>
      </w:r>
      <w:r>
        <w:rPr>
          <w:rFonts w:ascii="MS PGothic" w:cs="MS PGothic" w:eastAsia="MS PGothic" w:hAnsi="MS PGothic"/>
          <w:sz w:val="18"/>
          <w:szCs w:val="18"/>
          <w:color w:val="auto"/>
        </w:rPr>
        <w:t>☒</w:t>
      </w:r>
    </w:p>
    <w:p>
      <w:pPr>
        <w:spacing w:after="0" w:line="234" w:lineRule="exact"/>
        <w:rPr>
          <w:sz w:val="20"/>
          <w:szCs w:val="20"/>
          <w:color w:val="auto"/>
        </w:rPr>
      </w:pPr>
    </w:p>
    <w:p>
      <w:pPr>
        <w:ind w:left="700" w:hanging="553"/>
        <w:spacing w:after="0"/>
        <w:tabs>
          <w:tab w:leader="none" w:pos="7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Delaware</w:t>
      </w:r>
    </w:p>
    <w:p>
      <w:pPr>
        <w:spacing w:after="0" w:line="27" w:lineRule="exact"/>
        <w:rPr>
          <w:rFonts w:ascii="Times New Roman" w:cs="Times New Roman" w:eastAsia="Times New Roman" w:hAnsi="Times New Roman"/>
          <w:sz w:val="18"/>
          <w:szCs w:val="18"/>
          <w:b w:val="1"/>
          <w:bCs w:val="1"/>
          <w:color w:val="auto"/>
        </w:rPr>
      </w:pPr>
    </w:p>
    <w:p>
      <w:pPr>
        <w:ind w:left="1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7"/>
          <w:szCs w:val="17"/>
          <w:color w:val="auto"/>
        </w:rPr>
        <w:t>SOLE VOTING POWER</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2,171,674Shares</w:t>
            </w:r>
          </w:p>
        </w:tc>
      </w:tr>
      <w:tr>
        <w:trPr>
          <w:trHeight w:val="191"/>
        </w:trPr>
        <w:tc>
          <w:tcPr>
            <w:tcW w:w="146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b w:val="1"/>
                <w:bCs w:val="1"/>
                <w:color w:val="auto"/>
              </w:rPr>
              <w:t>8</w:t>
            </w:r>
          </w:p>
        </w:tc>
        <w:tc>
          <w:tcPr>
            <w:tcW w:w="89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r>
      <w:tr>
        <w:trPr>
          <w:trHeight w:val="216"/>
        </w:trPr>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BENEFICIALLY</w:t>
            </w:r>
          </w:p>
        </w:tc>
        <w:tc>
          <w:tcPr>
            <w:tcW w:w="580" w:type="dxa"/>
            <w:vAlign w:val="bottom"/>
          </w:tcPr>
          <w:p>
            <w:pPr>
              <w:spacing w:after="0"/>
              <w:rPr>
                <w:sz w:val="18"/>
                <w:szCs w:val="18"/>
                <w:color w:val="auto"/>
              </w:rPr>
            </w:pPr>
          </w:p>
        </w:tc>
        <w:tc>
          <w:tcPr>
            <w:tcW w:w="8980" w:type="dxa"/>
            <w:vAlign w:val="bottom"/>
          </w:tcPr>
          <w:p>
            <w:pPr>
              <w:spacing w:after="0"/>
              <w:rPr>
                <w:sz w:val="18"/>
                <w:szCs w:val="18"/>
                <w:color w:val="auto"/>
              </w:rPr>
            </w:pPr>
          </w:p>
        </w:tc>
      </w:tr>
      <w:tr>
        <w:trPr>
          <w:trHeight w:val="234"/>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8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tcPr>
          <w:p>
            <w:pPr>
              <w:jc w:val="right"/>
              <w:ind w:right="719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14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EACH</w:t>
            </w:r>
          </w:p>
        </w:tc>
        <w:tc>
          <w:tcPr>
            <w:tcW w:w="58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b w:val="1"/>
                <w:bCs w:val="1"/>
                <w:color w:val="auto"/>
              </w:rPr>
              <w:t>9</w:t>
            </w:r>
          </w:p>
        </w:tc>
        <w:tc>
          <w:tcPr>
            <w:tcW w:w="89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SOLE DISPOSITIVE POWER</w:t>
            </w:r>
          </w:p>
        </w:tc>
      </w:tr>
      <w:tr>
        <w:trPr>
          <w:trHeight w:val="216"/>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80" w:type="dxa"/>
            <w:vAlign w:val="bottom"/>
          </w:tcPr>
          <w:p>
            <w:pPr>
              <w:spacing w:after="0"/>
              <w:rPr>
                <w:sz w:val="18"/>
                <w:szCs w:val="18"/>
                <w:color w:val="auto"/>
              </w:rPr>
            </w:pPr>
          </w:p>
        </w:tc>
        <w:tc>
          <w:tcPr>
            <w:tcW w:w="8980" w:type="dxa"/>
            <w:vAlign w:val="bottom"/>
          </w:tcPr>
          <w:p>
            <w:pPr>
              <w:spacing w:after="0"/>
              <w:rPr>
                <w:sz w:val="18"/>
                <w:szCs w:val="18"/>
                <w:color w:val="auto"/>
              </w:rPr>
            </w:pPr>
          </w:p>
        </w:tc>
      </w:tr>
      <w:tr>
        <w:trPr>
          <w:trHeight w:val="216"/>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80" w:type="dxa"/>
            <w:vAlign w:val="bottom"/>
          </w:tcPr>
          <w:p>
            <w:pPr>
              <w:spacing w:after="0"/>
              <w:rPr>
                <w:sz w:val="18"/>
                <w:szCs w:val="18"/>
                <w:color w:val="auto"/>
              </w:rPr>
            </w:pPr>
          </w:p>
        </w:tc>
        <w:tc>
          <w:tcPr>
            <w:tcW w:w="8980" w:type="dxa"/>
            <w:vAlign w:val="bottom"/>
          </w:tcPr>
          <w:p>
            <w:pPr>
              <w:spacing w:after="0"/>
              <w:rPr>
                <w:sz w:val="18"/>
                <w:szCs w:val="18"/>
                <w:color w:val="auto"/>
              </w:rPr>
            </w:pPr>
          </w:p>
        </w:tc>
      </w:tr>
      <w:tr>
        <w:trPr>
          <w:trHeight w:val="234"/>
        </w:trPr>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WITH</w:t>
            </w:r>
          </w:p>
        </w:tc>
        <w:tc>
          <w:tcPr>
            <w:tcW w:w="58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tcPr>
          <w:p>
            <w:pPr>
              <w:jc w:val="right"/>
              <w:ind w:right="7190"/>
              <w:spacing w:after="0"/>
              <w:rPr>
                <w:sz w:val="20"/>
                <w:szCs w:val="20"/>
                <w:color w:val="auto"/>
              </w:rPr>
            </w:pPr>
            <w:r>
              <w:rPr>
                <w:rFonts w:ascii="Times New Roman" w:cs="Times New Roman" w:eastAsia="Times New Roman" w:hAnsi="Times New Roman"/>
                <w:sz w:val="18"/>
                <w:szCs w:val="18"/>
                <w:color w:val="auto"/>
              </w:rPr>
              <w:t>2,171,674</w:t>
            </w:r>
          </w:p>
        </w:tc>
      </w:tr>
      <w:tr>
        <w:trPr>
          <w:trHeight w:val="232"/>
        </w:trPr>
        <w:tc>
          <w:tcPr>
            <w:tcW w:w="1460" w:type="dxa"/>
            <w:vAlign w:val="bottom"/>
          </w:tcPr>
          <w:p>
            <w:pPr>
              <w:spacing w:after="0"/>
              <w:rPr>
                <w:sz w:val="20"/>
                <w:szCs w:val="20"/>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10</w:t>
            </w:r>
          </w:p>
        </w:tc>
        <w:tc>
          <w:tcPr>
            <w:tcW w:w="8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r>
    </w:tbl>
    <w:p>
      <w:pPr>
        <w:spacing w:after="0" w:line="17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720" w:hanging="573"/>
        <w:spacing w:after="0"/>
        <w:tabs>
          <w:tab w:leader="none" w:pos="7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2,171,674</w:t>
      </w:r>
    </w:p>
    <w:p>
      <w:pPr>
        <w:spacing w:after="0" w:line="27" w:lineRule="exact"/>
        <w:rPr>
          <w:sz w:val="20"/>
          <w:szCs w:val="20"/>
          <w:color w:val="auto"/>
        </w:rPr>
      </w:pPr>
    </w:p>
    <w:p>
      <w:pPr>
        <w:ind w:left="720" w:hanging="573"/>
        <w:spacing w:after="0" w:line="207" w:lineRule="exact"/>
        <w:tabs>
          <w:tab w:leader="none" w:pos="7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b w:val="1"/>
          <w:bCs w:val="1"/>
          <w:color w:val="auto"/>
        </w:rPr>
      </w:pPr>
    </w:p>
    <w:p>
      <w:pPr>
        <w:ind w:left="720" w:hanging="573"/>
        <w:spacing w:after="0"/>
        <w:tabs>
          <w:tab w:leader="none" w:pos="7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141"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8.06%</w:t>
      </w:r>
      <w:r>
        <w:rPr>
          <w:rFonts w:ascii="Times New Roman" w:cs="Times New Roman" w:eastAsia="Times New Roman" w:hAnsi="Times New Roman"/>
          <w:sz w:val="29"/>
          <w:szCs w:val="29"/>
          <w:color w:val="auto"/>
          <w:vertAlign w:val="superscript"/>
        </w:rPr>
        <w:t>(1)</w:t>
      </w:r>
    </w:p>
    <w:p>
      <w:pPr>
        <w:ind w:left="720" w:right="8020" w:hanging="573"/>
        <w:spacing w:after="0" w:line="497" w:lineRule="auto"/>
        <w:tabs>
          <w:tab w:leader="none" w:pos="7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CO</w:t>
      </w:r>
    </w:p>
    <w:p>
      <w:pPr>
        <w:ind w:left="340" w:right="40" w:hanging="332"/>
        <w:spacing w:after="0" w:line="195" w:lineRule="auto"/>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26,935,897 shares of GeneDx Common Stock of the Issuer outstanding on July 22, 2024, as set forth in the Issuer’s Form 10-Q filed with the SEC on July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spacing w:after="0"/>
        <w:tabs>
          <w:tab w:leader="none" w:pos="5100" w:val="left"/>
          <w:tab w:leader="none" w:pos="10300" w:val="left"/>
        </w:tabs>
        <w:rPr>
          <w:sz w:val="20"/>
          <w:szCs w:val="20"/>
          <w:color w:val="auto"/>
        </w:rPr>
      </w:pPr>
      <w:r>
        <w:rPr>
          <w:rFonts w:ascii="Times New Roman" w:cs="Times New Roman" w:eastAsia="Times New Roman" w:hAnsi="Times New Roman"/>
          <w:sz w:val="18"/>
          <w:szCs w:val="18"/>
          <w:color w:val="auto"/>
        </w:rPr>
        <w:t>CUSIP No. 81663L200</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3 of 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This Amendment No. 7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Schedule 13D is being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behalf of OPKO Health, Inc., a Delaware corporation (“</w:t>
      </w:r>
      <w:r>
        <w:rPr>
          <w:rFonts w:ascii="Times New Roman" w:cs="Times New Roman" w:eastAsia="Times New Roman" w:hAnsi="Times New Roman"/>
          <w:sz w:val="18"/>
          <w:szCs w:val="18"/>
          <w:u w:val="single" w:color="auto"/>
          <w:color w:val="auto"/>
        </w:rPr>
        <w:t>OPKO</w:t>
      </w:r>
      <w:r>
        <w:rPr>
          <w:rFonts w:ascii="Times New Roman" w:cs="Times New Roman" w:eastAsia="Times New Roman" w:hAnsi="Times New Roman"/>
          <w:sz w:val="18"/>
          <w:szCs w:val="18"/>
          <w:color w:val="auto"/>
        </w:rPr>
        <w:t>”) and relates to the Class A common stock, par value $0.0001 per share (“</w:t>
      </w:r>
      <w:r>
        <w:rPr>
          <w:rFonts w:ascii="Times New Roman" w:cs="Times New Roman" w:eastAsia="Times New Roman" w:hAnsi="Times New Roman"/>
          <w:sz w:val="18"/>
          <w:szCs w:val="18"/>
          <w:u w:val="single" w:color="auto"/>
          <w:color w:val="auto"/>
        </w:rPr>
        <w:t>GeneDx Common Stock</w:t>
      </w:r>
      <w:r>
        <w:rPr>
          <w:rFonts w:ascii="Times New Roman" w:cs="Times New Roman" w:eastAsia="Times New Roman" w:hAnsi="Times New Roman"/>
          <w:sz w:val="18"/>
          <w:szCs w:val="18"/>
          <w:color w:val="auto"/>
        </w:rPr>
        <w:t>”), of GeneDx Holdings Corp., a Delaware corporation (“</w:t>
      </w:r>
      <w:r>
        <w:rPr>
          <w:rFonts w:ascii="Times New Roman" w:cs="Times New Roman" w:eastAsia="Times New Roman" w:hAnsi="Times New Roman"/>
          <w:sz w:val="18"/>
          <w:szCs w:val="18"/>
          <w:u w:val="single" w:color="auto"/>
          <w:color w:val="auto"/>
        </w:rPr>
        <w:t>GeneDx</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and amends and supplements the initial statement on Schedule 13D filed by OPKO with the SEC on May 9, 2022, as amended by Amendment No. 1 to Schedule 13D filed with the SEC on February 3, 2023, as amended by Amendment No. 2 filed with the SEC on April 20, 2023, as amended by Amendment No. 3 filed with the SEC on July 5, 2024, as amended by Amendment No. 4 filed with the SEC on July 26, 2024, as amended by Amendment No. 5 filed with the SEC on August 12, 2024, as amended by Amendment No,</w:t>
      </w:r>
    </w:p>
    <w:p>
      <w:pPr>
        <w:spacing w:after="0" w:line="5"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6 filed with the SEC on August 23, 2024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Capitalized terms used but not defined in this Amendment No. 7 shall have the same meanings ascribed to them in the Schedule 13D.</w:t>
      </w:r>
    </w:p>
    <w:p>
      <w:pPr>
        <w:spacing w:after="0" w:line="177"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Item 4 is amended by adding the following paragraph to the end of the item:</w:t>
      </w:r>
    </w:p>
    <w:p>
      <w:pPr>
        <w:spacing w:after="0" w:line="22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In a series of transactions between August 26, 2024 and September 18, 2024, OPKO sold a total of 330,472 shares of GeneDx Common Stock on the open market at prices ranging from $31.50 to $38.59 per share for an aggregate sale price of approximately $12,053,996.</w:t>
      </w:r>
    </w:p>
    <w:p>
      <w:pPr>
        <w:spacing w:after="0" w:line="158"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Item 5 is deleted in its entirety and replaced with the following text:</w:t>
      </w:r>
    </w:p>
    <w:p>
      <w:pPr>
        <w:spacing w:after="0" w:line="229" w:lineRule="exact"/>
        <w:rPr>
          <w:sz w:val="20"/>
          <w:szCs w:val="20"/>
          <w:color w:val="auto"/>
        </w:rPr>
      </w:pPr>
    </w:p>
    <w:p>
      <w:pPr>
        <w:ind w:left="1120" w:hanging="644"/>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beneficial ownership of GeneDx Common Stock is as set forth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Outstanding Shares</w:t>
            </w: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 of Outstanding</w:t>
            </w:r>
          </w:p>
        </w:tc>
      </w:tr>
      <w:tr>
        <w:trPr>
          <w:trHeight w:val="238"/>
        </w:trPr>
        <w:tc>
          <w:tcPr>
            <w:tcW w:w="960" w:type="dxa"/>
            <w:vAlign w:val="bottom"/>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Title of Beneficial Owner</w:t>
            </w:r>
          </w:p>
        </w:tc>
        <w:tc>
          <w:tcPr>
            <w:tcW w:w="80" w:type="dxa"/>
            <w:vAlign w:val="bottom"/>
          </w:tcPr>
          <w:p>
            <w:pPr>
              <w:spacing w:after="0"/>
              <w:rPr>
                <w:sz w:val="20"/>
                <w:szCs w:val="20"/>
                <w:color w:val="auto"/>
              </w:rPr>
            </w:pP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60" w:type="dxa"/>
            <w:vAlign w:val="bottom"/>
          </w:tcPr>
          <w:p>
            <w:pPr>
              <w:spacing w:after="0"/>
              <w:rPr>
                <w:sz w:val="20"/>
                <w:szCs w:val="20"/>
                <w:color w:val="auto"/>
              </w:rPr>
            </w:pPr>
          </w:p>
        </w:tc>
        <w:tc>
          <w:tcPr>
            <w:tcW w:w="222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Common Shares </w:t>
            </w:r>
            <w:r>
              <w:rPr>
                <w:rFonts w:ascii="Times New Roman" w:cs="Times New Roman" w:eastAsia="Times New Roman" w:hAnsi="Times New Roman"/>
                <w:sz w:val="27"/>
                <w:szCs w:val="27"/>
                <w:b w:val="1"/>
                <w:bCs w:val="1"/>
                <w:color w:val="auto"/>
                <w:vertAlign w:val="superscript"/>
              </w:rPr>
              <w:t>(1)</w:t>
            </w:r>
          </w:p>
        </w:tc>
      </w:tr>
      <w:tr>
        <w:trPr>
          <w:trHeight w:val="191"/>
        </w:trPr>
        <w:tc>
          <w:tcPr>
            <w:tcW w:w="960" w:type="dxa"/>
            <w:vAlign w:val="bottom"/>
          </w:tcPr>
          <w:p>
            <w:pPr>
              <w:spacing w:after="0"/>
              <w:rPr>
                <w:sz w:val="16"/>
                <w:szCs w:val="16"/>
                <w:color w:val="auto"/>
              </w:rPr>
            </w:pPr>
          </w:p>
        </w:tc>
        <w:tc>
          <w:tcPr>
            <w:tcW w:w="3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OPKO Health, Inc.</w:t>
            </w:r>
          </w:p>
        </w:tc>
        <w:tc>
          <w:tcPr>
            <w:tcW w:w="80" w:type="dxa"/>
            <w:vAlign w:val="bottom"/>
          </w:tcPr>
          <w:p>
            <w:pPr>
              <w:spacing w:after="0"/>
              <w:rPr>
                <w:sz w:val="16"/>
                <w:szCs w:val="16"/>
                <w:color w:val="auto"/>
              </w:rPr>
            </w:pPr>
          </w:p>
        </w:tc>
        <w:tc>
          <w:tcPr>
            <w:tcW w:w="29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2,171,674</w:t>
            </w:r>
          </w:p>
        </w:tc>
        <w:tc>
          <w:tcPr>
            <w:tcW w:w="60" w:type="dxa"/>
            <w:vAlign w:val="bottom"/>
          </w:tcPr>
          <w:p>
            <w:pPr>
              <w:spacing w:after="0"/>
              <w:rPr>
                <w:sz w:val="16"/>
                <w:szCs w:val="16"/>
                <w:color w:val="auto"/>
              </w:rPr>
            </w:pPr>
          </w:p>
        </w:tc>
        <w:tc>
          <w:tcPr>
            <w:tcW w:w="2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8.06%</w:t>
            </w:r>
          </w:p>
        </w:tc>
      </w:tr>
      <w:tr>
        <w:trPr>
          <w:trHeight w:val="228"/>
        </w:trPr>
        <w:tc>
          <w:tcPr>
            <w:tcW w:w="4940" w:type="dxa"/>
            <w:vAlign w:val="bottom"/>
            <w:gridSpan w:val="2"/>
          </w:tcPr>
          <w:p>
            <w:pPr>
              <w:jc w:val="right"/>
              <w:ind w:right="3590"/>
              <w:spacing w:after="0"/>
              <w:rPr>
                <w:sz w:val="20"/>
                <w:szCs w:val="20"/>
                <w:color w:val="auto"/>
              </w:rPr>
            </w:pPr>
            <w:r>
              <w:rPr>
                <w:rFonts w:ascii="Times New Roman" w:cs="Times New Roman" w:eastAsia="Times New Roman" w:hAnsi="Times New Roman"/>
                <w:sz w:val="18"/>
                <w:szCs w:val="18"/>
                <w:color w:val="auto"/>
                <w:w w:val="98"/>
              </w:rPr>
              <w:t>______________</w:t>
            </w:r>
          </w:p>
        </w:tc>
        <w:tc>
          <w:tcPr>
            <w:tcW w:w="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20" w:type="dxa"/>
            <w:vAlign w:val="bottom"/>
          </w:tcPr>
          <w:p>
            <w:pPr>
              <w:spacing w:after="0"/>
              <w:rPr>
                <w:sz w:val="19"/>
                <w:szCs w:val="19"/>
                <w:color w:val="auto"/>
              </w:rPr>
            </w:pPr>
          </w:p>
        </w:tc>
      </w:tr>
    </w:tbl>
    <w:p>
      <w:pPr>
        <w:ind w:left="440" w:hanging="270"/>
        <w:spacing w:after="0"/>
        <w:tabs>
          <w:tab w:leader="none" w:pos="4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Based on 26,935,897 shares of GeneDx Common Stock of the Issuer outstanding on July 22, 2024, as set forth in the Issuer’s Form 10-Q filed with the SEC on July 30, 2024.</w:t>
      </w:r>
    </w:p>
    <w:p>
      <w:pPr>
        <w:spacing w:after="0" w:line="191" w:lineRule="exact"/>
        <w:rPr>
          <w:rFonts w:ascii="Times New Roman" w:cs="Times New Roman" w:eastAsia="Times New Roman" w:hAnsi="Times New Roman"/>
          <w:sz w:val="12"/>
          <w:szCs w:val="12"/>
          <w:color w:val="auto"/>
        </w:rPr>
      </w:pPr>
    </w:p>
    <w:p>
      <w:pPr>
        <w:ind w:left="1160" w:hanging="666"/>
        <w:spacing w:after="0"/>
        <w:tabs>
          <w:tab w:leader="none" w:pos="11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7-10, inclusive, set forth on the cover page to this Amendment are hereby incorporated by reference in this Item 5.</w:t>
      </w:r>
    </w:p>
    <w:p>
      <w:pPr>
        <w:spacing w:after="0" w:line="225" w:lineRule="exact"/>
        <w:rPr>
          <w:rFonts w:ascii="Times New Roman" w:cs="Times New Roman" w:eastAsia="Times New Roman" w:hAnsi="Times New Roman"/>
          <w:sz w:val="18"/>
          <w:szCs w:val="18"/>
          <w:color w:val="auto"/>
        </w:rPr>
      </w:pPr>
    </w:p>
    <w:p>
      <w:pPr>
        <w:ind w:left="1140" w:right="120" w:hanging="646"/>
        <w:spacing w:after="0" w:line="261" w:lineRule="auto"/>
        <w:tabs>
          <w:tab w:leader="none" w:pos="114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last 60 days prior to the filing of this Amendment No. 7, OPKO sold a total of 1,211,729 shares of GeneDx Common Stock on the open market at prices ranging from $29.00 to $38.59 per share for an aggregate sale price of approximately $41,649,375. Sales of GeneDx Common Stock prior to August 26, 2024 were previously reported in Amendment No. 4, Amendment No. 5, and Amendment No. 6. The following table sets forth the information with regard to GeneDx Common Stock sold by OPKO on the open market in the last 60 days.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Shares of</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Weighted</w:t>
            </w:r>
          </w:p>
        </w:tc>
      </w:tr>
      <w:tr>
        <w:trPr>
          <w:trHeight w:val="216"/>
        </w:trPr>
        <w:tc>
          <w:tcPr>
            <w:tcW w:w="11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38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Common</w:t>
            </w:r>
          </w:p>
        </w:tc>
        <w:tc>
          <w:tcPr>
            <w:tcW w:w="1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Aggregate</w:t>
            </w:r>
          </w:p>
        </w:tc>
        <w:tc>
          <w:tcPr>
            <w:tcW w:w="6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Price Per</w:t>
            </w:r>
          </w:p>
        </w:tc>
      </w:tr>
      <w:tr>
        <w:trPr>
          <w:trHeight w:val="234"/>
        </w:trPr>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Stock</w:t>
            </w:r>
          </w:p>
        </w:tc>
        <w:tc>
          <w:tcPr>
            <w:tcW w:w="1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Price</w:t>
            </w:r>
          </w:p>
        </w:tc>
        <w:tc>
          <w:tcPr>
            <w:tcW w:w="340" w:type="dxa"/>
            <w:vAlign w:val="bottom"/>
          </w:tcPr>
          <w:p>
            <w:pPr>
              <w:spacing w:after="0"/>
              <w:rPr>
                <w:sz w:val="20"/>
                <w:szCs w:val="20"/>
                <w:color w:val="auto"/>
              </w:rPr>
            </w:pPr>
          </w:p>
        </w:tc>
        <w:tc>
          <w:tcPr>
            <w:tcW w:w="5900" w:type="dxa"/>
            <w:vAlign w:val="bottom"/>
            <w:gridSpan w:val="2"/>
          </w:tcPr>
          <w:p>
            <w:pPr>
              <w:jc w:val="right"/>
              <w:ind w:right="5500"/>
              <w:spacing w:after="0"/>
              <w:rPr>
                <w:sz w:val="20"/>
                <w:szCs w:val="20"/>
                <w:color w:val="auto"/>
              </w:rPr>
            </w:pPr>
            <w:r>
              <w:rPr>
                <w:rFonts w:ascii="Times New Roman" w:cs="Times New Roman" w:eastAsia="Times New Roman" w:hAnsi="Times New Roman"/>
                <w:sz w:val="18"/>
                <w:szCs w:val="18"/>
                <w:color w:val="auto"/>
                <w:w w:val="92"/>
              </w:rPr>
              <w:t>Share</w:t>
            </w:r>
          </w:p>
        </w:tc>
      </w:tr>
      <w:tr>
        <w:trPr>
          <w:trHeight w:val="191"/>
        </w:trPr>
        <w:tc>
          <w:tcPr>
            <w:tcW w:w="1140" w:type="dxa"/>
            <w:vAlign w:val="bottom"/>
          </w:tcPr>
          <w:p>
            <w:pPr>
              <w:spacing w:after="0"/>
              <w:rPr>
                <w:sz w:val="16"/>
                <w:szCs w:val="16"/>
                <w:color w:val="auto"/>
              </w:rPr>
            </w:pPr>
          </w:p>
        </w:tc>
        <w:tc>
          <w:tcPr>
            <w:tcW w:w="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7/22/24</w:t>
            </w:r>
          </w:p>
        </w:tc>
        <w:tc>
          <w:tcPr>
            <w:tcW w:w="380" w:type="dxa"/>
            <w:vAlign w:val="bottom"/>
          </w:tcPr>
          <w:p>
            <w:pPr>
              <w:spacing w:after="0"/>
              <w:rPr>
                <w:sz w:val="16"/>
                <w:szCs w:val="16"/>
                <w:color w:val="auto"/>
              </w:rPr>
            </w:pPr>
          </w:p>
        </w:tc>
        <w:tc>
          <w:tcPr>
            <w:tcW w:w="8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50,000</w:t>
            </w:r>
          </w:p>
        </w:tc>
        <w:tc>
          <w:tcPr>
            <w:tcW w:w="380" w:type="dxa"/>
            <w:vAlign w:val="bottom"/>
          </w:tcPr>
          <w:p>
            <w:pPr>
              <w:spacing w:after="0"/>
              <w:rPr>
                <w:sz w:val="16"/>
                <w:szCs w:val="16"/>
                <w:color w:val="auto"/>
              </w:rPr>
            </w:pPr>
          </w:p>
        </w:tc>
        <w:tc>
          <w:tcPr>
            <w:tcW w:w="440" w:type="dxa"/>
            <w:vAlign w:val="bottom"/>
            <w:tcBorders>
              <w:top w:val="single" w:sz="8" w:color="auto"/>
            </w:tcBorders>
          </w:tcPr>
          <w:p>
            <w:pPr>
              <w:ind w:left="260"/>
              <w:spacing w:after="0" w:line="191"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1,630,422</w:t>
            </w:r>
          </w:p>
        </w:tc>
        <w:tc>
          <w:tcPr>
            <w:tcW w:w="380" w:type="dxa"/>
            <w:vAlign w:val="bottom"/>
          </w:tcPr>
          <w:p>
            <w:pPr>
              <w:spacing w:after="0"/>
              <w:rPr>
                <w:sz w:val="16"/>
                <w:szCs w:val="16"/>
                <w:color w:val="auto"/>
              </w:rPr>
            </w:pPr>
          </w:p>
        </w:tc>
        <w:tc>
          <w:tcPr>
            <w:tcW w:w="34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32.6088</w:t>
            </w:r>
          </w:p>
        </w:tc>
        <w:tc>
          <w:tcPr>
            <w:tcW w:w="5160" w:type="dxa"/>
            <w:vAlign w:val="bottom"/>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7/23/24</w:t>
            </w:r>
          </w:p>
        </w:tc>
        <w:tc>
          <w:tcPr>
            <w:tcW w:w="16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75,000</w:t>
            </w:r>
          </w:p>
        </w:tc>
        <w:tc>
          <w:tcPr>
            <w:tcW w:w="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2,509,248</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90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33.4566</w:t>
            </w:r>
          </w:p>
        </w:tc>
      </w:tr>
      <w:tr>
        <w:trPr>
          <w:trHeight w:val="216"/>
        </w:trPr>
        <w:tc>
          <w:tcPr>
            <w:tcW w:w="11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7/24/24</w:t>
            </w:r>
          </w:p>
        </w:tc>
        <w:tc>
          <w:tcPr>
            <w:tcW w:w="16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75,000</w:t>
            </w:r>
          </w:p>
        </w:tc>
        <w:tc>
          <w:tcPr>
            <w:tcW w:w="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2,529,102</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90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33.7214</w:t>
            </w:r>
          </w:p>
        </w:tc>
      </w:tr>
      <w:tr>
        <w:trPr>
          <w:trHeight w:val="234"/>
        </w:trPr>
        <w:tc>
          <w:tcPr>
            <w:tcW w:w="114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7/26/24</w:t>
            </w:r>
          </w:p>
        </w:tc>
        <w:tc>
          <w:tcPr>
            <w:tcW w:w="16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60,000</w:t>
            </w:r>
          </w:p>
        </w:tc>
        <w:tc>
          <w:tcPr>
            <w:tcW w:w="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2,031,255</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90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33.8543</w:t>
            </w:r>
          </w:p>
        </w:tc>
      </w:tr>
      <w:tr>
        <w:trPr>
          <w:trHeight w:val="358"/>
        </w:trPr>
        <w:tc>
          <w:tcPr>
            <w:tcW w:w="1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spacing w:after="0"/>
        <w:tabs>
          <w:tab w:leader="none" w:pos="5100" w:val="left"/>
          <w:tab w:leader="none" w:pos="10300" w:val="left"/>
        </w:tabs>
        <w:rPr>
          <w:sz w:val="20"/>
          <w:szCs w:val="20"/>
          <w:color w:val="auto"/>
        </w:rPr>
      </w:pPr>
      <w:r>
        <w:rPr>
          <w:rFonts w:ascii="Times New Roman" w:cs="Times New Roman" w:eastAsia="Times New Roman" w:hAnsi="Times New Roman"/>
          <w:sz w:val="18"/>
          <w:szCs w:val="18"/>
          <w:color w:val="auto"/>
        </w:rPr>
        <w:t>CUSIP No. 81663L200</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4 of 5</w:t>
      </w:r>
    </w:p>
    <w:p>
      <w:pPr>
        <w:sectPr>
          <w:pgSz w:w="11900" w:h="16838" w:orient="portrait"/>
          <w:cols w:equalWidth="0" w:num="1">
            <w:col w:w="11240"/>
          </w:cols>
          <w:pgMar w:left="320" w:top="580" w:right="339" w:bottom="1440" w:gutter="0" w:footer="0" w:header="0"/>
        </w:sectPr>
      </w:pPr>
    </w:p>
    <w:p>
      <w:pPr>
        <w:spacing w:after="0" w:line="225"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9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7/29/24</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50,000</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1,692,890</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33.8578</w:t>
            </w:r>
          </w:p>
        </w:tc>
      </w:tr>
      <w:tr>
        <w:trPr>
          <w:trHeight w:val="216"/>
        </w:trPr>
        <w:tc>
          <w:tcPr>
            <w:tcW w:w="9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7/31/24</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88,839</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2,976,350</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33.5027</w:t>
            </w:r>
          </w:p>
        </w:tc>
      </w:tr>
      <w:tr>
        <w:trPr>
          <w:trHeight w:val="216"/>
        </w:trPr>
        <w:tc>
          <w:tcPr>
            <w:tcW w:w="9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8/6/24</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12,994</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381,427</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29.3541</w:t>
            </w:r>
          </w:p>
        </w:tc>
      </w:tr>
      <w:tr>
        <w:trPr>
          <w:trHeight w:val="216"/>
        </w:trPr>
        <w:tc>
          <w:tcPr>
            <w:tcW w:w="9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8/8/24</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100,000</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3.182.380</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31.8238</w:t>
            </w:r>
          </w:p>
        </w:tc>
      </w:tr>
      <w:tr>
        <w:trPr>
          <w:trHeight w:val="216"/>
        </w:trPr>
        <w:tc>
          <w:tcPr>
            <w:tcW w:w="9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8/12/24</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59,787</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2,029,811</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33.9507</w:t>
            </w:r>
          </w:p>
        </w:tc>
      </w:tr>
      <w:tr>
        <w:trPr>
          <w:trHeight w:val="216"/>
        </w:trPr>
        <w:tc>
          <w:tcPr>
            <w:tcW w:w="9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8/13/24</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24,987</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868,502</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34.7582</w:t>
            </w:r>
          </w:p>
        </w:tc>
      </w:tr>
      <w:tr>
        <w:trPr>
          <w:trHeight w:val="216"/>
        </w:trPr>
        <w:tc>
          <w:tcPr>
            <w:tcW w:w="9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8/15/24</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39,824</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1,317,506</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33.0832</w:t>
            </w:r>
          </w:p>
        </w:tc>
      </w:tr>
      <w:tr>
        <w:trPr>
          <w:trHeight w:val="216"/>
        </w:trPr>
        <w:tc>
          <w:tcPr>
            <w:tcW w:w="9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8/16/24</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50,000</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1,714,851</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34.2970</w:t>
            </w:r>
          </w:p>
        </w:tc>
      </w:tr>
      <w:tr>
        <w:trPr>
          <w:trHeight w:val="216"/>
        </w:trPr>
        <w:tc>
          <w:tcPr>
            <w:tcW w:w="9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8/19/24</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50,000</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1,724,519</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34.4904</w:t>
            </w:r>
          </w:p>
        </w:tc>
      </w:tr>
      <w:tr>
        <w:trPr>
          <w:trHeight w:val="216"/>
        </w:trPr>
        <w:tc>
          <w:tcPr>
            <w:tcW w:w="9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8/21/24</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94,826</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3,270,681</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34.4914</w:t>
            </w:r>
          </w:p>
        </w:tc>
      </w:tr>
      <w:tr>
        <w:trPr>
          <w:trHeight w:val="216"/>
        </w:trPr>
        <w:tc>
          <w:tcPr>
            <w:tcW w:w="9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8/22/24</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25,000</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851,946</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34.0779</w:t>
            </w:r>
          </w:p>
        </w:tc>
      </w:tr>
      <w:tr>
        <w:trPr>
          <w:trHeight w:val="216"/>
        </w:trPr>
        <w:tc>
          <w:tcPr>
            <w:tcW w:w="9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8/23/24</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25,000</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884,466</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35.3786</w:t>
            </w:r>
          </w:p>
        </w:tc>
      </w:tr>
      <w:tr>
        <w:trPr>
          <w:trHeight w:val="216"/>
        </w:trPr>
        <w:tc>
          <w:tcPr>
            <w:tcW w:w="9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8/26/24</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10,000</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348,612</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34,8612</w:t>
            </w:r>
          </w:p>
        </w:tc>
      </w:tr>
      <w:tr>
        <w:trPr>
          <w:trHeight w:val="216"/>
        </w:trPr>
        <w:tc>
          <w:tcPr>
            <w:tcW w:w="9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8/29/24</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4,461</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147,358</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33.0325</w:t>
            </w:r>
          </w:p>
        </w:tc>
      </w:tr>
      <w:tr>
        <w:trPr>
          <w:trHeight w:val="216"/>
        </w:trPr>
        <w:tc>
          <w:tcPr>
            <w:tcW w:w="9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9/4/24</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7,345</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232,592</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31.6667</w:t>
            </w:r>
          </w:p>
        </w:tc>
      </w:tr>
      <w:tr>
        <w:trPr>
          <w:trHeight w:val="216"/>
        </w:trPr>
        <w:tc>
          <w:tcPr>
            <w:tcW w:w="9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9/9/24</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50,000</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1,668,268</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33.3654</w:t>
            </w:r>
          </w:p>
        </w:tc>
      </w:tr>
      <w:tr>
        <w:trPr>
          <w:trHeight w:val="216"/>
        </w:trPr>
        <w:tc>
          <w:tcPr>
            <w:tcW w:w="9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9/11/24</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50,000</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1,743,314</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34.8663</w:t>
            </w:r>
          </w:p>
        </w:tc>
      </w:tr>
      <w:tr>
        <w:trPr>
          <w:trHeight w:val="216"/>
        </w:trPr>
        <w:tc>
          <w:tcPr>
            <w:tcW w:w="9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9/12/24</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100,000</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3,828,812</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38.2881</w:t>
            </w:r>
          </w:p>
        </w:tc>
      </w:tr>
      <w:tr>
        <w:trPr>
          <w:trHeight w:val="216"/>
        </w:trPr>
        <w:tc>
          <w:tcPr>
            <w:tcW w:w="9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9/13/24</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8,666</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331,804</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38.2881</w:t>
            </w:r>
          </w:p>
        </w:tc>
      </w:tr>
      <w:tr>
        <w:trPr>
          <w:trHeight w:val="216"/>
        </w:trPr>
        <w:tc>
          <w:tcPr>
            <w:tcW w:w="9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9/16/24</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50,000</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1,878,759</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37.5752</w:t>
            </w:r>
          </w:p>
        </w:tc>
      </w:tr>
      <w:tr>
        <w:trPr>
          <w:trHeight w:val="234"/>
        </w:trPr>
        <w:tc>
          <w:tcPr>
            <w:tcW w:w="9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9/17/24</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50,000</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1,874,478</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37.4896</w:t>
            </w:r>
          </w:p>
        </w:tc>
      </w:tr>
    </w:tbl>
    <w:p>
      <w:pPr>
        <w:spacing w:after="0" w:line="198" w:lineRule="exact"/>
        <w:rPr>
          <w:sz w:val="20"/>
          <w:szCs w:val="20"/>
          <w:color w:val="auto"/>
        </w:rPr>
      </w:pPr>
    </w:p>
    <w:p>
      <w:pPr>
        <w:ind w:left="1140" w:right="200" w:hanging="646"/>
        <w:spacing w:after="0" w:line="282" w:lineRule="auto"/>
        <w:tabs>
          <w:tab w:leader="none" w:pos="115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herein, no other person is known by OPKO to have the right to receive or the power to direct the receipt of dividends from, or the proceeds from the sale of, any shares of the Issuer beneficially owned by them.</w:t>
      </w:r>
    </w:p>
    <w:p>
      <w:pPr>
        <w:spacing w:after="0" w:line="161" w:lineRule="exact"/>
        <w:rPr>
          <w:rFonts w:ascii="Times New Roman" w:cs="Times New Roman" w:eastAsia="Times New Roman" w:hAnsi="Times New Roman"/>
          <w:sz w:val="18"/>
          <w:szCs w:val="18"/>
          <w:color w:val="auto"/>
        </w:rPr>
      </w:pPr>
    </w:p>
    <w:p>
      <w:pPr>
        <w:ind w:left="1120" w:hanging="644"/>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4" w:name="page5"/>
    <w:bookmarkEnd w:id="4"/>
    <w:p>
      <w:pPr>
        <w:spacing w:after="0"/>
        <w:tabs>
          <w:tab w:leader="none" w:pos="5100" w:val="left"/>
          <w:tab w:leader="none" w:pos="10300" w:val="left"/>
        </w:tabs>
        <w:rPr>
          <w:sz w:val="20"/>
          <w:szCs w:val="20"/>
          <w:color w:val="auto"/>
        </w:rPr>
      </w:pPr>
      <w:r>
        <w:rPr>
          <w:rFonts w:ascii="Times New Roman" w:cs="Times New Roman" w:eastAsia="Times New Roman" w:hAnsi="Times New Roman"/>
          <w:sz w:val="18"/>
          <w:szCs w:val="18"/>
          <w:color w:val="auto"/>
        </w:rPr>
        <w:t>CUSIP No. 81663L200</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5 of 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5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OPKO Health, Inc.</w:t>
            </w:r>
          </w:p>
        </w:tc>
      </w:tr>
      <w:tr>
        <w:trPr>
          <w:trHeight w:val="4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September 18, 2024</w:t>
            </w:r>
          </w:p>
        </w:tc>
        <w:tc>
          <w:tcPr>
            <w:tcW w:w="25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D. Rubin</w:t>
            </w:r>
          </w:p>
        </w:tc>
      </w:tr>
      <w:tr>
        <w:trPr>
          <w:trHeight w:val="191"/>
        </w:trPr>
        <w:tc>
          <w:tcPr>
            <w:tcW w:w="6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500" w:type="dxa"/>
            <w:vAlign w:val="bottom"/>
          </w:tcPr>
          <w:p>
            <w:pPr>
              <w:ind w:left="15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D. Rubin</w:t>
            </w:r>
          </w:p>
        </w:tc>
      </w:tr>
      <w:tr>
        <w:trPr>
          <w:trHeight w:val="234"/>
        </w:trPr>
        <w:tc>
          <w:tcPr>
            <w:tcW w:w="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 Administration</w:t>
            </w:r>
          </w:p>
        </w:tc>
      </w:tr>
    </w:tbl>
    <w:p>
      <w:pPr>
        <w:spacing w:after="0" w:line="1" w:lineRule="exact"/>
        <w:rPr>
          <w:sz w:val="20"/>
          <w:szCs w:val="20"/>
          <w:color w:val="auto"/>
        </w:rPr>
      </w:pP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bullet"/>
      <w:start w:val="1"/>
    </w:lvl>
  </w:abstractNum>
  <w:abstractNum w:abstractNumId="2">
    <w:nsid w:val="515F007C"/>
    <w:multiLevelType w:val="hybridMultilevel"/>
    <w:lvl w:ilvl="0">
      <w:lvlJc w:val="left"/>
      <w:lvlText w:val="2"/>
      <w:numFmt w:val="bullet"/>
      <w:start w:val="1"/>
    </w:lvl>
  </w:abstractNum>
  <w:abstractNum w:abstractNumId="3">
    <w:nsid w:val="5BD062C2"/>
    <w:multiLevelType w:val="hybridMultilevel"/>
    <w:lvl w:ilvl="0">
      <w:lvlJc w:val="left"/>
      <w:lvlText w:val="3"/>
      <w:numFmt w:val="bullet"/>
      <w:start w:val="1"/>
    </w:lvl>
  </w:abstractNum>
  <w:abstractNum w:abstractNumId="4">
    <w:nsid w:val="12200854"/>
    <w:multiLevelType w:val="hybridMultilevel"/>
    <w:lvl w:ilvl="0">
      <w:lvlJc w:val="left"/>
      <w:lvlText w:val="4"/>
      <w:numFmt w:val="bullet"/>
      <w:start w:val="1"/>
    </w:lvl>
  </w:abstractNum>
  <w:abstractNum w:abstractNumId="5">
    <w:nsid w:val="4DB127F8"/>
    <w:multiLevelType w:val="hybridMultilevel"/>
    <w:lvl w:ilvl="0">
      <w:lvlJc w:val="left"/>
      <w:lvlText w:val="5"/>
      <w:numFmt w:val="bullet"/>
      <w:start w:val="1"/>
    </w:lvl>
  </w:abstractNum>
  <w:abstractNum w:abstractNumId="6">
    <w:nsid w:val="216231B"/>
    <w:multiLevelType w:val="hybridMultilevel"/>
    <w:lvl w:ilvl="0">
      <w:lvlJc w:val="left"/>
      <w:lvlText w:val="6"/>
      <w:numFmt w:val="bullet"/>
      <w:start w:val="1"/>
    </w:lvl>
  </w:abstractNum>
  <w:abstractNum w:abstractNumId="7">
    <w:nsid w:val="1F16E9E8"/>
    <w:multiLevelType w:val="hybridMultilevel"/>
    <w:lvl w:ilvl="0">
      <w:lvlJc w:val="left"/>
      <w:lvlText w:val="%1"/>
      <w:numFmt w:val="decimal"/>
      <w:start w:val="11"/>
    </w:lvl>
  </w:abstractNum>
  <w:abstractNum w:abstractNumId="8">
    <w:nsid w:val="1190CDE7"/>
    <w:multiLevelType w:val="hybridMultilevel"/>
    <w:lvl w:ilvl="0">
      <w:lvlJc w:val="left"/>
      <w:lvlText w:val="%1"/>
      <w:numFmt w:val="decimal"/>
      <w:start w:val="1"/>
    </w:lvl>
    <w:lvl w:ilvl="1">
      <w:lvlJc w:val="left"/>
      <w:lvlText w:val="%2"/>
      <w:numFmt w:val="decimal"/>
      <w:start w:val="12"/>
    </w:lvl>
  </w:abstractNum>
  <w:abstractNum w:abstractNumId="9">
    <w:nsid w:val="66EF438D"/>
    <w:multiLevelType w:val="hybridMultilevel"/>
    <w:lvl w:ilvl="0">
      <w:lvlJc w:val="left"/>
      <w:lvlText w:val="(%1)"/>
      <w:numFmt w:val="decimal"/>
      <w:start w:val="1"/>
    </w:lvl>
    <w:lvl w:ilvl="1">
      <w:lvlJc w:val="left"/>
      <w:lvlText w:val="%2"/>
      <w:numFmt w:val="decimal"/>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2"/>
    </w:lvl>
  </w:abstractNum>
  <w:abstractNum w:abstractNumId="12">
    <w:nsid w:val="109CF92E"/>
    <w:multiLevelType w:val="hybridMultilevel"/>
    <w:lvl w:ilvl="0">
      <w:lvlJc w:val="left"/>
      <w:lvlText w:val="%1"/>
      <w:numFmt w:val="lowerLetter"/>
      <w:start w:val="1"/>
    </w:lvl>
    <w:lvl w:ilvl="1">
      <w:lvlJc w:val="left"/>
      <w:lvlText w:val="(%2)"/>
      <w:numFmt w:val="lowerLetter"/>
      <w:start w:val="4"/>
    </w:lvl>
  </w:abstractNum>
  <w:abstractNum w:abstractNumId="13">
    <w:nsid w:val="DED7263"/>
    <w:multiLevelType w:val="hybridMultilevel"/>
    <w:lvl w:ilvl="0">
      <w:lvlJc w:val="left"/>
      <w:lvlText w:val="(%1)"/>
      <w:numFmt w:val="lowerLetter"/>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2024-09-18T15:29:49Z</dcterms:created>
  <dcterms:modified xsi:type="dcterms:W3CDTF">2024-09-18T15:29:49Z</dcterms:modified>
</cp:coreProperties>
</file>