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SCHEDULE 13D/A</w:t>
      </w:r>
    </w:p>
    <w:p>
      <w:pPr>
        <w:spacing w:after="0" w:line="189"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(Amendment No. 2)</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1676400</wp:posOffset>
            </wp:positionH>
            <wp:positionV relativeFrom="paragraph">
              <wp:posOffset>29845</wp:posOffset>
            </wp:positionV>
            <wp:extent cx="37973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(Name of Issuer)</w:t>
      </w:r>
    </w:p>
    <w:p>
      <w:pPr>
        <w:spacing w:after="0" w:line="35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1676400</wp:posOffset>
            </wp:positionH>
            <wp:positionV relativeFrom="paragraph">
              <wp:posOffset>20320</wp:posOffset>
            </wp:positionV>
            <wp:extent cx="3797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97300" cy="8890"/>
                    </a:xfrm>
                    <a:prstGeom prst="rect">
                      <a:avLst/>
                    </a:prstGeom>
                    <a:noFill/>
                  </pic:spPr>
                </pic:pic>
              </a:graphicData>
            </a:graphic>
          </wp:anchor>
        </w:drawing>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(Title of Class of Securities)</w:t>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81663L101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37465</wp:posOffset>
            </wp:positionV>
            <wp:extent cx="10801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58"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(CUSIP Number)</w:t>
      </w:r>
    </w:p>
    <w:p>
      <w:pPr>
        <w:spacing w:after="0" w:line="136" w:lineRule="exact"/>
        <w:rPr>
          <w:sz w:val="24"/>
          <w:szCs w:val="24"/>
          <w:color w:val="auto"/>
        </w:rPr>
      </w:pPr>
    </w:p>
    <w:p>
      <w:pPr>
        <w:ind w:left="5040"/>
        <w:spacing w:after="0"/>
        <w:rPr>
          <w:sz w:val="20"/>
          <w:szCs w:val="20"/>
          <w:color w:val="auto"/>
        </w:rPr>
      </w:pPr>
      <w:r>
        <w:rPr>
          <w:rFonts w:ascii="Arial" w:cs="Arial" w:eastAsia="Arial" w:hAnsi="Arial"/>
          <w:sz w:val="16"/>
          <w:szCs w:val="16"/>
          <w:b w:val="1"/>
          <w:bCs w:val="1"/>
          <w:color w:val="auto"/>
        </w:rPr>
        <w:t>Steven D. Rubin</w:t>
      </w:r>
    </w:p>
    <w:p>
      <w:pPr>
        <w:ind w:left="4160"/>
        <w:spacing w:after="0" w:line="211" w:lineRule="auto"/>
        <w:rPr>
          <w:sz w:val="20"/>
          <w:szCs w:val="20"/>
          <w:color w:val="auto"/>
        </w:rPr>
      </w:pPr>
      <w:r>
        <w:rPr>
          <w:rFonts w:ascii="Arial" w:cs="Arial" w:eastAsia="Arial" w:hAnsi="Arial"/>
          <w:sz w:val="16"/>
          <w:szCs w:val="16"/>
          <w:b w:val="1"/>
          <w:bCs w:val="1"/>
          <w:color w:val="auto"/>
        </w:rPr>
        <w:t>Executive Vice President - Administration</w:t>
      </w:r>
    </w:p>
    <w:p>
      <w:pPr>
        <w:ind w:left="4940"/>
        <w:spacing w:after="0" w:line="211" w:lineRule="auto"/>
        <w:rPr>
          <w:sz w:val="20"/>
          <w:szCs w:val="20"/>
          <w:color w:val="auto"/>
        </w:rPr>
      </w:pPr>
      <w:r>
        <w:rPr>
          <w:rFonts w:ascii="Arial" w:cs="Arial" w:eastAsia="Arial" w:hAnsi="Arial"/>
          <w:sz w:val="16"/>
          <w:szCs w:val="16"/>
          <w:b w:val="1"/>
          <w:bCs w:val="1"/>
          <w:color w:val="auto"/>
        </w:rPr>
        <w:t>OPKO Health, Inc.</w:t>
      </w:r>
    </w:p>
    <w:p>
      <w:pPr>
        <w:ind w:left="4740"/>
        <w:spacing w:after="0" w:line="211" w:lineRule="auto"/>
        <w:rPr>
          <w:sz w:val="20"/>
          <w:szCs w:val="20"/>
          <w:color w:val="auto"/>
        </w:rPr>
      </w:pPr>
      <w:r>
        <w:rPr>
          <w:rFonts w:ascii="Arial" w:cs="Arial" w:eastAsia="Arial" w:hAnsi="Arial"/>
          <w:sz w:val="16"/>
          <w:szCs w:val="16"/>
          <w:b w:val="1"/>
          <w:bCs w:val="1"/>
          <w:color w:val="auto"/>
        </w:rPr>
        <w:t>4400 Biscayne Boulevard</w:t>
      </w:r>
    </w:p>
    <w:p>
      <w:pPr>
        <w:ind w:left="4860"/>
        <w:spacing w:after="0" w:line="212" w:lineRule="auto"/>
        <w:rPr>
          <w:sz w:val="20"/>
          <w:szCs w:val="20"/>
          <w:color w:val="auto"/>
        </w:rPr>
      </w:pPr>
      <w:r>
        <w:rPr>
          <w:rFonts w:ascii="Arial" w:cs="Arial" w:eastAsia="Arial" w:hAnsi="Arial"/>
          <w:sz w:val="16"/>
          <w:szCs w:val="16"/>
          <w:b w:val="1"/>
          <w:bCs w:val="1"/>
          <w:color w:val="auto"/>
        </w:rPr>
        <w:t>Miami, Florida 33137</w:t>
      </w:r>
    </w:p>
    <w:p>
      <w:pPr>
        <w:ind w:left="4720"/>
        <w:spacing w:after="0"/>
        <w:rPr>
          <w:sz w:val="20"/>
          <w:szCs w:val="20"/>
          <w:color w:val="auto"/>
        </w:rPr>
      </w:pPr>
      <w:r>
        <w:rPr>
          <w:rFonts w:ascii="Arial" w:cs="Arial" w:eastAsia="Arial" w:hAnsi="Arial"/>
          <w:sz w:val="16"/>
          <w:szCs w:val="16"/>
          <w:b w:val="1"/>
          <w:bCs w:val="1"/>
          <w:color w:val="auto"/>
        </w:rPr>
        <w:t>Telephone: (305) 575-4100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1290955</wp:posOffset>
            </wp:positionH>
            <wp:positionV relativeFrom="paragraph">
              <wp:posOffset>8890</wp:posOffset>
            </wp:positionV>
            <wp:extent cx="4568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372"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April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20320</wp:posOffset>
            </wp:positionV>
            <wp:extent cx="2588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(Date of event which requires filing of this statement)</w:t>
      </w:r>
    </w:p>
    <w:p>
      <w:pPr>
        <w:spacing w:after="0" w:line="333" w:lineRule="exact"/>
        <w:rPr>
          <w:sz w:val="24"/>
          <w:szCs w:val="24"/>
          <w:color w:val="auto"/>
        </w:rPr>
      </w:pPr>
    </w:p>
    <w:p>
      <w:pPr>
        <w:ind w:right="60"/>
        <w:spacing w:after="0" w:line="207" w:lineRule="exact"/>
        <w:rPr>
          <w:sz w:val="20"/>
          <w:szCs w:val="20"/>
          <w:color w:val="auto"/>
        </w:rPr>
      </w:pPr>
      <w:r>
        <w:rPr>
          <w:rFonts w:ascii="Arial" w:cs="Arial" w:eastAsia="Arial" w:hAnsi="Arial"/>
          <w:sz w:val="16"/>
          <w:szCs w:val="16"/>
          <w:color w:val="auto"/>
        </w:rPr>
        <w:t xml:space="preserve">If the filing person has previously filed a statement on Schedule 13G to report the acquisition which is the subject of this Schedule 13D, and is filing this schedule because of Rule 13d-1(e), Rule 13d-1(f) or Rule 13d-1(g), check the following box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91" w:lineRule="exact"/>
        <w:rPr>
          <w:sz w:val="24"/>
          <w:szCs w:val="24"/>
          <w:color w:val="auto"/>
        </w:rPr>
      </w:pPr>
    </w:p>
    <w:p>
      <w:pPr>
        <w:ind w:right="260"/>
        <w:spacing w:after="0" w:line="280"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Schedules filed in paper format shall include a signed original and five copies of the Schedule, including all exhibits. See Rule 13d-7 for other parties to whom</w:t>
      </w:r>
      <w:r>
        <w:rPr>
          <w:rFonts w:ascii="Arial" w:cs="Arial" w:eastAsia="Arial" w:hAnsi="Arial"/>
          <w:sz w:val="16"/>
          <w:szCs w:val="16"/>
          <w:b w:val="1"/>
          <w:bCs w:val="1"/>
          <w:color w:val="auto"/>
        </w:rPr>
        <w:t xml:space="preserve"> </w:t>
      </w:r>
      <w:r>
        <w:rPr>
          <w:rFonts w:ascii="Arial" w:cs="Arial" w:eastAsia="Arial" w:hAnsi="Arial"/>
          <w:sz w:val="16"/>
          <w:szCs w:val="16"/>
          <w:color w:val="auto"/>
        </w:rPr>
        <w:t>copies are to be sent.</w:t>
      </w:r>
    </w:p>
    <w:p>
      <w:pPr>
        <w:spacing w:after="0" w:line="88" w:lineRule="exact"/>
        <w:rPr>
          <w:sz w:val="24"/>
          <w:szCs w:val="24"/>
          <w:color w:val="auto"/>
        </w:rPr>
      </w:pPr>
    </w:p>
    <w:p>
      <w:pPr>
        <w:ind w:left="320" w:right="540" w:hanging="294"/>
        <w:spacing w:after="0" w:line="258" w:lineRule="auto"/>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7"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The information required on the remainder of this cover page shall not be deemed to be “filed” for purpose of Section 18 of the Securities Exchange Act of 1934 (“</w:t>
      </w:r>
      <w:r>
        <w:rPr>
          <w:rFonts w:ascii="Arial" w:cs="Arial" w:eastAsia="Arial" w:hAnsi="Arial"/>
          <w:sz w:val="16"/>
          <w:szCs w:val="16"/>
          <w:u w:val="single" w:color="auto"/>
          <w:color w:val="auto"/>
        </w:rPr>
        <w:t>Act</w:t>
      </w:r>
      <w:r>
        <w:rPr>
          <w:rFonts w:ascii="Arial" w:cs="Arial" w:eastAsia="Arial" w:hAnsi="Arial"/>
          <w:sz w:val="16"/>
          <w:szCs w:val="16"/>
          <w:color w:val="auto"/>
        </w:rPr>
        <w:t xml:space="preserve">”) or otherwise subject to the liabilities of that section of the Act but shall be subject to all other provisions of the Act (however, see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line="246" w:lineRule="exact"/>
        <w:rPr>
          <w:sz w:val="20"/>
          <w:szCs w:val="20"/>
          <w:color w:val="auto"/>
        </w:rPr>
      </w:pPr>
    </w:p>
    <w:tbl>
      <w:tblPr>
        <w:tblLayout w:type="fixed"/>
        <w:tblInd w:w="110" w:type="dxa"/>
        <w:tblCellMar>
          <w:top w:w="0" w:type="dxa"/>
          <w:left w:w="0" w:type="dxa"/>
          <w:bottom w:w="0" w:type="dxa"/>
          <w:right w:w="0" w:type="dxa"/>
        </w:tblCellMar>
      </w:tblPr>
      <w:tr>
        <w:trPr>
          <w:trHeight w:val="248"/>
        </w:trPr>
        <w:tc>
          <w:tcPr>
            <w:tcW w:w="1280" w:type="dxa"/>
            <w:vAlign w:val="bottom"/>
            <w:tcBorders>
              <w:top w:val="single" w:sz="8" w:color="auto"/>
              <w:left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1</w:t>
            </w: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9700" w:type="dxa"/>
            <w:vAlign w:val="bottom"/>
            <w:tcBorders>
              <w:top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360"/>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OPKO Health, Inc.</w:t>
            </w: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right w:val="single" w:sz="8" w:color="auto"/>
            </w:tcBorders>
          </w:tcPr>
          <w:p>
            <w:pPr>
              <w:ind w:left="600"/>
              <w:spacing w:after="0" w:line="169" w:lineRule="exact"/>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700" w:type="dxa"/>
            <w:vAlign w:val="bottom"/>
            <w:tcBorders>
              <w:right w:val="single" w:sz="8" w:color="auto"/>
            </w:tcBorders>
            <w:gridSpan w:val="5"/>
          </w:tcPr>
          <w:p>
            <w:pPr>
              <w:ind w:left="20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w:t>
            </w:r>
          </w:p>
        </w:tc>
        <w:tc>
          <w:tcPr>
            <w:tcW w:w="6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(b)</w:t>
            </w:r>
          </w:p>
        </w:tc>
        <w:tc>
          <w:tcPr>
            <w:tcW w:w="8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gridSpan w:val="4"/>
          </w:tcPr>
          <w:p>
            <w:pPr>
              <w:ind w:left="200"/>
              <w:spacing w:after="0"/>
              <w:rPr>
                <w:sz w:val="20"/>
                <w:szCs w:val="20"/>
                <w:color w:val="auto"/>
              </w:rPr>
            </w:pPr>
            <w:r>
              <w:rPr>
                <w:rFonts w:ascii="Arial" w:cs="Arial" w:eastAsia="Arial" w:hAnsi="Arial"/>
                <w:sz w:val="18"/>
                <w:szCs w:val="18"/>
                <w:color w:val="auto"/>
                <w:w w:val="94"/>
              </w:rPr>
              <w:t>SEC USE ONLY</w:t>
            </w:r>
          </w:p>
        </w:tc>
        <w:tc>
          <w:tcPr>
            <w:tcW w:w="8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700" w:type="dxa"/>
            <w:vAlign w:val="bottom"/>
            <w:tcBorders>
              <w:bottom w:val="single" w:sz="8" w:color="auto"/>
              <w:right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70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32"/>
        </w:trPr>
        <w:tc>
          <w:tcPr>
            <w:tcW w:w="128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b w:val="1"/>
                <w:bCs w:val="1"/>
                <w:color w:val="auto"/>
              </w:rPr>
              <w:t>OO</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70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right w:val="single" w:sz="8" w:color="auto"/>
            </w:tcBorders>
          </w:tcPr>
          <w:p>
            <w:pPr>
              <w:ind w:left="600"/>
              <w:spacing w:after="0" w:line="169" w:lineRule="exact"/>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700" w:type="dxa"/>
            <w:vAlign w:val="bottom"/>
            <w:tcBorders>
              <w:right w:val="single" w:sz="8" w:color="auto"/>
            </w:tcBorders>
            <w:gridSpan w:val="5"/>
          </w:tcPr>
          <w:p>
            <w:pPr>
              <w:ind w:left="200"/>
              <w:spacing w:after="0" w:line="169" w:lineRule="exact"/>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243"/>
        </w:trPr>
        <w:tc>
          <w:tcPr>
            <w:tcW w:w="1280" w:type="dxa"/>
            <w:vAlign w:val="bottom"/>
            <w:tcBorders>
              <w:left w:val="single" w:sz="8" w:color="auto"/>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70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60"/>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Delaware</w:t>
            </w: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7</w:t>
            </w:r>
          </w:p>
        </w:tc>
        <w:tc>
          <w:tcPr>
            <w:tcW w:w="60" w:type="dxa"/>
            <w:vAlign w:val="bottom"/>
          </w:tcPr>
          <w:p>
            <w:pPr>
              <w:spacing w:after="0"/>
              <w:rPr>
                <w:sz w:val="21"/>
                <w:szCs w:val="21"/>
                <w:color w:val="auto"/>
              </w:rPr>
            </w:pPr>
          </w:p>
        </w:tc>
        <w:tc>
          <w:tcPr>
            <w:tcW w:w="8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jc w:val="right"/>
              <w:ind w:right="6830"/>
              <w:spacing w:after="0"/>
              <w:rPr>
                <w:sz w:val="20"/>
                <w:szCs w:val="20"/>
                <w:color w:val="auto"/>
              </w:rPr>
            </w:pPr>
            <w:r>
              <w:rPr>
                <w:rFonts w:ascii="Arial" w:cs="Arial" w:eastAsia="Arial" w:hAnsi="Arial"/>
                <w:sz w:val="18"/>
                <w:szCs w:val="18"/>
                <w:color w:val="auto"/>
              </w:rPr>
              <w:t>117,433,862</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tcBorders>
            <w:gridSpan w:val="3"/>
            <w:vMerge w:val="restart"/>
          </w:tcPr>
          <w:p>
            <w:pPr>
              <w:ind w:left="220"/>
              <w:spacing w:after="0"/>
              <w:rPr>
                <w:sz w:val="20"/>
                <w:szCs w:val="20"/>
                <w:color w:val="auto"/>
              </w:rPr>
            </w:pPr>
            <w:r>
              <w:rPr>
                <w:rFonts w:ascii="Arial" w:cs="Arial" w:eastAsia="Arial" w:hAnsi="Arial"/>
                <w:sz w:val="18"/>
                <w:szCs w:val="18"/>
                <w:color w:val="auto"/>
              </w:rPr>
              <w:t>NUMBER OF</w:t>
            </w:r>
          </w:p>
        </w:tc>
        <w:tc>
          <w:tcPr>
            <w:tcW w:w="80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00" w:type="dxa"/>
            <w:vAlign w:val="bottom"/>
            <w:tcBorders>
              <w:right w:val="single" w:sz="8" w:color="auto"/>
            </w:tcBorders>
          </w:tcPr>
          <w:p>
            <w:pPr>
              <w:spacing w:after="0"/>
              <w:rPr>
                <w:sz w:val="21"/>
                <w:szCs w:val="21"/>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8</w:t>
            </w:r>
          </w:p>
        </w:tc>
        <w:tc>
          <w:tcPr>
            <w:tcW w:w="60" w:type="dxa"/>
            <w:vAlign w:val="bottom"/>
          </w:tcPr>
          <w:p>
            <w:pPr>
              <w:spacing w:after="0"/>
              <w:rPr>
                <w:sz w:val="21"/>
                <w:szCs w:val="21"/>
                <w:color w:val="auto"/>
              </w:rPr>
            </w:pPr>
          </w:p>
        </w:tc>
        <w:tc>
          <w:tcPr>
            <w:tcW w:w="8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400" w:type="dxa"/>
            <w:vAlign w:val="bottom"/>
            <w:tcBorders>
              <w:left w:val="single" w:sz="8" w:color="auto"/>
            </w:tcBorders>
            <w:gridSpan w:val="3"/>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200" w:type="dxa"/>
            <w:vAlign w:val="bottom"/>
            <w:tcBorders>
              <w:left w:val="single" w:sz="8" w:color="auto"/>
            </w:tcBorders>
            <w:gridSpan w:val="4"/>
          </w:tcPr>
          <w:p>
            <w:pPr>
              <w:jc w:val="center"/>
              <w:ind w:left="10"/>
              <w:spacing w:after="0" w:line="189" w:lineRule="exact"/>
              <w:rPr>
                <w:sz w:val="20"/>
                <w:szCs w:val="20"/>
                <w:color w:val="auto"/>
              </w:rPr>
            </w:pPr>
            <w:r>
              <w:rPr>
                <w:rFonts w:ascii="Arial" w:cs="Arial" w:eastAsia="Arial" w:hAnsi="Arial"/>
                <w:sz w:val="18"/>
                <w:szCs w:val="18"/>
                <w:color w:val="auto"/>
                <w:w w:val="98"/>
              </w:rPr>
              <w:t>BENEFICIALLY OWNED</w:t>
            </w:r>
          </w:p>
        </w:tc>
        <w:tc>
          <w:tcPr>
            <w:tcW w:w="10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20" w:type="dxa"/>
            <w:vAlign w:val="bottom"/>
            <w:tcBorders>
              <w:right w:val="single" w:sz="8" w:color="auto"/>
            </w:tcBorders>
            <w:vMerge w:val="restart"/>
          </w:tcPr>
          <w:p>
            <w:pPr>
              <w:jc w:val="right"/>
              <w:ind w:right="68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gridSpan w:val="3"/>
            <w:vMerge w:val="restart"/>
          </w:tcPr>
          <w:p>
            <w:pPr>
              <w:jc w:val="center"/>
              <w:ind w:left="830"/>
              <w:spacing w:after="0" w:line="176" w:lineRule="exact"/>
              <w:rPr>
                <w:sz w:val="20"/>
                <w:szCs w:val="20"/>
                <w:color w:val="auto"/>
              </w:rPr>
            </w:pPr>
            <w:r>
              <w:rPr>
                <w:rFonts w:ascii="Arial" w:cs="Arial" w:eastAsia="Arial" w:hAnsi="Arial"/>
                <w:sz w:val="18"/>
                <w:szCs w:val="18"/>
                <w:color w:val="auto"/>
                <w:w w:val="99"/>
              </w:rPr>
              <w:t>BY</w:t>
            </w:r>
          </w:p>
        </w:tc>
        <w:tc>
          <w:tcPr>
            <w:tcW w:w="8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400" w:type="dxa"/>
            <w:vAlign w:val="bottom"/>
            <w:tcBorders>
              <w:left w:val="single" w:sz="8" w:color="auto"/>
            </w:tcBorders>
            <w:gridSpan w:val="3"/>
            <w:vMerge w:val="continue"/>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9</w:t>
            </w:r>
          </w:p>
        </w:tc>
        <w:tc>
          <w:tcPr>
            <w:tcW w:w="60" w:type="dxa"/>
            <w:vAlign w:val="bottom"/>
          </w:tcPr>
          <w:p>
            <w:pPr>
              <w:spacing w:after="0"/>
              <w:rPr>
                <w:sz w:val="2"/>
                <w:szCs w:val="2"/>
                <w:color w:val="auto"/>
              </w:rPr>
            </w:pPr>
          </w:p>
        </w:tc>
        <w:tc>
          <w:tcPr>
            <w:tcW w:w="82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line="20" w:lineRule="exact"/>
              <w:rPr>
                <w:sz w:val="1"/>
                <w:szCs w:val="1"/>
                <w:color w:val="auto"/>
              </w:rPr>
            </w:pPr>
          </w:p>
        </w:tc>
      </w:tr>
      <w:tr>
        <w:trPr>
          <w:trHeight w:val="175"/>
        </w:trPr>
        <w:tc>
          <w:tcPr>
            <w:tcW w:w="2200" w:type="dxa"/>
            <w:vAlign w:val="bottom"/>
            <w:tcBorders>
              <w:left w:val="single" w:sz="8" w:color="auto"/>
            </w:tcBorders>
            <w:gridSpan w:val="4"/>
          </w:tcPr>
          <w:p>
            <w:pPr>
              <w:jc w:val="center"/>
              <w:ind w:left="10"/>
              <w:spacing w:after="0" w:line="176" w:lineRule="exact"/>
              <w:rPr>
                <w:sz w:val="20"/>
                <w:szCs w:val="20"/>
                <w:color w:val="auto"/>
              </w:rPr>
            </w:pPr>
            <w:r>
              <w:rPr>
                <w:rFonts w:ascii="Arial" w:cs="Arial" w:eastAsia="Arial" w:hAnsi="Arial"/>
                <w:sz w:val="18"/>
                <w:szCs w:val="18"/>
                <w:color w:val="auto"/>
                <w:w w:val="95"/>
              </w:rPr>
              <w:t>EACH REPORTING</w:t>
            </w:r>
          </w:p>
        </w:tc>
        <w:tc>
          <w:tcPr>
            <w:tcW w:w="10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2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00" w:type="dxa"/>
            <w:vAlign w:val="bottom"/>
            <w:tcBorders>
              <w:left w:val="single" w:sz="8" w:color="auto"/>
            </w:tcBorders>
            <w:gridSpan w:val="4"/>
          </w:tcPr>
          <w:p>
            <w:pPr>
              <w:jc w:val="center"/>
              <w:spacing w:after="0" w:line="189" w:lineRule="exact"/>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gridSpan w:val="3"/>
          </w:tcPr>
          <w:p>
            <w:pPr>
              <w:jc w:val="center"/>
              <w:ind w:left="830"/>
              <w:spacing w:after="0"/>
              <w:rPr>
                <w:sz w:val="20"/>
                <w:szCs w:val="20"/>
                <w:color w:val="auto"/>
              </w:rPr>
            </w:pPr>
            <w:r>
              <w:rPr>
                <w:rFonts w:ascii="Arial" w:cs="Arial" w:eastAsia="Arial" w:hAnsi="Arial"/>
                <w:sz w:val="18"/>
                <w:szCs w:val="18"/>
                <w:color w:val="auto"/>
              </w:rPr>
              <w:t>WITH</w:t>
            </w:r>
          </w:p>
        </w:tc>
        <w:tc>
          <w:tcPr>
            <w:tcW w:w="8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20" w:type="dxa"/>
            <w:vAlign w:val="bottom"/>
            <w:tcBorders>
              <w:right w:val="single" w:sz="8" w:color="auto"/>
            </w:tcBorders>
            <w:vMerge w:val="restart"/>
          </w:tcPr>
          <w:p>
            <w:pPr>
              <w:jc w:val="right"/>
              <w:ind w:right="6830"/>
              <w:spacing w:after="0"/>
              <w:rPr>
                <w:sz w:val="20"/>
                <w:szCs w:val="20"/>
                <w:color w:val="auto"/>
              </w:rPr>
            </w:pPr>
            <w:r>
              <w:rPr>
                <w:rFonts w:ascii="Arial" w:cs="Arial" w:eastAsia="Arial" w:hAnsi="Arial"/>
                <w:sz w:val="18"/>
                <w:szCs w:val="18"/>
                <w:color w:val="auto"/>
              </w:rPr>
              <w:t>117,433,862</w:t>
            </w:r>
          </w:p>
        </w:tc>
        <w:tc>
          <w:tcPr>
            <w:tcW w:w="0" w:type="dxa"/>
            <w:vAlign w:val="bottom"/>
          </w:tcPr>
          <w:p>
            <w:pPr>
              <w:spacing w:after="0"/>
              <w:rPr>
                <w:sz w:val="1"/>
                <w:szCs w:val="1"/>
                <w:color w:val="auto"/>
              </w:rPr>
            </w:pPr>
          </w:p>
        </w:tc>
      </w:tr>
      <w:tr>
        <w:trPr>
          <w:trHeight w:val="175"/>
        </w:trPr>
        <w:tc>
          <w:tcPr>
            <w:tcW w:w="128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10</w:t>
            </w:r>
          </w:p>
        </w:tc>
        <w:tc>
          <w:tcPr>
            <w:tcW w:w="60" w:type="dxa"/>
            <w:vAlign w:val="bottom"/>
          </w:tcPr>
          <w:p>
            <w:pPr>
              <w:spacing w:after="0"/>
              <w:rPr>
                <w:sz w:val="21"/>
                <w:szCs w:val="21"/>
                <w:color w:val="auto"/>
              </w:rPr>
            </w:pPr>
          </w:p>
        </w:tc>
        <w:tc>
          <w:tcPr>
            <w:tcW w:w="8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5"/>
        </w:trPr>
        <w:tc>
          <w:tcPr>
            <w:tcW w:w="128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jc w:val="right"/>
              <w:ind w:right="68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tcBorders>
            <w:vMerge w:val="restart"/>
          </w:tcPr>
          <w:p>
            <w:pPr>
              <w:ind w:left="600"/>
              <w:spacing w:after="0"/>
              <w:rPr>
                <w:sz w:val="20"/>
                <w:szCs w:val="20"/>
                <w:color w:val="auto"/>
              </w:rPr>
            </w:pPr>
            <w:r>
              <w:rPr>
                <w:rFonts w:ascii="Arial" w:cs="Arial" w:eastAsia="Arial" w:hAnsi="Arial"/>
                <w:sz w:val="18"/>
                <w:szCs w:val="18"/>
                <w:b w:val="1"/>
                <w:bCs w:val="1"/>
                <w:color w:val="auto"/>
              </w:rPr>
              <w:t>11</w:t>
            </w:r>
          </w:p>
        </w:tc>
        <w:tc>
          <w:tcPr>
            <w:tcW w:w="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97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tcBorders>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128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color w:val="auto"/>
                <w:w w:val="87"/>
              </w:rPr>
              <w:t>117,433,862</w:t>
            </w:r>
          </w:p>
        </w:tc>
        <w:tc>
          <w:tcPr>
            <w:tcW w:w="6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tcBorders>
          </w:tcPr>
          <w:p>
            <w:pPr>
              <w:ind w:left="600"/>
              <w:spacing w:after="0"/>
              <w:rPr>
                <w:sz w:val="20"/>
                <w:szCs w:val="20"/>
                <w:color w:val="auto"/>
              </w:rPr>
            </w:pPr>
            <w:r>
              <w:rPr>
                <w:rFonts w:ascii="Arial" w:cs="Arial" w:eastAsia="Arial" w:hAnsi="Arial"/>
                <w:sz w:val="18"/>
                <w:szCs w:val="18"/>
                <w:b w:val="1"/>
                <w:bCs w:val="1"/>
                <w:color w:val="auto"/>
              </w:rPr>
              <w:t>12</w:t>
            </w:r>
          </w:p>
        </w:tc>
        <w:tc>
          <w:tcPr>
            <w:tcW w:w="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97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0"/>
        </w:trPr>
        <w:tc>
          <w:tcPr>
            <w:tcW w:w="1280" w:type="dxa"/>
            <w:vAlign w:val="bottom"/>
            <w:tcBorders>
              <w:left w:val="single" w:sz="8" w:color="auto"/>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28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tcBorders>
          </w:tcPr>
          <w:p>
            <w:pPr>
              <w:ind w:left="600"/>
              <w:spacing w:after="0"/>
              <w:rPr>
                <w:sz w:val="20"/>
                <w:szCs w:val="20"/>
                <w:color w:val="auto"/>
              </w:rPr>
            </w:pPr>
            <w:r>
              <w:rPr>
                <w:rFonts w:ascii="Arial" w:cs="Arial" w:eastAsia="Arial" w:hAnsi="Arial"/>
                <w:sz w:val="18"/>
                <w:szCs w:val="18"/>
                <w:b w:val="1"/>
                <w:bCs w:val="1"/>
                <w:color w:val="auto"/>
              </w:rPr>
              <w:t>13</w:t>
            </w:r>
          </w:p>
        </w:tc>
        <w:tc>
          <w:tcPr>
            <w:tcW w:w="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97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83"/>
        </w:trPr>
        <w:tc>
          <w:tcPr>
            <w:tcW w:w="128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440"/>
              <w:spacing w:after="0"/>
              <w:rPr>
                <w:sz w:val="20"/>
                <w:szCs w:val="20"/>
                <w:color w:val="auto"/>
              </w:rPr>
            </w:pPr>
            <w:r>
              <w:rPr>
                <w:rFonts w:ascii="Arial" w:cs="Arial" w:eastAsia="Arial" w:hAnsi="Arial"/>
                <w:sz w:val="17"/>
                <w:szCs w:val="17"/>
                <w:color w:val="auto"/>
              </w:rPr>
              <w:t xml:space="preserve">14.3% </w:t>
            </w:r>
            <w:r>
              <w:rPr>
                <w:rFonts w:ascii="Arial" w:cs="Arial" w:eastAsia="Arial" w:hAnsi="Arial"/>
                <w:sz w:val="23"/>
                <w:szCs w:val="23"/>
                <w:color w:val="auto"/>
                <w:vertAlign w:val="superscript"/>
              </w:rPr>
              <w:t>(1)</w:t>
            </w:r>
          </w:p>
        </w:tc>
        <w:tc>
          <w:tcPr>
            <w:tcW w:w="6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280" w:type="dxa"/>
            <w:vAlign w:val="bottom"/>
            <w:tcBorders>
              <w:left w:val="single" w:sz="8" w:color="auto"/>
            </w:tcBorders>
          </w:tcPr>
          <w:p>
            <w:pPr>
              <w:ind w:left="600"/>
              <w:spacing w:after="0" w:line="205" w:lineRule="exact"/>
              <w:rPr>
                <w:sz w:val="20"/>
                <w:szCs w:val="20"/>
                <w:color w:val="auto"/>
              </w:rPr>
            </w:pPr>
            <w:r>
              <w:rPr>
                <w:rFonts w:ascii="Arial" w:cs="Arial" w:eastAsia="Arial" w:hAnsi="Arial"/>
                <w:sz w:val="18"/>
                <w:szCs w:val="18"/>
                <w:b w:val="1"/>
                <w:bCs w:val="1"/>
                <w:color w:val="auto"/>
              </w:rPr>
              <w:t>14</w:t>
            </w:r>
          </w:p>
        </w:tc>
        <w:tc>
          <w:tcPr>
            <w:tcW w:w="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Borders>
              <w:right w:val="single" w:sz="8" w:color="auto"/>
            </w:tcBorders>
            <w:gridSpan w:val="5"/>
          </w:tcPr>
          <w:p>
            <w:pPr>
              <w:ind w:left="160"/>
              <w:spacing w:after="0" w:line="205" w:lineRule="exact"/>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ind w:left="160"/>
              <w:spacing w:after="0"/>
              <w:rPr>
                <w:sz w:val="20"/>
                <w:szCs w:val="20"/>
                <w:color w:val="auto"/>
              </w:rPr>
            </w:pPr>
            <w:r>
              <w:rPr>
                <w:rFonts w:ascii="Arial" w:cs="Arial" w:eastAsia="Arial" w:hAnsi="Arial"/>
                <w:sz w:val="18"/>
                <w:szCs w:val="18"/>
                <w:b w:val="1"/>
                <w:bCs w:val="1"/>
                <w:color w:val="auto"/>
              </w:rPr>
              <w:t>CO</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00" w:hanging="100"/>
        <w:spacing w:after="0" w:line="220" w:lineRule="auto"/>
        <w:tabs>
          <w:tab w:leader="none" w:pos="191"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Based on 820,587,518 shares of GeneDx Common Stock (as defined herein) of the Issuer (as defined herein) outstanding on April 17, 2023 as set forth in the Issuer’s Form 8-K filed with the SEC (as defined herein) on April 17, 2023.</w:t>
      </w:r>
    </w:p>
    <w:p>
      <w:pPr>
        <w:sectPr>
          <w:pgSz w:w="11900" w:h="16838" w:orient="portrait"/>
          <w:cols w:equalWidth="0" w:num="1">
            <w:col w:w="11260"/>
          </w:cols>
          <w:pgMar w:left="220" w:top="1440"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This Amendment No. 2 (the “</w:t>
      </w:r>
      <w:r>
        <w:rPr>
          <w:rFonts w:ascii="Arial" w:cs="Arial" w:eastAsia="Arial" w:hAnsi="Arial"/>
          <w:sz w:val="16"/>
          <w:szCs w:val="16"/>
          <w:u w:val="single" w:color="auto"/>
          <w:color w:val="auto"/>
        </w:rPr>
        <w:t>Amendment</w:t>
      </w:r>
      <w:r>
        <w:rPr>
          <w:rFonts w:ascii="Arial" w:cs="Arial" w:eastAsia="Arial" w:hAnsi="Arial"/>
          <w:sz w:val="16"/>
          <w:szCs w:val="16"/>
          <w:color w:val="auto"/>
        </w:rPr>
        <w:t>”) to Schedule 13D is being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on behalf of OPKO Health, Inc., a Delaware corporation (“</w:t>
      </w:r>
      <w:r>
        <w:rPr>
          <w:rFonts w:ascii="Arial" w:cs="Arial" w:eastAsia="Arial" w:hAnsi="Arial"/>
          <w:sz w:val="16"/>
          <w:szCs w:val="16"/>
          <w:u w:val="single" w:color="auto"/>
          <w:color w:val="auto"/>
        </w:rPr>
        <w:t>OPKO</w:t>
      </w:r>
      <w:r>
        <w:rPr>
          <w:rFonts w:ascii="Arial" w:cs="Arial" w:eastAsia="Arial" w:hAnsi="Arial"/>
          <w:sz w:val="16"/>
          <w:szCs w:val="16"/>
          <w:color w:val="auto"/>
        </w:rPr>
        <w:t>”) and relates to the Class A common stock, par value $0.0001 per share (“</w:t>
      </w:r>
      <w:r>
        <w:rPr>
          <w:rFonts w:ascii="Arial" w:cs="Arial" w:eastAsia="Arial" w:hAnsi="Arial"/>
          <w:sz w:val="16"/>
          <w:szCs w:val="16"/>
          <w:u w:val="single" w:color="auto"/>
          <w:color w:val="auto"/>
        </w:rPr>
        <w:t>GeneDx Common Stock</w:t>
      </w:r>
      <w:r>
        <w:rPr>
          <w:rFonts w:ascii="Arial" w:cs="Arial" w:eastAsia="Arial" w:hAnsi="Arial"/>
          <w:sz w:val="16"/>
          <w:szCs w:val="16"/>
          <w:color w:val="auto"/>
        </w:rPr>
        <w:t>”), of GeneDx Holdings Corp., a Delaware corporation (“</w:t>
      </w:r>
      <w:r>
        <w:rPr>
          <w:rFonts w:ascii="Arial" w:cs="Arial" w:eastAsia="Arial" w:hAnsi="Arial"/>
          <w:sz w:val="16"/>
          <w:szCs w:val="16"/>
          <w:u w:val="single" w:color="auto"/>
          <w:color w:val="auto"/>
        </w:rPr>
        <w:t>GeneDx</w:t>
      </w:r>
      <w:r>
        <w:rPr>
          <w:rFonts w:ascii="Arial" w:cs="Arial" w:eastAsia="Arial" w:hAnsi="Arial"/>
          <w:sz w:val="16"/>
          <w:szCs w:val="16"/>
          <w:color w:val="auto"/>
        </w:rPr>
        <w:t>” or the “</w:t>
      </w:r>
      <w:r>
        <w:rPr>
          <w:rFonts w:ascii="Arial" w:cs="Arial" w:eastAsia="Arial" w:hAnsi="Arial"/>
          <w:sz w:val="16"/>
          <w:szCs w:val="16"/>
          <w:u w:val="single" w:color="auto"/>
          <w:color w:val="auto"/>
        </w:rPr>
        <w:t>Issuer</w:t>
      </w:r>
      <w:r>
        <w:rPr>
          <w:rFonts w:ascii="Arial" w:cs="Arial" w:eastAsia="Arial" w:hAnsi="Arial"/>
          <w:sz w:val="16"/>
          <w:szCs w:val="16"/>
          <w:color w:val="auto"/>
        </w:rPr>
        <w:t>”) and amends and supplements the initial statement on Schedule 13D filed by OPKO with the SEC on May 9, 2022, as amended by Amendment No. 1 to Schedule 13D filed with the SEC on February 3, 2023 (the “</w:t>
      </w:r>
      <w:r>
        <w:rPr>
          <w:rFonts w:ascii="Arial" w:cs="Arial" w:eastAsia="Arial" w:hAnsi="Arial"/>
          <w:sz w:val="16"/>
          <w:szCs w:val="16"/>
          <w:u w:val="single" w:color="auto"/>
          <w:color w:val="auto"/>
        </w:rPr>
        <w:t>Schedule 13D</w:t>
      </w:r>
      <w:r>
        <w:rPr>
          <w:rFonts w:ascii="Arial" w:cs="Arial" w:eastAsia="Arial" w:hAnsi="Arial"/>
          <w:sz w:val="16"/>
          <w:szCs w:val="16"/>
          <w:color w:val="auto"/>
        </w:rPr>
        <w:t>”). Capitalized terms used but not defined in this Amendment No. 1 shall have the same meanings ascribed to them in the Schedule 13D.</w:t>
      </w:r>
    </w:p>
    <w:p>
      <w:pPr>
        <w:spacing w:after="0" w:line="169"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is amended by adding the following paragraph to the end of the item:</w:t>
      </w:r>
    </w:p>
    <w:p>
      <w:pPr>
        <w:spacing w:after="0" w:line="17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On April 12, 2023, pursuant to section Section 2.7(b) of the Agreement and Plan of Merger and Reorganization, dated January 14, 2022 (as amended,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GeneDx (f/k/a Sema4 Holdings Corp.), Orion Merger Sub I, Inc., Orion Merger Sub II, LLC, GeneDx, Inc., GeneDx Holding 2, Inc., and OPKO, OPKO received 23,148,148 shares of GeneDx Common Stock associated with Milestone Event #1 as defined in the Agreement.</w:t>
      </w:r>
    </w:p>
    <w:p>
      <w:pPr>
        <w:spacing w:after="0" w:line="197"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is amended by adding the following paragraph to the end of the item:</w:t>
      </w:r>
    </w:p>
    <w:p>
      <w:pPr>
        <w:spacing w:after="0" w:line="17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On April 12, 2023, pursuant to section Section 2.7(b) of the Agreement, by and among GeneDx, Orion Merger Sub I, Inc., Orion Merger Sub II, LLC, GeneDx, Inc., GeneDx Holding 2, Inc., and OPKO, OPKO received 23,148,148 shares of GeneDx Common Stock associated with Milestone Event #1 as defined in the Agreement.</w:t>
      </w:r>
    </w:p>
    <w:p>
      <w:pPr>
        <w:spacing w:after="0" w:line="191"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is deleted in its entirety and replaced with the following text:</w:t>
      </w:r>
    </w:p>
    <w:p>
      <w:pPr>
        <w:spacing w:after="0" w:line="175" w:lineRule="exact"/>
        <w:rPr>
          <w:sz w:val="20"/>
          <w:szCs w:val="20"/>
          <w:color w:val="auto"/>
        </w:rPr>
      </w:pPr>
    </w:p>
    <w:p>
      <w:pPr>
        <w:ind w:left="340"/>
        <w:spacing w:after="0"/>
        <w:tabs>
          <w:tab w:leader="none" w:pos="6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Company’s beneficial ownership of GeneDx Common Stock is as set forth in the table below:</w:t>
      </w:r>
    </w:p>
    <w:p>
      <w:pPr>
        <w:spacing w:after="0" w:line="194"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Number of Outstanding Shares</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 of Outstanding</w:t>
            </w:r>
          </w:p>
        </w:tc>
      </w:tr>
      <w:tr>
        <w:trPr>
          <w:trHeight w:val="243"/>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and Title of Beneficial Owner</w:t>
            </w:r>
          </w:p>
        </w:tc>
        <w:tc>
          <w:tcPr>
            <w:tcW w:w="3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Beneficially Owned</w:t>
            </w:r>
          </w:p>
        </w:tc>
        <w:tc>
          <w:tcPr>
            <w:tcW w:w="2400" w:type="dxa"/>
            <w:vAlign w:val="bottom"/>
          </w:tcPr>
          <w:p>
            <w:pPr>
              <w:jc w:val="center"/>
              <w:spacing w:after="0" w:line="243" w:lineRule="exact"/>
              <w:rPr>
                <w:sz w:val="20"/>
                <w:szCs w:val="20"/>
                <w:color w:val="auto"/>
              </w:rPr>
            </w:pPr>
            <w:r>
              <w:rPr>
                <w:rFonts w:ascii="Arial" w:cs="Arial" w:eastAsia="Arial" w:hAnsi="Arial"/>
                <w:sz w:val="18"/>
                <w:szCs w:val="18"/>
                <w:b w:val="1"/>
                <w:bCs w:val="1"/>
                <w:color w:val="auto"/>
                <w:w w:val="86"/>
              </w:rPr>
              <w:t xml:space="preserve">Common Shares </w:t>
            </w:r>
            <w:r>
              <w:rPr>
                <w:rFonts w:ascii="Arial" w:cs="Arial" w:eastAsia="Arial" w:hAnsi="Arial"/>
                <w:sz w:val="23"/>
                <w:szCs w:val="23"/>
                <w:b w:val="1"/>
                <w:bCs w:val="1"/>
                <w:color w:val="auto"/>
                <w:w w:val="86"/>
                <w:vertAlign w:val="superscript"/>
              </w:rPr>
              <w:t>(1)</w:t>
            </w:r>
          </w:p>
        </w:tc>
      </w:tr>
      <w:tr>
        <w:trPr>
          <w:trHeight w:val="224"/>
        </w:trPr>
        <w:tc>
          <w:tcPr>
            <w:tcW w:w="3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OPKO Health, Inc.</w:t>
            </w:r>
          </w:p>
        </w:tc>
        <w:tc>
          <w:tcPr>
            <w:tcW w:w="100" w:type="dxa"/>
            <w:vAlign w:val="bottom"/>
          </w:tcPr>
          <w:p>
            <w:pPr>
              <w:spacing w:after="0"/>
              <w:rPr>
                <w:sz w:val="19"/>
                <w:szCs w:val="19"/>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117,433,862</w:t>
            </w:r>
          </w:p>
        </w:tc>
        <w:tc>
          <w:tcPr>
            <w:tcW w:w="80" w:type="dxa"/>
            <w:vAlign w:val="bottom"/>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14.3%</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59" w:lineRule="exact"/>
        <w:rPr>
          <w:sz w:val="20"/>
          <w:szCs w:val="20"/>
          <w:color w:val="auto"/>
        </w:rPr>
      </w:pPr>
    </w:p>
    <w:p>
      <w:pPr>
        <w:ind w:left="340" w:right="260" w:hanging="332"/>
        <w:spacing w:after="0" w:line="217" w:lineRule="auto"/>
        <w:tabs>
          <w:tab w:leader="none" w:pos="218"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Based on 820,587,518 shares of GeneDx Common Stock (as defined herein) of the Issuer (as defined herein) to be outstanding on April 17, 2023 as set forth in the Issuer’s Form 8-K filed with the SEC (as defined herein) on April 17, 2023.</w:t>
      </w:r>
    </w:p>
    <w:p>
      <w:pPr>
        <w:spacing w:after="0" w:line="147" w:lineRule="exact"/>
        <w:rPr>
          <w:rFonts w:ascii="Arial" w:cs="Arial" w:eastAsia="Arial" w:hAnsi="Arial"/>
          <w:sz w:val="19"/>
          <w:szCs w:val="19"/>
          <w:color w:val="auto"/>
          <w:vertAlign w:val="superscript"/>
        </w:rPr>
      </w:pPr>
    </w:p>
    <w:p>
      <w:pPr>
        <w:ind w:left="720" w:hanging="388"/>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Items 7-10, inclusive, set forth on the cover page to this Amendment are hereby incorporated by reference in this Item 5.</w:t>
      </w:r>
    </w:p>
    <w:p>
      <w:pPr>
        <w:spacing w:after="0" w:line="171" w:lineRule="exact"/>
        <w:rPr>
          <w:rFonts w:ascii="Arial" w:cs="Arial" w:eastAsia="Arial" w:hAnsi="Arial"/>
          <w:sz w:val="18"/>
          <w:szCs w:val="18"/>
          <w:color w:val="auto"/>
        </w:rPr>
      </w:pPr>
    </w:p>
    <w:p>
      <w:pPr>
        <w:ind w:left="980" w:hanging="648"/>
        <w:spacing w:after="0" w:line="261" w:lineRule="auto"/>
        <w:tabs>
          <w:tab w:leader="none" w:pos="788"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information contained in Item 3 of this Amendment is incorporated by reference in this Item 5. Except as stated herein, OPKO has not effected any transactions in the shares of GeneDx Common Stock within the last 60 days.</w:t>
      </w:r>
    </w:p>
    <w:p>
      <w:pPr>
        <w:spacing w:after="0" w:line="130" w:lineRule="exact"/>
        <w:rPr>
          <w:rFonts w:ascii="Arial" w:cs="Arial" w:eastAsia="Arial" w:hAnsi="Arial"/>
          <w:sz w:val="18"/>
          <w:szCs w:val="18"/>
          <w:color w:val="auto"/>
        </w:rPr>
      </w:pPr>
    </w:p>
    <w:p>
      <w:pPr>
        <w:ind w:left="980" w:hanging="648"/>
        <w:spacing w:after="0" w:line="261" w:lineRule="auto"/>
        <w:tabs>
          <w:tab w:leader="none" w:pos="745" w:val="left"/>
        </w:tabs>
        <w:numPr>
          <w:ilvl w:val="1"/>
          <w:numId w:val="3"/>
        </w:numPr>
        <w:rPr>
          <w:rFonts w:ascii="Arial" w:cs="Arial" w:eastAsia="Arial" w:hAnsi="Arial"/>
          <w:sz w:val="18"/>
          <w:szCs w:val="18"/>
          <w:color w:val="auto"/>
        </w:rPr>
      </w:pPr>
      <w:r>
        <w:rPr>
          <w:rFonts w:ascii="Arial" w:cs="Arial" w:eastAsia="Arial" w:hAnsi="Arial"/>
          <w:sz w:val="18"/>
          <w:szCs w:val="18"/>
          <w:color w:val="auto"/>
        </w:rPr>
        <w:t>Except as described herein, no other person is known by OPKO to have the right to receive or the power to direct the receipt of dividends from, or the proceeds from the sale of, any shares of the Issuer beneficially owned by them.</w:t>
      </w:r>
    </w:p>
    <w:p>
      <w:pPr>
        <w:spacing w:after="0" w:line="130" w:lineRule="exact"/>
        <w:rPr>
          <w:rFonts w:ascii="Arial" w:cs="Arial" w:eastAsia="Arial" w:hAnsi="Arial"/>
          <w:sz w:val="18"/>
          <w:szCs w:val="18"/>
          <w:color w:val="auto"/>
        </w:rPr>
      </w:pPr>
    </w:p>
    <w:p>
      <w:pPr>
        <w:ind w:left="720" w:hanging="388"/>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4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40" w:type="dxa"/>
            <w:vAlign w:val="bottom"/>
            <w:gridSpan w:val="2"/>
          </w:tcPr>
          <w:p>
            <w:pPr>
              <w:ind w:left="2060"/>
              <w:spacing w:after="0"/>
              <w:rPr>
                <w:sz w:val="20"/>
                <w:szCs w:val="20"/>
                <w:color w:val="auto"/>
              </w:rPr>
            </w:pPr>
            <w:r>
              <w:rPr>
                <w:rFonts w:ascii="Arial" w:cs="Arial" w:eastAsia="Arial" w:hAnsi="Arial"/>
                <w:sz w:val="18"/>
                <w:szCs w:val="18"/>
                <w:b w:val="1"/>
                <w:bCs w:val="1"/>
                <w:color w:val="auto"/>
              </w:rPr>
              <w:t>OPKO Health, Inc.</w:t>
            </w:r>
          </w:p>
        </w:tc>
        <w:tc>
          <w:tcPr>
            <w:tcW w:w="0" w:type="dxa"/>
            <w:vAlign w:val="bottom"/>
          </w:tcPr>
          <w:p>
            <w:pPr>
              <w:spacing w:after="0"/>
              <w:rPr>
                <w:sz w:val="1"/>
                <w:szCs w:val="1"/>
                <w:color w:val="auto"/>
              </w:rPr>
            </w:pPr>
          </w:p>
        </w:tc>
      </w:tr>
      <w:tr>
        <w:trPr>
          <w:trHeight w:val="527"/>
        </w:trPr>
        <w:tc>
          <w:tcPr>
            <w:tcW w:w="3580" w:type="dxa"/>
            <w:vAlign w:val="bottom"/>
          </w:tcPr>
          <w:p>
            <w:pPr>
              <w:spacing w:after="0"/>
              <w:rPr>
                <w:sz w:val="24"/>
                <w:szCs w:val="24"/>
                <w:color w:val="auto"/>
              </w:rPr>
            </w:pPr>
          </w:p>
        </w:tc>
        <w:tc>
          <w:tcPr>
            <w:tcW w:w="2920" w:type="dxa"/>
            <w:vAlign w:val="bottom"/>
          </w:tcPr>
          <w:p>
            <w:pPr>
              <w:ind w:left="2060"/>
              <w:spacing w:after="0"/>
              <w:rPr>
                <w:sz w:val="20"/>
                <w:szCs w:val="20"/>
                <w:color w:val="auto"/>
              </w:rPr>
            </w:pPr>
            <w:r>
              <w:rPr>
                <w:rFonts w:ascii="Arial" w:cs="Arial" w:eastAsia="Arial" w:hAnsi="Arial"/>
                <w:sz w:val="18"/>
                <w:szCs w:val="18"/>
                <w:color w:val="auto"/>
              </w:rPr>
              <w:t>By:</w:t>
            </w:r>
          </w:p>
        </w:tc>
        <w:tc>
          <w:tcPr>
            <w:tcW w:w="4720" w:type="dxa"/>
            <w:vAlign w:val="bottom"/>
          </w:tcPr>
          <w:p>
            <w:pPr>
              <w:ind w:left="60"/>
              <w:spacing w:after="0"/>
              <w:rPr>
                <w:sz w:val="20"/>
                <w:szCs w:val="20"/>
                <w:color w:val="auto"/>
              </w:rPr>
            </w:pPr>
            <w:r>
              <w:rPr>
                <w:rFonts w:ascii="Arial" w:cs="Arial" w:eastAsia="Arial" w:hAnsi="Arial"/>
                <w:sz w:val="18"/>
                <w:szCs w:val="18"/>
                <w:color w:val="auto"/>
              </w:rPr>
              <w:t>/s/ Steven D. Rubin</w:t>
            </w:r>
          </w:p>
        </w:tc>
        <w:tc>
          <w:tcPr>
            <w:tcW w:w="0" w:type="dxa"/>
            <w:vAlign w:val="bottom"/>
          </w:tcPr>
          <w:p>
            <w:pPr>
              <w:spacing w:after="0"/>
              <w:rPr>
                <w:sz w:val="1"/>
                <w:szCs w:val="1"/>
                <w:color w:val="auto"/>
              </w:rPr>
            </w:pPr>
          </w:p>
        </w:tc>
      </w:tr>
      <w:tr>
        <w:trPr>
          <w:trHeight w:val="40"/>
        </w:trPr>
        <w:tc>
          <w:tcPr>
            <w:tcW w:w="3580" w:type="dxa"/>
            <w:vAlign w:val="bottom"/>
            <w:vMerge w:val="restart"/>
          </w:tcPr>
          <w:p>
            <w:pPr>
              <w:spacing w:after="0"/>
              <w:rPr>
                <w:sz w:val="20"/>
                <w:szCs w:val="20"/>
                <w:color w:val="auto"/>
              </w:rPr>
            </w:pPr>
            <w:r>
              <w:rPr>
                <w:rFonts w:ascii="Arial" w:cs="Arial" w:eastAsia="Arial" w:hAnsi="Arial"/>
                <w:sz w:val="18"/>
                <w:szCs w:val="18"/>
                <w:color w:val="auto"/>
              </w:rPr>
              <w:t>Date: April 20, 2023</w:t>
            </w:r>
          </w:p>
        </w:tc>
        <w:tc>
          <w:tcPr>
            <w:tcW w:w="2920" w:type="dxa"/>
            <w:vAlign w:val="bottom"/>
            <w:vMerge w:val="restart"/>
          </w:tcPr>
          <w:p>
            <w:pPr>
              <w:ind w:left="2060"/>
              <w:spacing w:after="0"/>
              <w:rPr>
                <w:sz w:val="20"/>
                <w:szCs w:val="20"/>
                <w:color w:val="auto"/>
              </w:rPr>
            </w:pPr>
            <w:r>
              <w:rPr>
                <w:rFonts w:ascii="Arial" w:cs="Arial" w:eastAsia="Arial" w:hAnsi="Arial"/>
                <w:sz w:val="18"/>
                <w:szCs w:val="18"/>
                <w:color w:val="auto"/>
              </w:rPr>
              <w:t>Name:</w:t>
            </w:r>
          </w:p>
        </w:tc>
        <w:tc>
          <w:tcPr>
            <w:tcW w:w="4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580" w:type="dxa"/>
            <w:vAlign w:val="bottom"/>
            <w:vMerge w:val="continue"/>
          </w:tcPr>
          <w:p>
            <w:pPr>
              <w:spacing w:after="0"/>
              <w:rPr>
                <w:sz w:val="19"/>
                <w:szCs w:val="19"/>
                <w:color w:val="auto"/>
              </w:rPr>
            </w:pPr>
          </w:p>
        </w:tc>
        <w:tc>
          <w:tcPr>
            <w:tcW w:w="2920" w:type="dxa"/>
            <w:vAlign w:val="bottom"/>
            <w:vMerge w:val="continue"/>
          </w:tcPr>
          <w:p>
            <w:pPr>
              <w:spacing w:after="0"/>
              <w:rPr>
                <w:sz w:val="19"/>
                <w:szCs w:val="19"/>
                <w:color w:val="auto"/>
              </w:rPr>
            </w:pPr>
          </w:p>
        </w:tc>
        <w:tc>
          <w:tcPr>
            <w:tcW w:w="4720" w:type="dxa"/>
            <w:vAlign w:val="bottom"/>
          </w:tcPr>
          <w:p>
            <w:pPr>
              <w:ind w:left="60"/>
              <w:spacing w:after="0"/>
              <w:rPr>
                <w:sz w:val="20"/>
                <w:szCs w:val="20"/>
                <w:color w:val="auto"/>
              </w:rPr>
            </w:pPr>
            <w:r>
              <w:rPr>
                <w:rFonts w:ascii="Arial" w:cs="Arial" w:eastAsia="Arial" w:hAnsi="Arial"/>
                <w:sz w:val="18"/>
                <w:szCs w:val="18"/>
                <w:color w:val="auto"/>
              </w:rPr>
              <w:t>Steven D. Rubin</w:t>
            </w:r>
          </w:p>
        </w:tc>
        <w:tc>
          <w:tcPr>
            <w:tcW w:w="0" w:type="dxa"/>
            <w:vAlign w:val="bottom"/>
          </w:tcPr>
          <w:p>
            <w:pPr>
              <w:spacing w:after="0"/>
              <w:rPr>
                <w:sz w:val="1"/>
                <w:szCs w:val="1"/>
                <w:color w:val="auto"/>
              </w:rPr>
            </w:pPr>
          </w:p>
        </w:tc>
      </w:tr>
      <w:tr>
        <w:trPr>
          <w:trHeight w:val="269"/>
        </w:trPr>
        <w:tc>
          <w:tcPr>
            <w:tcW w:w="3580" w:type="dxa"/>
            <w:vAlign w:val="bottom"/>
          </w:tcPr>
          <w:p>
            <w:pPr>
              <w:spacing w:after="0"/>
              <w:rPr>
                <w:sz w:val="23"/>
                <w:szCs w:val="23"/>
                <w:color w:val="auto"/>
              </w:rPr>
            </w:pPr>
          </w:p>
        </w:tc>
        <w:tc>
          <w:tcPr>
            <w:tcW w:w="2920" w:type="dxa"/>
            <w:vAlign w:val="bottom"/>
          </w:tcPr>
          <w:p>
            <w:pPr>
              <w:ind w:left="2060"/>
              <w:spacing w:after="0"/>
              <w:rPr>
                <w:sz w:val="20"/>
                <w:szCs w:val="20"/>
                <w:color w:val="auto"/>
              </w:rPr>
            </w:pPr>
            <w:r>
              <w:rPr>
                <w:rFonts w:ascii="Arial" w:cs="Arial" w:eastAsia="Arial" w:hAnsi="Arial"/>
                <w:sz w:val="18"/>
                <w:szCs w:val="18"/>
                <w:color w:val="auto"/>
              </w:rPr>
              <w:t>Title:</w:t>
            </w:r>
          </w:p>
        </w:tc>
        <w:tc>
          <w:tcPr>
            <w:tcW w:w="4720" w:type="dxa"/>
            <w:vAlign w:val="bottom"/>
          </w:tcPr>
          <w:p>
            <w:pPr>
              <w:ind w:left="60"/>
              <w:spacing w:after="0"/>
              <w:rPr>
                <w:sz w:val="20"/>
                <w:szCs w:val="20"/>
                <w:color w:val="auto"/>
              </w:rPr>
            </w:pPr>
            <w:r>
              <w:rPr>
                <w:rFonts w:ascii="Arial" w:cs="Arial" w:eastAsia="Arial" w:hAnsi="Arial"/>
                <w:sz w:val="18"/>
                <w:szCs w:val="18"/>
                <w:color w:val="auto"/>
              </w:rPr>
              <w:t>Executive Vice President-Administration</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lvl w:ilvl="1">
      <w:lvlJc w:val="left"/>
      <w:lvlText w:val="(%2)"/>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2023-04-20T19:07:18Z</dcterms:created>
  <dcterms:modified xsi:type="dcterms:W3CDTF">2023-04-20T19:07:18Z</dcterms:modified>
</cp:coreProperties>
</file>