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January 9, 2023</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7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580" w:type="dxa"/>
            <w:vAlign w:val="bottom"/>
          </w:tcPr>
          <w:p>
            <w:pPr>
              <w:spacing w:after="0"/>
              <w:rPr>
                <w:sz w:val="2"/>
                <w:szCs w:val="2"/>
                <w:color w:val="auto"/>
              </w:rPr>
            </w:pPr>
          </w:p>
        </w:tc>
      </w:tr>
      <w:tr>
        <w:trPr>
          <w:trHeight w:val="169"/>
        </w:trPr>
        <w:tc>
          <w:tcPr>
            <w:tcW w:w="3760" w:type="dxa"/>
            <w:vAlign w:val="bottom"/>
            <w:tcBorders>
              <w:top w:val="single" w:sz="8" w:color="auto"/>
            </w:tcBorders>
          </w:tcPr>
          <w:p>
            <w:pPr>
              <w:jc w:val="center"/>
              <w:ind w:left="37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center"/>
              <w:ind w:right="510"/>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organization)</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06"/>
        </w:trPr>
        <w:tc>
          <w:tcPr>
            <w:tcW w:w="37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3"/>
        </w:trPr>
        <w:tc>
          <w:tcPr>
            <w:tcW w:w="37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37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(Zip Code)</w:t>
            </w:r>
          </w:p>
        </w:tc>
      </w:tr>
      <w:tr>
        <w:trPr>
          <w:trHeight w:val="341"/>
        </w:trPr>
        <w:tc>
          <w:tcPr>
            <w:tcW w:w="3760" w:type="dxa"/>
            <w:vAlign w:val="bottom"/>
          </w:tcPr>
          <w:p>
            <w:pPr>
              <w:spacing w:after="0"/>
              <w:rPr>
                <w:sz w:val="24"/>
                <w:szCs w:val="24"/>
                <w:color w:val="auto"/>
              </w:rPr>
            </w:pPr>
          </w:p>
        </w:tc>
        <w:tc>
          <w:tcPr>
            <w:tcW w:w="31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760" w:type="dxa"/>
            <w:vAlign w:val="bottom"/>
          </w:tcPr>
          <w:p>
            <w:pPr>
              <w:spacing w:after="0"/>
              <w:rPr>
                <w:sz w:val="20"/>
                <w:szCs w:val="20"/>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84"/>
        </w:trPr>
        <w:tc>
          <w:tcPr>
            <w:tcW w:w="48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7.01 below is incorporated by reference into this Item 2.02.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Effective as of January 9, 2023, GeneDx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changed its name from “Sema4 Holdings Corp.” to “GeneDx Holdings Corp.” (the “</w:t>
      </w:r>
      <w:r>
        <w:rPr>
          <w:rFonts w:ascii="Times New Roman" w:cs="Times New Roman" w:eastAsia="Times New Roman" w:hAnsi="Times New Roman"/>
          <w:sz w:val="18"/>
          <w:szCs w:val="18"/>
          <w:b w:val="1"/>
          <w:bCs w:val="1"/>
          <w:color w:val="auto"/>
        </w:rPr>
        <w:t>Name Change</w:t>
      </w:r>
      <w:r>
        <w:rPr>
          <w:rFonts w:ascii="Times New Roman" w:cs="Times New Roman" w:eastAsia="Times New Roman" w:hAnsi="Times New Roman"/>
          <w:sz w:val="18"/>
          <w:szCs w:val="18"/>
          <w:color w:val="auto"/>
        </w:rPr>
        <w:t>”) pursuant to a certificate of amendment to its certificate of incorporation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Pursuant to Section 242(b)(1)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Name Change was approved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did not require approval of the Company’s stockholders and will not affect the rights of the Company’s security holders. The Company also announced that it intends for its Class A common stock to cease trading under the ticker symbol “SMFR” and begin trading under its new ticker symbol, “WGS”, on the Nasdaq Global Select Market, which the Company expects to be effective on January 10, 2023. A copy of the Certificate of Amendment is attached hereto as Exhibit 3.1 to this Current Report on Form 8-K and is incorporated herein by reference.</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Board also approved and adopted the Company’s amended and restated bylaws (the “</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effective as of January 9, 2023, in connection with the Name Change as well as the effectiveness of new Securities and Exchange Commission rules regarding universal proxy cards, certain recent changes to the DGCL, and a periodic review of the bylaws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Name Change, among other things, the amendments effected by the Amended and Restated Bylaws:</w:t>
      </w:r>
    </w:p>
    <w:p>
      <w:pPr>
        <w:spacing w:after="0" w:line="239" w:lineRule="exact"/>
        <w:rPr>
          <w:sz w:val="20"/>
          <w:szCs w:val="20"/>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provisions relating to adjournment procedures and lists of stockholders entitled to vote at stockholder meetings, in each case to conform to recent amendments to the DGCL;</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certain provisions related to the conduct of stockholder meetings, including clarifying that the presiding person of a stockholder meeting may set additional attendance or other procedures for meeting attendees and Rule 14a-8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proponents;</w:t>
      </w:r>
    </w:p>
    <w:p>
      <w:pPr>
        <w:spacing w:after="0" w:line="203"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procedures and disclosure requirements set forth in the advance notice bylaw provisions, including (1) requiring additional information, representations and disclosures from proposing stockholders, proposed nominees and other persons related to a stockholder’s solicitation of proxies, (2) restricting the number of nominees a stockholder may nominate for election at a meeting to the number of directors to be elected at such meeting, and (3) requiring that proposed nominees be available for interviews by the Board or any Board committee thereof;</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matters relating to Rule 14a-19 under the Exchange Act (the “</w:t>
      </w:r>
      <w:r>
        <w:rPr>
          <w:rFonts w:ascii="Times New Roman" w:cs="Times New Roman" w:eastAsia="Times New Roman" w:hAnsi="Times New Roman"/>
          <w:sz w:val="18"/>
          <w:szCs w:val="18"/>
          <w:b w:val="1"/>
          <w:bCs w:val="1"/>
          <w:color w:val="auto"/>
        </w:rPr>
        <w:t>Universal Proxy Rules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providing that stockholders delivering a notice of nomination certify to the Company in writing that they have complied with the Universal Proxy Rules requirements, providing the Company a remedy if a stockholder fails to satisfy the Universal Proxy Rules requirements, requiring that a stockholder providing notice pursuant to the advance notice bylaws to inform the Company if a stockholder no longer plans to solicit proxies in accordance with the Universal Proxy Rules, and requiring stockholders intending to use the Universal Proxy Rules to provide reasonable evidence of the satisfaction of the requirements under the Universal Proxy Rules at least five business days before the meeting);</w:t>
      </w:r>
    </w:p>
    <w:p>
      <w:pPr>
        <w:spacing w:after="0" w:line="2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intending to authorize a qualified representative to act for such stockholder as a proxy to present a nomination or proposal at such meeting to give notice of such authorization to the Company at least three business days before the applicable meeting;</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notice provisions to reflect amendments to the DGCL relating to electronic transmission of notices to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emergency bylaw provision to provide clarity and authority to directors and certain officers during an emergency situation that would otherwise prevent a quorum of the Board or a Board committee from being achieved; and</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unless the Company consents in writing to the selection of an alternative forum, the Court of Chancery of the State of Delaware (or, if the Court of Chancery does not have jurisdiction, the United States District Court for the District of Delaware), shall be the sole and exclusive forum for (a) any derivative action or proceeding brought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both"/>
        <w:ind w:left="660"/>
        <w:spacing w:after="0"/>
        <w:rPr>
          <w:sz w:val="20"/>
          <w:szCs w:val="20"/>
          <w:color w:val="auto"/>
        </w:rPr>
      </w:pPr>
      <w:r>
        <w:rPr>
          <w:rFonts w:ascii="Times New Roman" w:cs="Times New Roman" w:eastAsia="Times New Roman" w:hAnsi="Times New Roman"/>
          <w:sz w:val="18"/>
          <w:szCs w:val="18"/>
          <w:color w:val="auto"/>
        </w:rPr>
        <w:t>the name or right of the Company or on behalf of the Company, (b) any action or proceeding asserting a claim that is based upon a breach of a duty owed by a current or former director, officer, employee, agent or stockholder of the Company to the Company or the Company’s stockholders, (c) any action or proceeding arising or asserting a claim arising pursuant to any provision of the DGCL (or as to which the DGCL confers jurisdiction upon the Court of Chancery) or any provision of the Company’s certificate of incorporation, any designation relating to any outstanding to any series of preferred stock, or the Amended and Restated Bylaws, (d) any action to interpret, apply, enforce, or determine the validity of the Company’s certificate of incorporation or the Amended and Restated Bylaws, or (e) any action or proceeding asserting a claim governed by the internal affairs doctrine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and Restated Bylaws also incorporate ministerial, clarifying and conforming changes, including changes to align with the language used in certain provisions of the DGCL and the Universal Proxy Rules.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Amended and Restated Bylaws, a copy of which is attached hereto as Exhibit 3.2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January 9, 2023, the Company issued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announcing the Name Change, as well as the Company’s expectations regarding its preliminary, unaudited pro forma revenue, test result volumes and pro forma adjusted gross margins for the year ended 2022. The preliminary unaudited results announced are presented on a pro forma basis assuming GeneDx and Sema4 were combined for the entirety of 2021 and 2022 and exclude the revenues and costs from the exited reproductive health and somatic tumor testing businesses. A copy of the Press Release is included with this Form 8-K for convenience and attached hereto as Exhibit 99.1.</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furnished under Items 2.02 and 7.01 of this Current Report on Form 8-K, including Exhibit 99.1 hereto,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3"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Amendment of Restated Certificate of Incorporation of Sema4 Holdings Corp.</w:t>
      </w:r>
    </w:p>
    <w:p>
      <w:pPr>
        <w:spacing w:after="0" w:line="50"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FF"/>
        </w:rPr>
        <w:t>Amended and Restated Bylaws of GeneDx Holdings Corp. (as amended and restated on January 9, 2023)</w:t>
      </w:r>
    </w:p>
    <w:p>
      <w:pPr>
        <w:spacing w:after="0" w:line="50" w:lineRule="exact"/>
        <w:rPr>
          <w:sz w:val="20"/>
          <w:szCs w:val="20"/>
          <w:color w:val="auto"/>
        </w:rPr>
      </w:pPr>
    </w:p>
    <w:p>
      <w:pPr>
        <w:ind w:left="1100" w:right="880" w:hanging="775"/>
        <w:spacing w:after="0" w:line="266" w:lineRule="auto"/>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January 9, 2023, regarding the Registrant’s Name Change to GeneDx Holdings Corp. and Preliminary 2022 Financial Results and 2023 Guidance</w:t>
      </w: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3570605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0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59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9, 2023</w:t>
            </w:r>
          </w:p>
        </w:tc>
        <w:tc>
          <w:tcPr>
            <w:tcW w:w="23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4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Sema4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 corporation organized and existing under and by virtue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does hereby certify that:</w:t>
      </w:r>
    </w:p>
    <w:p>
      <w:pPr>
        <w:spacing w:after="0" w:line="184" w:lineRule="exact"/>
        <w:rPr>
          <w:sz w:val="20"/>
          <w:szCs w:val="20"/>
          <w:color w:val="auto"/>
        </w:rPr>
      </w:pPr>
    </w:p>
    <w:p>
      <w:pPr>
        <w:ind w:firstLine="656"/>
        <w:spacing w:after="0" w:line="255" w:lineRule="auto"/>
        <w:tabs>
          <w:tab w:leader="none" w:pos="1296"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Third Amended and Restated Certificate of Incorporation (as amended to the date hereof, the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 Incorporation</w:t>
      </w:r>
      <w:r>
        <w:rPr>
          <w:rFonts w:ascii="Times New Roman" w:cs="Times New Roman" w:eastAsia="Times New Roman" w:hAnsi="Times New Roman"/>
          <w:sz w:val="19"/>
          <w:szCs w:val="19"/>
          <w:color w:val="auto"/>
        </w:rPr>
        <w:t>”) was filed with the Secretary of State of the State of Delaware on July 22, 2021, under the name Sema4 Holdings Corp.</w:t>
      </w:r>
    </w:p>
    <w:p>
      <w:pPr>
        <w:spacing w:after="0" w:line="170" w:lineRule="exact"/>
        <w:rPr>
          <w:rFonts w:ascii="Times New Roman" w:cs="Times New Roman" w:eastAsia="Times New Roman" w:hAnsi="Times New Roman"/>
          <w:sz w:val="19"/>
          <w:szCs w:val="19"/>
          <w:color w:val="auto"/>
        </w:rPr>
      </w:pPr>
    </w:p>
    <w:p>
      <w:pPr>
        <w:ind w:firstLine="656"/>
        <w:spacing w:after="0" w:line="245" w:lineRule="auto"/>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this Certificate of Amendment to the Certificate of Incorporation (this “</w:t>
      </w:r>
      <w:r>
        <w:rPr>
          <w:rFonts w:ascii="Times New Roman" w:cs="Times New Roman" w:eastAsia="Times New Roman" w:hAnsi="Times New Roman"/>
          <w:sz w:val="20"/>
          <w:szCs w:val="20"/>
          <w:b w:val="1"/>
          <w:bCs w:val="1"/>
          <w:i w:val="1"/>
          <w:iCs w:val="1"/>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amends the provisions of the Corporation’s Certificate of Incorporation.</w:t>
      </w:r>
    </w:p>
    <w:p>
      <w:pPr>
        <w:spacing w:after="0" w:line="168"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the Board of Directors of the Corporation has duly adopted this Certificate of Amendment, and no meeting or vote of the Corporation’s stockholders is required to adopt this Certificate of Amendment.</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Article I of the Certificate of Incorporation is hereby amended and restated in its entirety to read as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NAME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name of the corporation is GeneDx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terms and provisions of this Certificate of Amendment shall become effective at 12:01 a.m., Eastern Time on January 9, 2023.</w:t>
      </w:r>
    </w:p>
    <w:p>
      <w:pPr>
        <w:spacing w:after="0" w:line="216" w:lineRule="exact"/>
        <w:rPr>
          <w:sz w:val="20"/>
          <w:szCs w:val="20"/>
          <w:color w:val="auto"/>
        </w:rPr>
      </w:pPr>
    </w:p>
    <w:p>
      <w:pPr>
        <w:ind w:firstLine="214"/>
        <w:spacing w:after="0" w:line="233"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be signed by its duly authorized officer this sixth day of January, 2023 and the foregoing facts stated herein are true and correct.</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Katherine Stueland</w:t>
      </w:r>
    </w:p>
    <w:p>
      <w:pPr>
        <w:ind w:left="4540"/>
        <w:spacing w:after="0"/>
        <w:rPr>
          <w:sz w:val="20"/>
          <w:szCs w:val="20"/>
          <w:color w:val="auto"/>
        </w:rPr>
      </w:pPr>
      <w:r>
        <w:rPr>
          <w:rFonts w:ascii="Times New Roman" w:cs="Times New Roman" w:eastAsia="Times New Roman" w:hAnsi="Times New Roman"/>
          <w:sz w:val="20"/>
          <w:szCs w:val="20"/>
          <w:color w:val="auto"/>
        </w:rPr>
        <w:t>Katherine Stueland,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-144780</wp:posOffset>
            </wp:positionV>
            <wp:extent cx="1242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955040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As Amended and Restated on 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575310</wp:posOffset>
            </wp:positionV>
            <wp:extent cx="137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6"/>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4"/>
          </w:tcPr>
          <w:p>
            <w:pPr>
              <w:jc w:val="center"/>
              <w:ind w:right="1920"/>
              <w:spacing w:after="0"/>
              <w:rPr>
                <w:sz w:val="20"/>
                <w:szCs w:val="20"/>
                <w:color w:val="auto"/>
              </w:rPr>
            </w:pPr>
            <w:r>
              <w:rPr>
                <w:rFonts w:ascii="Times New Roman" w:cs="Times New Roman" w:eastAsia="Times New Roman" w:hAnsi="Times New Roman"/>
                <w:sz w:val="22"/>
                <w:szCs w:val="22"/>
                <w:b w:val="1"/>
                <w:bCs w:val="1"/>
                <w:color w:val="auto"/>
                <w:w w:val="97"/>
              </w:rPr>
              <w:t>GENEDX HOLDINGS CORP.</w:t>
            </w:r>
          </w:p>
        </w:tc>
        <w:tc>
          <w:tcPr>
            <w:tcW w:w="2140" w:type="dxa"/>
            <w:vAlign w:val="bottom"/>
          </w:tcPr>
          <w:p>
            <w:pPr>
              <w:spacing w:after="0"/>
              <w:rPr>
                <w:sz w:val="24"/>
                <w:szCs w:val="24"/>
                <w:color w:val="auto"/>
              </w:rPr>
            </w:pPr>
          </w:p>
        </w:tc>
      </w:tr>
      <w:tr>
        <w:trPr>
          <w:trHeight w:val="446"/>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4"/>
          </w:tcPr>
          <w:p>
            <w:pPr>
              <w:jc w:val="center"/>
              <w:ind w:right="1920"/>
              <w:spacing w:after="0"/>
              <w:rPr>
                <w:sz w:val="20"/>
                <w:szCs w:val="20"/>
                <w:color w:val="auto"/>
              </w:rPr>
            </w:pPr>
            <w:r>
              <w:rPr>
                <w:rFonts w:ascii="Times New Roman" w:cs="Times New Roman" w:eastAsia="Times New Roman" w:hAnsi="Times New Roman"/>
                <w:sz w:val="22"/>
                <w:szCs w:val="22"/>
                <w:color w:val="auto"/>
                <w:w w:val="97"/>
              </w:rPr>
              <w:t>(a Delaware corporation)</w:t>
            </w:r>
          </w:p>
        </w:tc>
        <w:tc>
          <w:tcPr>
            <w:tcW w:w="214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5"/>
          </w:tcPr>
          <w:p>
            <w:pPr>
              <w:jc w:val="center"/>
              <w:ind w:right="1520"/>
              <w:spacing w:after="0"/>
              <w:rPr>
                <w:sz w:val="20"/>
                <w:szCs w:val="20"/>
                <w:color w:val="auto"/>
              </w:rPr>
            </w:pPr>
            <w:r>
              <w:rPr>
                <w:rFonts w:ascii="Times New Roman" w:cs="Times New Roman" w:eastAsia="Times New Roman" w:hAnsi="Times New Roman"/>
                <w:sz w:val="22"/>
                <w:szCs w:val="22"/>
                <w:b w:val="1"/>
                <w:bCs w:val="1"/>
                <w:color w:val="auto"/>
                <w:w w:val="96"/>
              </w:rPr>
              <w:t>AMENDED AND RESTATED BYLAWS</w:t>
            </w:r>
          </w:p>
        </w:tc>
        <w:tc>
          <w:tcPr>
            <w:tcW w:w="2140" w:type="dxa"/>
            <w:vAlign w:val="bottom"/>
          </w:tcPr>
          <w:p>
            <w:pPr>
              <w:spacing w:after="0"/>
              <w:rPr>
                <w:sz w:val="24"/>
                <w:szCs w:val="24"/>
                <w:color w:val="auto"/>
              </w:rPr>
            </w:pPr>
          </w:p>
        </w:tc>
      </w:tr>
      <w:tr>
        <w:trPr>
          <w:trHeight w:val="459"/>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4"/>
          </w:tcPr>
          <w:p>
            <w:pPr>
              <w:jc w:val="center"/>
              <w:ind w:right="192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2140" w:type="dxa"/>
            <w:vAlign w:val="bottom"/>
          </w:tcPr>
          <w:p>
            <w:pPr>
              <w:spacing w:after="0"/>
              <w:rPr>
                <w:sz w:val="24"/>
                <w:szCs w:val="24"/>
                <w:color w:val="auto"/>
              </w:rPr>
            </w:pPr>
          </w:p>
        </w:tc>
      </w:tr>
      <w:tr>
        <w:trPr>
          <w:trHeight w:val="459"/>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40" w:type="dxa"/>
            <w:vAlign w:val="bottom"/>
          </w:tcPr>
          <w:p>
            <w:pPr>
              <w:ind w:left="170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07"/>
        </w:trPr>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 xml:space="preserve">Article I: </w:t>
            </w:r>
            <w:r>
              <w:rPr>
                <w:rFonts w:ascii="Courier New" w:cs="Courier New" w:eastAsia="Courier New" w:hAnsi="Courier New"/>
                <w:sz w:val="18"/>
                <w:szCs w:val="18"/>
                <w:color w:val="0000FF"/>
              </w:rPr>
              <w:t>STOCKHOLDERS</w:t>
            </w: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w:t>
            </w:r>
          </w:p>
        </w:tc>
      </w:tr>
      <w:tr>
        <w:trPr>
          <w:trHeight w:val="20"/>
        </w:trPr>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1.1:</w:t>
            </w:r>
          </w:p>
        </w:tc>
        <w:tc>
          <w:tcPr>
            <w:tcW w:w="8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Annual Meetings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1.2:</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w w:val="96"/>
              </w:rPr>
              <w:t>Special Meetings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gridSpan w:val="8"/>
          </w:tcPr>
          <w:p>
            <w:pPr>
              <w:spacing w:after="0"/>
              <w:rPr>
                <w:sz w:val="20"/>
                <w:szCs w:val="20"/>
                <w:color w:val="auto"/>
              </w:rPr>
            </w:pPr>
            <w:r>
              <w:rPr>
                <w:rFonts w:ascii="Courier New" w:cs="Courier New" w:eastAsia="Courier New" w:hAnsi="Courier New"/>
                <w:sz w:val="18"/>
                <w:szCs w:val="18"/>
                <w:u w:val="single" w:color="auto"/>
                <w:color w:val="0000FF"/>
                <w:w w:val="96"/>
              </w:rPr>
              <w:t>Notice of Meetings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1.4:</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Courier New" w:cs="Courier New" w:eastAsia="Courier New" w:hAnsi="Courier New"/>
                <w:sz w:val="18"/>
                <w:szCs w:val="18"/>
                <w:u w:val="single" w:color="auto"/>
                <w:color w:val="0000FF"/>
                <w:w w:val="95"/>
              </w:rPr>
              <w:t>Adjournments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1.5:</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8"/>
                <w:szCs w:val="18"/>
                <w:u w:val="single" w:color="auto"/>
                <w:color w:val="0000FF"/>
                <w:w w:val="92"/>
              </w:rPr>
              <w:t>Quorum</w:t>
            </w:r>
          </w:p>
        </w:tc>
        <w:tc>
          <w:tcPr>
            <w:tcW w:w="6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2</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1.6:</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Courier New" w:cs="Courier New" w:eastAsia="Courier New" w:hAnsi="Courier New"/>
                <w:sz w:val="18"/>
                <w:szCs w:val="18"/>
                <w:u w:val="single" w:color="auto"/>
                <w:color w:val="0000FF"/>
                <w:w w:val="95"/>
              </w:rPr>
              <w:t>Organization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2</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1.7:</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Voting; Proxies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2</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1.8:</w:t>
            </w:r>
          </w:p>
        </w:tc>
        <w:tc>
          <w:tcPr>
            <w:tcW w:w="8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780" w:type="dxa"/>
            <w:vAlign w:val="bottom"/>
            <w:gridSpan w:val="13"/>
          </w:tcPr>
          <w:p>
            <w:pPr>
              <w:spacing w:after="0"/>
              <w:rPr>
                <w:sz w:val="20"/>
                <w:szCs w:val="20"/>
                <w:color w:val="auto"/>
              </w:rPr>
            </w:pPr>
            <w:r>
              <w:rPr>
                <w:rFonts w:ascii="Courier New" w:cs="Courier New" w:eastAsia="Courier New" w:hAnsi="Courier New"/>
                <w:sz w:val="18"/>
                <w:szCs w:val="18"/>
                <w:u w:val="single" w:color="auto"/>
                <w:color w:val="0000FF"/>
                <w:w w:val="96"/>
              </w:rPr>
              <w:t>Fixing Date for Determination of Stockholders of Record</w:t>
            </w: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3</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00" w:type="dxa"/>
            <w:vAlign w:val="bottom"/>
            <w:gridSpan w:val="11"/>
          </w:tcPr>
          <w:p>
            <w:pPr>
              <w:spacing w:after="0"/>
              <w:rPr>
                <w:sz w:val="20"/>
                <w:szCs w:val="20"/>
                <w:color w:val="auto"/>
              </w:rPr>
            </w:pPr>
            <w:r>
              <w:rPr>
                <w:rFonts w:ascii="Courier New" w:cs="Courier New" w:eastAsia="Courier New" w:hAnsi="Courier New"/>
                <w:sz w:val="18"/>
                <w:szCs w:val="18"/>
                <w:u w:val="single" w:color="auto"/>
                <w:color w:val="0000FF"/>
                <w:w w:val="97"/>
              </w:rPr>
              <w:t>List of Stockholders Entitled to Vote</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3</w:t>
            </w:r>
          </w:p>
        </w:tc>
      </w:tr>
      <w:tr>
        <w:trPr>
          <w:trHeight w:val="250"/>
        </w:trPr>
        <w:tc>
          <w:tcPr>
            <w:tcW w:w="220" w:type="dxa"/>
            <w:vAlign w:val="bottom"/>
          </w:tcPr>
          <w:p>
            <w:pPr>
              <w:spacing w:after="0"/>
              <w:rPr>
                <w:sz w:val="21"/>
                <w:szCs w:val="21"/>
                <w:color w:val="auto"/>
              </w:rPr>
            </w:pPr>
          </w:p>
        </w:tc>
        <w:tc>
          <w:tcPr>
            <w:tcW w:w="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1.10: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9"/>
          </w:tcPr>
          <w:p>
            <w:pPr>
              <w:spacing w:after="0"/>
              <w:rPr>
                <w:sz w:val="20"/>
                <w:szCs w:val="20"/>
                <w:color w:val="auto"/>
              </w:rPr>
            </w:pPr>
            <w:r>
              <w:rPr>
                <w:rFonts w:ascii="Courier New" w:cs="Courier New" w:eastAsia="Courier New" w:hAnsi="Courier New"/>
                <w:sz w:val="18"/>
                <w:szCs w:val="18"/>
                <w:u w:val="single" w:color="auto"/>
                <w:color w:val="0000FF"/>
              </w:rPr>
              <w:t>Inspectors of Elections.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4</w:t>
            </w:r>
          </w:p>
        </w:tc>
      </w:tr>
      <w:tr>
        <w:trPr>
          <w:trHeight w:val="250"/>
        </w:trPr>
        <w:tc>
          <w:tcPr>
            <w:tcW w:w="220" w:type="dxa"/>
            <w:vAlign w:val="bottom"/>
          </w:tcPr>
          <w:p>
            <w:pPr>
              <w:spacing w:after="0"/>
              <w:rPr>
                <w:sz w:val="21"/>
                <w:szCs w:val="21"/>
                <w:color w:val="auto"/>
              </w:rPr>
            </w:pPr>
          </w:p>
        </w:tc>
        <w:tc>
          <w:tcPr>
            <w:tcW w:w="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Section 1.11:</w:t>
            </w: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Courier New" w:cs="Courier New" w:eastAsia="Courier New" w:hAnsi="Courier New"/>
                <w:sz w:val="18"/>
                <w:szCs w:val="18"/>
                <w:u w:val="single" w:color="auto"/>
                <w:color w:val="0000FF"/>
              </w:rPr>
              <w:t>Conduct of Meetings</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5</w:t>
            </w:r>
          </w:p>
        </w:tc>
      </w:tr>
      <w:tr>
        <w:trPr>
          <w:trHeight w:val="250"/>
        </w:trPr>
        <w:tc>
          <w:tcPr>
            <w:tcW w:w="220" w:type="dxa"/>
            <w:vAlign w:val="bottom"/>
          </w:tcPr>
          <w:p>
            <w:pPr>
              <w:spacing w:after="0"/>
              <w:rPr>
                <w:sz w:val="21"/>
                <w:szCs w:val="21"/>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Section 1.12: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00" w:type="dxa"/>
            <w:vAlign w:val="bottom"/>
            <w:gridSpan w:val="12"/>
          </w:tcPr>
          <w:p>
            <w:pPr>
              <w:spacing w:after="0"/>
              <w:rPr>
                <w:sz w:val="20"/>
                <w:szCs w:val="20"/>
                <w:color w:val="auto"/>
              </w:rPr>
            </w:pPr>
            <w:r>
              <w:rPr>
                <w:rFonts w:ascii="Courier New" w:cs="Courier New" w:eastAsia="Courier New" w:hAnsi="Courier New"/>
                <w:sz w:val="18"/>
                <w:szCs w:val="18"/>
                <w:u w:val="single" w:color="auto"/>
                <w:color w:val="0000FF"/>
              </w:rPr>
              <w:t>Notice of Stockholder Business; Nominations.</w:t>
            </w: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5</w:t>
            </w:r>
          </w:p>
        </w:tc>
      </w:tr>
      <w:tr>
        <w:trPr>
          <w:trHeight w:val="250"/>
        </w:trPr>
        <w:tc>
          <w:tcPr>
            <w:tcW w:w="220" w:type="dxa"/>
            <w:vAlign w:val="bottom"/>
          </w:tcPr>
          <w:p>
            <w:pPr>
              <w:spacing w:after="0"/>
              <w:rPr>
                <w:sz w:val="21"/>
                <w:szCs w:val="21"/>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Section 1.13: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w w:val="98"/>
              </w:rPr>
              <w:t>Emergency Bylaws.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00"/>
              <w:spacing w:after="0"/>
              <w:rPr>
                <w:sz w:val="20"/>
                <w:szCs w:val="20"/>
                <w:color w:val="auto"/>
              </w:rPr>
            </w:pPr>
            <w:r>
              <w:rPr>
                <w:rFonts w:ascii="Courier New" w:cs="Courier New" w:eastAsia="Courier New" w:hAnsi="Courier New"/>
                <w:sz w:val="18"/>
                <w:szCs w:val="18"/>
                <w:color w:val="auto"/>
              </w:rPr>
              <w:t>15</w:t>
            </w:r>
          </w:p>
        </w:tc>
      </w:tr>
      <w:tr>
        <w:trPr>
          <w:trHeight w:val="250"/>
        </w:trPr>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 xml:space="preserve">Article II: </w:t>
            </w:r>
            <w:r>
              <w:rPr>
                <w:rFonts w:ascii="Courier New" w:cs="Courier New" w:eastAsia="Courier New" w:hAnsi="Courier New"/>
                <w:sz w:val="18"/>
                <w:szCs w:val="18"/>
                <w:color w:val="0000FF"/>
                <w:w w:val="99"/>
              </w:rPr>
              <w:t>BOARD OF DIRECTORS</w:t>
            </w:r>
          </w:p>
        </w:tc>
        <w:tc>
          <w:tcPr>
            <w:tcW w:w="6300" w:type="dxa"/>
            <w:vAlign w:val="bottom"/>
            <w:gridSpan w:val="8"/>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16</w:t>
            </w:r>
          </w:p>
        </w:tc>
      </w:tr>
      <w:tr>
        <w:trPr>
          <w:trHeight w:val="223"/>
        </w:trPr>
        <w:tc>
          <w:tcPr>
            <w:tcW w:w="220" w:type="dxa"/>
            <w:vAlign w:val="bottom"/>
          </w:tcPr>
          <w:p>
            <w:pPr>
              <w:spacing w:after="0"/>
              <w:rPr>
                <w:sz w:val="19"/>
                <w:szCs w:val="19"/>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2.1:</w:t>
            </w:r>
          </w:p>
        </w:tc>
        <w:tc>
          <w:tcPr>
            <w:tcW w:w="180" w:type="dxa"/>
            <w:vAlign w:val="bottom"/>
            <w:gridSpan w:val="4"/>
          </w:tcPr>
          <w:p>
            <w:pPr>
              <w:spacing w:after="0"/>
              <w:rPr>
                <w:sz w:val="19"/>
                <w:szCs w:val="19"/>
                <w:color w:val="auto"/>
              </w:rPr>
            </w:pPr>
          </w:p>
        </w:tc>
        <w:tc>
          <w:tcPr>
            <w:tcW w:w="2320" w:type="dxa"/>
            <w:vAlign w:val="bottom"/>
            <w:gridSpan w:val="9"/>
          </w:tcPr>
          <w:p>
            <w:pPr>
              <w:spacing w:after="0"/>
              <w:rPr>
                <w:sz w:val="20"/>
                <w:szCs w:val="20"/>
                <w:color w:val="auto"/>
              </w:rPr>
            </w:pPr>
            <w:r>
              <w:rPr>
                <w:rFonts w:ascii="Courier New" w:cs="Courier New" w:eastAsia="Courier New" w:hAnsi="Courier New"/>
                <w:sz w:val="18"/>
                <w:szCs w:val="18"/>
                <w:u w:val="single" w:color="auto"/>
                <w:color w:val="0000FF"/>
                <w:w w:val="96"/>
              </w:rPr>
              <w:t>Number; Qualifications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16</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2.2:</w:t>
            </w:r>
          </w:p>
        </w:tc>
        <w:tc>
          <w:tcPr>
            <w:tcW w:w="180" w:type="dxa"/>
            <w:vAlign w:val="bottom"/>
            <w:gridSpan w:val="4"/>
          </w:tcPr>
          <w:p>
            <w:pPr>
              <w:spacing w:after="0"/>
              <w:rPr>
                <w:sz w:val="21"/>
                <w:szCs w:val="21"/>
                <w:color w:val="auto"/>
              </w:rPr>
            </w:pPr>
          </w:p>
        </w:tc>
        <w:tc>
          <w:tcPr>
            <w:tcW w:w="4660" w:type="dxa"/>
            <w:vAlign w:val="bottom"/>
            <w:gridSpan w:val="12"/>
          </w:tcPr>
          <w:p>
            <w:pPr>
              <w:spacing w:after="0"/>
              <w:rPr>
                <w:sz w:val="20"/>
                <w:szCs w:val="20"/>
                <w:color w:val="auto"/>
              </w:rPr>
            </w:pPr>
            <w:r>
              <w:rPr>
                <w:rFonts w:ascii="Courier New" w:cs="Courier New" w:eastAsia="Courier New" w:hAnsi="Courier New"/>
                <w:sz w:val="18"/>
                <w:szCs w:val="18"/>
                <w:u w:val="single" w:color="auto"/>
                <w:color w:val="0000FF"/>
              </w:rPr>
              <w:t>Election; Resignation; Removal; Vacancies</w:t>
            </w: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16</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2.3:</w:t>
            </w:r>
          </w:p>
        </w:tc>
        <w:tc>
          <w:tcPr>
            <w:tcW w:w="180" w:type="dxa"/>
            <w:vAlign w:val="bottom"/>
            <w:gridSpan w:val="4"/>
          </w:tcPr>
          <w:p>
            <w:pPr>
              <w:spacing w:after="0"/>
              <w:rPr>
                <w:sz w:val="21"/>
                <w:szCs w:val="21"/>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w w:val="96"/>
              </w:rPr>
              <w:t>Regular Meetings</w:t>
            </w:r>
          </w:p>
        </w:tc>
        <w:tc>
          <w:tcPr>
            <w:tcW w:w="104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2.4:</w:t>
            </w:r>
          </w:p>
        </w:tc>
        <w:tc>
          <w:tcPr>
            <w:tcW w:w="180" w:type="dxa"/>
            <w:vAlign w:val="bottom"/>
            <w:gridSpan w:val="4"/>
          </w:tcPr>
          <w:p>
            <w:pPr>
              <w:spacing w:after="0"/>
              <w:rPr>
                <w:sz w:val="21"/>
                <w:szCs w:val="21"/>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w w:val="96"/>
              </w:rPr>
              <w:t>Special Meetings</w:t>
            </w:r>
          </w:p>
        </w:tc>
        <w:tc>
          <w:tcPr>
            <w:tcW w:w="104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2.5:</w:t>
            </w:r>
          </w:p>
        </w:tc>
        <w:tc>
          <w:tcPr>
            <w:tcW w:w="180" w:type="dxa"/>
            <w:vAlign w:val="bottom"/>
            <w:gridSpan w:val="4"/>
          </w:tcPr>
          <w:p>
            <w:pPr>
              <w:spacing w:after="0"/>
              <w:rPr>
                <w:sz w:val="21"/>
                <w:szCs w:val="21"/>
                <w:color w:val="auto"/>
              </w:rPr>
            </w:pPr>
          </w:p>
        </w:tc>
        <w:tc>
          <w:tcPr>
            <w:tcW w:w="27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w w:val="99"/>
              </w:rPr>
              <w:t>Remote Meetings Permitted</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2.6:</w:t>
            </w:r>
          </w:p>
        </w:tc>
        <w:tc>
          <w:tcPr>
            <w:tcW w:w="180" w:type="dxa"/>
            <w:vAlign w:val="bottom"/>
            <w:gridSpan w:val="4"/>
          </w:tcPr>
          <w:p>
            <w:pPr>
              <w:spacing w:after="0"/>
              <w:rPr>
                <w:sz w:val="21"/>
                <w:szCs w:val="21"/>
                <w:color w:val="auto"/>
              </w:rPr>
            </w:pPr>
          </w:p>
        </w:tc>
        <w:tc>
          <w:tcPr>
            <w:tcW w:w="3900" w:type="dxa"/>
            <w:vAlign w:val="bottom"/>
            <w:gridSpan w:val="11"/>
          </w:tcPr>
          <w:p>
            <w:pPr>
              <w:spacing w:after="0"/>
              <w:rPr>
                <w:sz w:val="20"/>
                <w:szCs w:val="20"/>
                <w:color w:val="auto"/>
              </w:rPr>
            </w:pPr>
            <w:r>
              <w:rPr>
                <w:rFonts w:ascii="Courier New" w:cs="Courier New" w:eastAsia="Courier New" w:hAnsi="Courier New"/>
                <w:sz w:val="18"/>
                <w:szCs w:val="18"/>
                <w:u w:val="single" w:color="auto"/>
                <w:color w:val="0000FF"/>
              </w:rPr>
              <w:t>Quorum; Vote Required for Action</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2.7:</w:t>
            </w:r>
          </w:p>
        </w:tc>
        <w:tc>
          <w:tcPr>
            <w:tcW w:w="180" w:type="dxa"/>
            <w:vAlign w:val="bottom"/>
            <w:gridSpan w:val="4"/>
          </w:tcPr>
          <w:p>
            <w:pPr>
              <w:spacing w:after="0"/>
              <w:rPr>
                <w:sz w:val="21"/>
                <w:szCs w:val="21"/>
                <w:color w:val="auto"/>
              </w:rPr>
            </w:pPr>
          </w:p>
        </w:tc>
        <w:tc>
          <w:tcPr>
            <w:tcW w:w="1260" w:type="dxa"/>
            <w:vAlign w:val="bottom"/>
            <w:gridSpan w:val="5"/>
          </w:tcPr>
          <w:p>
            <w:pPr>
              <w:spacing w:after="0"/>
              <w:rPr>
                <w:sz w:val="20"/>
                <w:szCs w:val="20"/>
                <w:color w:val="auto"/>
              </w:rPr>
            </w:pPr>
            <w:r>
              <w:rPr>
                <w:rFonts w:ascii="Courier New" w:cs="Courier New" w:eastAsia="Courier New" w:hAnsi="Courier New"/>
                <w:sz w:val="18"/>
                <w:szCs w:val="18"/>
                <w:u w:val="single" w:color="auto"/>
                <w:color w:val="0000FF"/>
                <w:w w:val="95"/>
              </w:rPr>
              <w:t>Organization</w:t>
            </w:r>
          </w:p>
        </w:tc>
        <w:tc>
          <w:tcPr>
            <w:tcW w:w="420" w:type="dxa"/>
            <w:vAlign w:val="bottom"/>
            <w:gridSpan w:val="2"/>
          </w:tcPr>
          <w:p>
            <w:pPr>
              <w:spacing w:after="0"/>
              <w:rPr>
                <w:sz w:val="21"/>
                <w:szCs w:val="21"/>
                <w:color w:val="auto"/>
              </w:rPr>
            </w:pPr>
          </w:p>
        </w:tc>
        <w:tc>
          <w:tcPr>
            <w:tcW w:w="1040" w:type="dxa"/>
            <w:vAlign w:val="bottom"/>
            <w:gridSpan w:val="3"/>
          </w:tcPr>
          <w:p>
            <w:pPr>
              <w:spacing w:after="0"/>
              <w:rPr>
                <w:sz w:val="21"/>
                <w:szCs w:val="21"/>
                <w:color w:val="auto"/>
              </w:rPr>
            </w:pPr>
          </w:p>
        </w:tc>
        <w:tc>
          <w:tcPr>
            <w:tcW w:w="194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2.8:</w:t>
            </w:r>
          </w:p>
        </w:tc>
        <w:tc>
          <w:tcPr>
            <w:tcW w:w="180" w:type="dxa"/>
            <w:vAlign w:val="bottom"/>
            <w:gridSpan w:val="4"/>
          </w:tcPr>
          <w:p>
            <w:pPr>
              <w:spacing w:after="0"/>
              <w:rPr>
                <w:sz w:val="21"/>
                <w:szCs w:val="21"/>
                <w:color w:val="auto"/>
              </w:rPr>
            </w:pPr>
          </w:p>
        </w:tc>
        <w:tc>
          <w:tcPr>
            <w:tcW w:w="5780" w:type="dxa"/>
            <w:vAlign w:val="bottom"/>
            <w:gridSpan w:val="13"/>
          </w:tcPr>
          <w:p>
            <w:pPr>
              <w:spacing w:after="0"/>
              <w:rPr>
                <w:sz w:val="20"/>
                <w:szCs w:val="20"/>
                <w:color w:val="auto"/>
              </w:rPr>
            </w:pPr>
            <w:r>
              <w:rPr>
                <w:rFonts w:ascii="Courier New" w:cs="Courier New" w:eastAsia="Courier New" w:hAnsi="Courier New"/>
                <w:sz w:val="18"/>
                <w:szCs w:val="18"/>
                <w:u w:val="single" w:color="auto"/>
                <w:color w:val="0000FF"/>
              </w:rPr>
              <w:t>Unanimous Action by Directors in Lieu of a Meeting</w:t>
            </w:r>
          </w:p>
        </w:tc>
        <w:tc>
          <w:tcPr>
            <w:tcW w:w="1980" w:type="dxa"/>
            <w:vAlign w:val="bottom"/>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17</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2.9:</w:t>
            </w:r>
          </w:p>
        </w:tc>
        <w:tc>
          <w:tcPr>
            <w:tcW w:w="180" w:type="dxa"/>
            <w:vAlign w:val="bottom"/>
            <w:gridSpan w:val="4"/>
          </w:tcPr>
          <w:p>
            <w:pPr>
              <w:spacing w:after="0"/>
              <w:rPr>
                <w:sz w:val="21"/>
                <w:szCs w:val="21"/>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8"/>
                <w:szCs w:val="18"/>
                <w:u w:val="single" w:color="auto"/>
                <w:color w:val="0000FF"/>
                <w:w w:val="92"/>
              </w:rPr>
              <w:t>Powers</w:t>
            </w:r>
          </w:p>
        </w:tc>
        <w:tc>
          <w:tcPr>
            <w:tcW w:w="6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420" w:type="dxa"/>
            <w:vAlign w:val="bottom"/>
            <w:gridSpan w:val="2"/>
          </w:tcPr>
          <w:p>
            <w:pPr>
              <w:spacing w:after="0"/>
              <w:rPr>
                <w:sz w:val="21"/>
                <w:szCs w:val="21"/>
                <w:color w:val="auto"/>
              </w:rPr>
            </w:pPr>
          </w:p>
        </w:tc>
        <w:tc>
          <w:tcPr>
            <w:tcW w:w="1040" w:type="dxa"/>
            <w:vAlign w:val="bottom"/>
            <w:gridSpan w:val="3"/>
          </w:tcPr>
          <w:p>
            <w:pPr>
              <w:spacing w:after="0"/>
              <w:rPr>
                <w:sz w:val="21"/>
                <w:szCs w:val="21"/>
                <w:color w:val="auto"/>
              </w:rPr>
            </w:pPr>
          </w:p>
        </w:tc>
        <w:tc>
          <w:tcPr>
            <w:tcW w:w="1940" w:type="dxa"/>
            <w:vAlign w:val="bottom"/>
            <w:gridSpan w:val="2"/>
          </w:tcPr>
          <w:p>
            <w:pPr>
              <w:spacing w:after="0"/>
              <w:rPr>
                <w:sz w:val="21"/>
                <w:szCs w:val="21"/>
                <w:color w:val="auto"/>
              </w:rPr>
            </w:pPr>
          </w:p>
        </w:tc>
        <w:tc>
          <w:tcPr>
            <w:tcW w:w="3100" w:type="dxa"/>
            <w:vAlign w:val="bottom"/>
            <w:gridSpan w:val="2"/>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50"/>
        </w:trPr>
        <w:tc>
          <w:tcPr>
            <w:tcW w:w="220" w:type="dxa"/>
            <w:vAlign w:val="bottom"/>
          </w:tcPr>
          <w:p>
            <w:pPr>
              <w:spacing w:after="0"/>
              <w:rPr>
                <w:sz w:val="21"/>
                <w:szCs w:val="21"/>
                <w:color w:val="auto"/>
              </w:rPr>
            </w:pPr>
          </w:p>
        </w:tc>
        <w:tc>
          <w:tcPr>
            <w:tcW w:w="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2.10:</w:t>
            </w:r>
          </w:p>
        </w:tc>
        <w:tc>
          <w:tcPr>
            <w:tcW w:w="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9"/>
          </w:tcPr>
          <w:p>
            <w:pPr>
              <w:spacing w:after="0"/>
              <w:rPr>
                <w:sz w:val="20"/>
                <w:szCs w:val="20"/>
                <w:color w:val="auto"/>
              </w:rPr>
            </w:pPr>
            <w:r>
              <w:rPr>
                <w:rFonts w:ascii="Courier New" w:cs="Courier New" w:eastAsia="Courier New" w:hAnsi="Courier New"/>
                <w:sz w:val="18"/>
                <w:szCs w:val="18"/>
                <w:u w:val="single" w:color="auto"/>
                <w:color w:val="0000FF"/>
                <w:w w:val="97"/>
              </w:rPr>
              <w:t>Compensation of Directors</w:t>
            </w:r>
          </w:p>
        </w:tc>
        <w:tc>
          <w:tcPr>
            <w:tcW w:w="1940" w:type="dxa"/>
            <w:vAlign w:val="bottom"/>
            <w:gridSpan w:val="2"/>
          </w:tcPr>
          <w:p>
            <w:pPr>
              <w:spacing w:after="0"/>
              <w:rPr>
                <w:sz w:val="21"/>
                <w:szCs w:val="21"/>
                <w:color w:val="auto"/>
              </w:rPr>
            </w:pPr>
          </w:p>
        </w:tc>
        <w:tc>
          <w:tcPr>
            <w:tcW w:w="3100" w:type="dxa"/>
            <w:vAlign w:val="bottom"/>
            <w:gridSpan w:val="2"/>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50"/>
        </w:trPr>
        <w:tc>
          <w:tcPr>
            <w:tcW w:w="220" w:type="dxa"/>
            <w:vAlign w:val="bottom"/>
          </w:tcPr>
          <w:p>
            <w:pPr>
              <w:spacing w:after="0"/>
              <w:rPr>
                <w:sz w:val="21"/>
                <w:szCs w:val="21"/>
                <w:color w:val="auto"/>
              </w:rPr>
            </w:pPr>
          </w:p>
        </w:tc>
        <w:tc>
          <w:tcPr>
            <w:tcW w:w="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Section 2.11:</w:t>
            </w:r>
          </w:p>
        </w:tc>
        <w:tc>
          <w:tcPr>
            <w:tcW w:w="10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w w:val="97"/>
              </w:rPr>
              <w:t>Confidentiality</w:t>
            </w:r>
          </w:p>
        </w:tc>
        <w:tc>
          <w:tcPr>
            <w:tcW w:w="1040" w:type="dxa"/>
            <w:vAlign w:val="bottom"/>
            <w:gridSpan w:val="3"/>
          </w:tcPr>
          <w:p>
            <w:pPr>
              <w:spacing w:after="0"/>
              <w:rPr>
                <w:sz w:val="21"/>
                <w:szCs w:val="21"/>
                <w:color w:val="auto"/>
              </w:rPr>
            </w:pPr>
          </w:p>
        </w:tc>
        <w:tc>
          <w:tcPr>
            <w:tcW w:w="1940" w:type="dxa"/>
            <w:vAlign w:val="bottom"/>
            <w:gridSpan w:val="2"/>
          </w:tcPr>
          <w:p>
            <w:pPr>
              <w:spacing w:after="0"/>
              <w:rPr>
                <w:sz w:val="21"/>
                <w:szCs w:val="21"/>
                <w:color w:val="auto"/>
              </w:rPr>
            </w:pPr>
          </w:p>
        </w:tc>
        <w:tc>
          <w:tcPr>
            <w:tcW w:w="3100" w:type="dxa"/>
            <w:vAlign w:val="bottom"/>
            <w:gridSpan w:val="2"/>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50"/>
        </w:trPr>
        <w:tc>
          <w:tcPr>
            <w:tcW w:w="1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 xml:space="preserve">Article III: </w:t>
            </w:r>
            <w:r>
              <w:rPr>
                <w:rFonts w:ascii="Courier New" w:cs="Courier New" w:eastAsia="Courier New" w:hAnsi="Courier New"/>
                <w:sz w:val="18"/>
                <w:szCs w:val="18"/>
                <w:color w:val="0000FF"/>
              </w:rPr>
              <w:t>COMMITTEES</w:t>
            </w:r>
          </w:p>
        </w:tc>
        <w:tc>
          <w:tcPr>
            <w:tcW w:w="7080" w:type="dxa"/>
            <w:vAlign w:val="bottom"/>
            <w:gridSpan w:val="11"/>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23"/>
        </w:trPr>
        <w:tc>
          <w:tcPr>
            <w:tcW w:w="220" w:type="dxa"/>
            <w:vAlign w:val="bottom"/>
          </w:tcPr>
          <w:p>
            <w:pPr>
              <w:spacing w:after="0"/>
              <w:rPr>
                <w:sz w:val="19"/>
                <w:szCs w:val="19"/>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3.1:</w:t>
            </w:r>
          </w:p>
        </w:tc>
        <w:tc>
          <w:tcPr>
            <w:tcW w:w="180" w:type="dxa"/>
            <w:vAlign w:val="bottom"/>
            <w:gridSpan w:val="4"/>
          </w:tcPr>
          <w:p>
            <w:pPr>
              <w:spacing w:after="0"/>
              <w:rPr>
                <w:sz w:val="19"/>
                <w:szCs w:val="19"/>
                <w:color w:val="auto"/>
              </w:rPr>
            </w:pPr>
          </w:p>
        </w:tc>
        <w:tc>
          <w:tcPr>
            <w:tcW w:w="1260" w:type="dxa"/>
            <w:vAlign w:val="bottom"/>
            <w:gridSpan w:val="5"/>
          </w:tcPr>
          <w:p>
            <w:pPr>
              <w:spacing w:after="0"/>
              <w:rPr>
                <w:sz w:val="20"/>
                <w:szCs w:val="20"/>
                <w:color w:val="auto"/>
              </w:rPr>
            </w:pPr>
            <w:r>
              <w:rPr>
                <w:rFonts w:ascii="Courier New" w:cs="Courier New" w:eastAsia="Courier New" w:hAnsi="Courier New"/>
                <w:sz w:val="18"/>
                <w:szCs w:val="18"/>
                <w:u w:val="single" w:color="auto"/>
                <w:color w:val="0000FF"/>
              </w:rPr>
              <w:t>Committees</w:t>
            </w:r>
          </w:p>
        </w:tc>
        <w:tc>
          <w:tcPr>
            <w:tcW w:w="1460" w:type="dxa"/>
            <w:vAlign w:val="bottom"/>
            <w:gridSpan w:val="5"/>
          </w:tcPr>
          <w:p>
            <w:pPr>
              <w:spacing w:after="0"/>
              <w:rPr>
                <w:sz w:val="19"/>
                <w:szCs w:val="19"/>
                <w:color w:val="auto"/>
              </w:rPr>
            </w:pPr>
          </w:p>
        </w:tc>
        <w:tc>
          <w:tcPr>
            <w:tcW w:w="1940" w:type="dxa"/>
            <w:vAlign w:val="bottom"/>
            <w:gridSpan w:val="2"/>
          </w:tcPr>
          <w:p>
            <w:pPr>
              <w:spacing w:after="0"/>
              <w:rPr>
                <w:sz w:val="19"/>
                <w:szCs w:val="19"/>
                <w:color w:val="auto"/>
              </w:rPr>
            </w:pPr>
          </w:p>
        </w:tc>
        <w:tc>
          <w:tcPr>
            <w:tcW w:w="3100" w:type="dxa"/>
            <w:vAlign w:val="bottom"/>
            <w:gridSpan w:val="2"/>
          </w:tcPr>
          <w:p>
            <w:pPr>
              <w:spacing w:after="0"/>
              <w:rPr>
                <w:sz w:val="19"/>
                <w:szCs w:val="19"/>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3.2:</w:t>
            </w:r>
          </w:p>
        </w:tc>
        <w:tc>
          <w:tcPr>
            <w:tcW w:w="180" w:type="dxa"/>
            <w:vAlign w:val="bottom"/>
            <w:gridSpan w:val="4"/>
          </w:tcPr>
          <w:p>
            <w:pPr>
              <w:spacing w:after="0"/>
              <w:rPr>
                <w:sz w:val="21"/>
                <w:szCs w:val="21"/>
                <w:color w:val="auto"/>
              </w:rPr>
            </w:pPr>
          </w:p>
        </w:tc>
        <w:tc>
          <w:tcPr>
            <w:tcW w:w="168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Committee Rules</w:t>
            </w:r>
          </w:p>
        </w:tc>
        <w:tc>
          <w:tcPr>
            <w:tcW w:w="1040" w:type="dxa"/>
            <w:vAlign w:val="bottom"/>
            <w:gridSpan w:val="3"/>
          </w:tcPr>
          <w:p>
            <w:pPr>
              <w:spacing w:after="0"/>
              <w:rPr>
                <w:sz w:val="21"/>
                <w:szCs w:val="21"/>
                <w:color w:val="auto"/>
              </w:rPr>
            </w:pPr>
          </w:p>
        </w:tc>
        <w:tc>
          <w:tcPr>
            <w:tcW w:w="1940" w:type="dxa"/>
            <w:vAlign w:val="bottom"/>
            <w:gridSpan w:val="2"/>
          </w:tcPr>
          <w:p>
            <w:pPr>
              <w:spacing w:after="0"/>
              <w:rPr>
                <w:sz w:val="21"/>
                <w:szCs w:val="21"/>
                <w:color w:val="auto"/>
              </w:rPr>
            </w:pPr>
          </w:p>
        </w:tc>
        <w:tc>
          <w:tcPr>
            <w:tcW w:w="3100" w:type="dxa"/>
            <w:vAlign w:val="bottom"/>
            <w:gridSpan w:val="2"/>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50"/>
        </w:trPr>
        <w:tc>
          <w:tcPr>
            <w:tcW w:w="9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 xml:space="preserve">Article IV: </w:t>
            </w:r>
            <w:r>
              <w:rPr>
                <w:rFonts w:ascii="Courier New" w:cs="Courier New" w:eastAsia="Courier New" w:hAnsi="Courier New"/>
                <w:sz w:val="18"/>
                <w:szCs w:val="18"/>
                <w:color w:val="0000FF"/>
              </w:rPr>
              <w:t>OFFICERS; CHAIRPERSON; LEAD INDEPENDENT DIRECTOR</w:t>
            </w: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18</w:t>
            </w:r>
          </w:p>
        </w:tc>
      </w:tr>
      <w:tr>
        <w:trPr>
          <w:trHeight w:val="223"/>
        </w:trPr>
        <w:tc>
          <w:tcPr>
            <w:tcW w:w="220" w:type="dxa"/>
            <w:vAlign w:val="bottom"/>
            <w:tcBorders>
              <w:top w:val="single" w:sz="8" w:color="0000FF"/>
            </w:tcBorders>
          </w:tcPr>
          <w:p>
            <w:pPr>
              <w:spacing w:after="0"/>
              <w:rPr>
                <w:sz w:val="19"/>
                <w:szCs w:val="19"/>
                <w:color w:val="auto"/>
              </w:rPr>
            </w:pPr>
          </w:p>
        </w:tc>
        <w:tc>
          <w:tcPr>
            <w:tcW w:w="8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4.1:</w:t>
            </w:r>
          </w:p>
        </w:tc>
        <w:tc>
          <w:tcPr>
            <w:tcW w:w="180" w:type="dxa"/>
            <w:vAlign w:val="bottom"/>
            <w:tcBorders>
              <w:top w:val="single" w:sz="8" w:color="0000FF"/>
            </w:tcBorders>
            <w:gridSpan w:val="4"/>
          </w:tcPr>
          <w:p>
            <w:pPr>
              <w:spacing w:after="0"/>
              <w:rPr>
                <w:sz w:val="19"/>
                <w:szCs w:val="19"/>
                <w:color w:val="auto"/>
              </w:rPr>
            </w:pPr>
          </w:p>
        </w:tc>
        <w:tc>
          <w:tcPr>
            <w:tcW w:w="1260" w:type="dxa"/>
            <w:vAlign w:val="bottom"/>
            <w:tcBorders>
              <w:top w:val="single" w:sz="8" w:color="0000FF"/>
              <w:bottom w:val="single" w:sz="8" w:color="0000FF"/>
            </w:tcBorders>
            <w:gridSpan w:val="5"/>
          </w:tcPr>
          <w:p>
            <w:pPr>
              <w:spacing w:after="0"/>
              <w:rPr>
                <w:sz w:val="20"/>
                <w:szCs w:val="20"/>
                <w:color w:val="auto"/>
              </w:rPr>
            </w:pPr>
            <w:r>
              <w:rPr>
                <w:rFonts w:ascii="Courier New" w:cs="Courier New" w:eastAsia="Courier New" w:hAnsi="Courier New"/>
                <w:sz w:val="18"/>
                <w:szCs w:val="18"/>
                <w:u w:val="single" w:color="auto"/>
                <w:color w:val="0000FF"/>
              </w:rPr>
              <w:t>Generally</w:t>
            </w:r>
          </w:p>
        </w:tc>
        <w:tc>
          <w:tcPr>
            <w:tcW w:w="1460" w:type="dxa"/>
            <w:vAlign w:val="bottom"/>
            <w:tcBorders>
              <w:top w:val="single" w:sz="8" w:color="0000FF"/>
              <w:bottom w:val="single" w:sz="8" w:color="0000FF"/>
            </w:tcBorders>
            <w:gridSpan w:val="5"/>
          </w:tcPr>
          <w:p>
            <w:pPr>
              <w:spacing w:after="0"/>
              <w:rPr>
                <w:sz w:val="19"/>
                <w:szCs w:val="19"/>
                <w:color w:val="auto"/>
              </w:rPr>
            </w:pPr>
          </w:p>
        </w:tc>
        <w:tc>
          <w:tcPr>
            <w:tcW w:w="1940" w:type="dxa"/>
            <w:vAlign w:val="bottom"/>
            <w:tcBorders>
              <w:top w:val="single" w:sz="8" w:color="0000FF"/>
              <w:bottom w:val="single" w:sz="8" w:color="0000FF"/>
            </w:tcBorders>
            <w:gridSpan w:val="2"/>
          </w:tcPr>
          <w:p>
            <w:pPr>
              <w:spacing w:after="0"/>
              <w:rPr>
                <w:sz w:val="19"/>
                <w:szCs w:val="19"/>
                <w:color w:val="auto"/>
              </w:rPr>
            </w:pPr>
          </w:p>
        </w:tc>
        <w:tc>
          <w:tcPr>
            <w:tcW w:w="3100" w:type="dxa"/>
            <w:vAlign w:val="bottom"/>
            <w:gridSpan w:val="2"/>
          </w:tcPr>
          <w:p>
            <w:pPr>
              <w:spacing w:after="0"/>
              <w:rPr>
                <w:sz w:val="19"/>
                <w:szCs w:val="19"/>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19</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4.2:</w:t>
            </w:r>
          </w:p>
        </w:tc>
        <w:tc>
          <w:tcPr>
            <w:tcW w:w="180" w:type="dxa"/>
            <w:vAlign w:val="bottom"/>
            <w:gridSpan w:val="4"/>
          </w:tcPr>
          <w:p>
            <w:pPr>
              <w:spacing w:after="0"/>
              <w:rPr>
                <w:sz w:val="21"/>
                <w:szCs w:val="21"/>
                <w:color w:val="auto"/>
              </w:rPr>
            </w:pPr>
          </w:p>
        </w:tc>
        <w:tc>
          <w:tcPr>
            <w:tcW w:w="27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rPr>
              <w:t>Chief Executive Officer</w:t>
            </w:r>
          </w:p>
        </w:tc>
        <w:tc>
          <w:tcPr>
            <w:tcW w:w="5040" w:type="dxa"/>
            <w:vAlign w:val="bottom"/>
            <w:gridSpan w:val="4"/>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19</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4.3:</w:t>
            </w:r>
          </w:p>
        </w:tc>
        <w:tc>
          <w:tcPr>
            <w:tcW w:w="180" w:type="dxa"/>
            <w:vAlign w:val="bottom"/>
            <w:gridSpan w:val="4"/>
          </w:tcPr>
          <w:p>
            <w:pPr>
              <w:spacing w:after="0"/>
              <w:rPr>
                <w:sz w:val="21"/>
                <w:szCs w:val="21"/>
                <w:color w:val="auto"/>
              </w:rPr>
            </w:pPr>
          </w:p>
        </w:tc>
        <w:tc>
          <w:tcPr>
            <w:tcW w:w="27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rPr>
              <w:t>Chairperson of the Board</w:t>
            </w:r>
          </w:p>
        </w:tc>
        <w:tc>
          <w:tcPr>
            <w:tcW w:w="5040" w:type="dxa"/>
            <w:vAlign w:val="bottom"/>
            <w:gridSpan w:val="4"/>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19</w:t>
            </w:r>
          </w:p>
        </w:tc>
      </w:tr>
      <w:tr>
        <w:trPr>
          <w:trHeight w:val="250"/>
        </w:trPr>
        <w:tc>
          <w:tcPr>
            <w:tcW w:w="22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4.4:</w:t>
            </w:r>
          </w:p>
        </w:tc>
        <w:tc>
          <w:tcPr>
            <w:tcW w:w="180" w:type="dxa"/>
            <w:vAlign w:val="bottom"/>
            <w:gridSpan w:val="4"/>
          </w:tcPr>
          <w:p>
            <w:pPr>
              <w:spacing w:after="0"/>
              <w:rPr>
                <w:sz w:val="21"/>
                <w:szCs w:val="21"/>
                <w:color w:val="auto"/>
              </w:rPr>
            </w:pPr>
          </w:p>
        </w:tc>
        <w:tc>
          <w:tcPr>
            <w:tcW w:w="27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w w:val="99"/>
              </w:rPr>
              <w:t>Lead Independent Director</w:t>
            </w:r>
          </w:p>
        </w:tc>
        <w:tc>
          <w:tcPr>
            <w:tcW w:w="5040" w:type="dxa"/>
            <w:vAlign w:val="bottom"/>
            <w:gridSpan w:val="4"/>
          </w:tcPr>
          <w:p>
            <w:pPr>
              <w:spacing w:after="0"/>
              <w:rPr>
                <w:sz w:val="21"/>
                <w:szCs w:val="21"/>
                <w:color w:val="auto"/>
              </w:rPr>
            </w:pPr>
          </w:p>
        </w:tc>
        <w:tc>
          <w:tcPr>
            <w:tcW w:w="2140" w:type="dxa"/>
            <w:vAlign w:val="bottom"/>
          </w:tcPr>
          <w:p>
            <w:pPr>
              <w:ind w:left="1640"/>
              <w:spacing w:after="0"/>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ectPr>
          <w:pgSz w:w="11900" w:h="16838" w:orient="portrait"/>
          <w:cols w:equalWidth="0" w:num="1">
            <w:col w:w="11160"/>
          </w:cols>
          <w:pgMar w:left="400" w:top="1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25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President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4.6: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Chief Financial Officer</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4.7: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Treasurer</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4.8: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rPr>
              <w:t>Vice President</w:t>
            </w: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4.9: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Secretary</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Section 4.10: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2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rPr>
              <w:t>Delegation of Authority</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Section 4.11:</w:t>
            </w:r>
          </w:p>
        </w:tc>
        <w:tc>
          <w:tcPr>
            <w:tcW w:w="100" w:type="dxa"/>
            <w:vAlign w:val="bottom"/>
            <w:gridSpan w:val="2"/>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Courier New" w:cs="Courier New" w:eastAsia="Courier New" w:hAnsi="Courier New"/>
                <w:sz w:val="18"/>
                <w:szCs w:val="18"/>
                <w:u w:val="single" w:color="auto"/>
                <w:color w:val="0000FF"/>
              </w:rPr>
              <w:t>Removal</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50"/>
        </w:trPr>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 xml:space="preserve">Article V: </w:t>
            </w:r>
            <w:r>
              <w:rPr>
                <w:rFonts w:ascii="Courier New" w:cs="Courier New" w:eastAsia="Courier New" w:hAnsi="Courier New"/>
                <w:sz w:val="18"/>
                <w:szCs w:val="18"/>
                <w:color w:val="0000FF"/>
              </w:rPr>
              <w:t>STOCK</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Certificates; Uncertificated Shares</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Section 5.2:  </w:t>
            </w:r>
            <w:r>
              <w:rPr>
                <w:rFonts w:ascii="Courier New" w:cs="Courier New" w:eastAsia="Courier New" w:hAnsi="Courier New"/>
                <w:sz w:val="18"/>
                <w:szCs w:val="18"/>
                <w:color w:val="0000FF"/>
              </w:rPr>
              <w:t>Lost, Stolen or Destroyed Stock Certificates; Issuance of New Certificates or</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gridSpan w:val="14"/>
          </w:tcPr>
          <w:p>
            <w:pPr>
              <w:spacing w:after="0" w:line="182" w:lineRule="exact"/>
              <w:rPr>
                <w:sz w:val="20"/>
                <w:szCs w:val="20"/>
                <w:color w:val="auto"/>
              </w:rPr>
            </w:pPr>
            <w:r>
              <w:rPr>
                <w:rFonts w:ascii="Courier New" w:cs="Courier New" w:eastAsia="Courier New" w:hAnsi="Courier New"/>
                <w:sz w:val="18"/>
                <w:szCs w:val="18"/>
                <w:color w:val="0000FF"/>
              </w:rPr>
              <w:t>Uncertificated Shares</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rPr>
              <w:t>Other Regulations</w:t>
            </w:r>
          </w:p>
        </w:tc>
        <w:tc>
          <w:tcPr>
            <w:tcW w:w="6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50"/>
        </w:trPr>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 xml:space="preserve">Article VI: </w:t>
            </w:r>
            <w:r>
              <w:rPr>
                <w:rFonts w:ascii="Courier New" w:cs="Courier New" w:eastAsia="Courier New" w:hAnsi="Courier New"/>
                <w:sz w:val="18"/>
                <w:szCs w:val="18"/>
                <w:color w:val="0000FF"/>
              </w:rPr>
              <w:t>INDEMNIFICATION</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Indemnification of Officers and Directors</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Advancement of Expenses</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Non-Exclusivity of Rights</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Indemnification Contracts</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Right of Indemnitee to Bring Suit</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rPr>
              <w:t>Nature of Rights</w:t>
            </w: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Amendment or Repeal</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Insurance</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6.9: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Indemnification for Successful Defense</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50"/>
        </w:trPr>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 xml:space="preserve">Article VII: </w:t>
            </w:r>
            <w:r>
              <w:rPr>
                <w:rFonts w:ascii="Courier New" w:cs="Courier New" w:eastAsia="Courier New" w:hAnsi="Courier New"/>
                <w:sz w:val="18"/>
                <w:szCs w:val="18"/>
                <w:color w:val="0000FF"/>
              </w:rPr>
              <w:t>NOTICES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Notice.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7.2: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spacing w:after="0"/>
              <w:rPr>
                <w:sz w:val="20"/>
                <w:szCs w:val="20"/>
                <w:color w:val="auto"/>
              </w:rPr>
            </w:pPr>
            <w:r>
              <w:rPr>
                <w:rFonts w:ascii="Courier New" w:cs="Courier New" w:eastAsia="Courier New" w:hAnsi="Courier New"/>
                <w:sz w:val="18"/>
                <w:szCs w:val="18"/>
                <w:u w:val="single" w:color="auto"/>
                <w:color w:val="0000FF"/>
              </w:rPr>
              <w:t>Waiver of Notice</w:t>
            </w: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 xml:space="preserve">Article VIII: </w:t>
            </w:r>
            <w:r>
              <w:rPr>
                <w:rFonts w:ascii="Courier New" w:cs="Courier New" w:eastAsia="Courier New" w:hAnsi="Courier New"/>
                <w:sz w:val="18"/>
                <w:szCs w:val="18"/>
                <w:color w:val="0000FF"/>
                <w:w w:val="99"/>
              </w:rPr>
              <w:t>INTERESTED DIRECTORS</w:t>
            </w:r>
          </w:p>
        </w:tc>
        <w:tc>
          <w:tcPr>
            <w:tcW w:w="6900" w:type="dxa"/>
            <w:vAlign w:val="bottom"/>
            <w:gridSpan w:val="2"/>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100" w:type="dxa"/>
            <w:vAlign w:val="bottom"/>
            <w:gridSpan w:val="7"/>
          </w:tcPr>
          <w:p>
            <w:pPr>
              <w:spacing w:after="0"/>
              <w:rPr>
                <w:sz w:val="20"/>
                <w:szCs w:val="20"/>
                <w:color w:val="auto"/>
              </w:rPr>
            </w:pPr>
            <w:r>
              <w:rPr>
                <w:rFonts w:ascii="Courier New" w:cs="Courier New" w:eastAsia="Courier New" w:hAnsi="Courier New"/>
                <w:sz w:val="18"/>
                <w:szCs w:val="18"/>
                <w:u w:val="single" w:color="auto"/>
                <w:color w:val="0000FF"/>
              </w:rPr>
              <w:t>Interested Directors</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8.2: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Courier New" w:cs="Courier New" w:eastAsia="Courier New" w:hAnsi="Courier New"/>
                <w:sz w:val="18"/>
                <w:szCs w:val="18"/>
                <w:u w:val="single" w:color="auto"/>
                <w:color w:val="0000FF"/>
              </w:rPr>
              <w:t>Quorum</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 xml:space="preserve">Article IX: </w:t>
            </w:r>
            <w:r>
              <w:rPr>
                <w:rFonts w:ascii="Courier New" w:cs="Courier New" w:eastAsia="Courier New" w:hAnsi="Courier New"/>
                <w:sz w:val="18"/>
                <w:szCs w:val="18"/>
                <w:color w:val="0000FF"/>
              </w:rPr>
              <w:t>MISCELLANEOUS</w:t>
            </w:r>
          </w:p>
        </w:tc>
        <w:tc>
          <w:tcPr>
            <w:tcW w:w="7760" w:type="dxa"/>
            <w:vAlign w:val="bottom"/>
            <w:gridSpan w:val="4"/>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8"/>
          </w:tcPr>
          <w:p>
            <w:pPr>
              <w:spacing w:after="0"/>
              <w:rPr>
                <w:sz w:val="20"/>
                <w:szCs w:val="20"/>
                <w:color w:val="auto"/>
              </w:rPr>
            </w:pPr>
            <w:r>
              <w:rPr>
                <w:rFonts w:ascii="Courier New" w:cs="Courier New" w:eastAsia="Courier New" w:hAnsi="Courier New"/>
                <w:sz w:val="18"/>
                <w:szCs w:val="18"/>
                <w:u w:val="single" w:color="auto"/>
                <w:color w:val="0000FF"/>
              </w:rPr>
              <w:t>Fiscal Year</w:t>
            </w:r>
          </w:p>
        </w:tc>
        <w:tc>
          <w:tcPr>
            <w:tcW w:w="7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5"/>
          </w:tcPr>
          <w:p>
            <w:pPr>
              <w:spacing w:after="0"/>
              <w:rPr>
                <w:sz w:val="20"/>
                <w:szCs w:val="20"/>
                <w:color w:val="auto"/>
              </w:rPr>
            </w:pPr>
            <w:r>
              <w:rPr>
                <w:rFonts w:ascii="Courier New" w:cs="Courier New" w:eastAsia="Courier New" w:hAnsi="Courier New"/>
                <w:sz w:val="18"/>
                <w:szCs w:val="18"/>
                <w:u w:val="single" w:color="auto"/>
                <w:color w:val="0000FF"/>
              </w:rPr>
              <w:t>Seal</w:t>
            </w:r>
          </w:p>
        </w:tc>
        <w:tc>
          <w:tcPr>
            <w:tcW w:w="10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80" w:type="dxa"/>
            <w:vAlign w:val="bottom"/>
            <w:gridSpan w:val="9"/>
          </w:tcPr>
          <w:p>
            <w:pPr>
              <w:spacing w:after="0"/>
              <w:rPr>
                <w:sz w:val="20"/>
                <w:szCs w:val="20"/>
                <w:color w:val="auto"/>
              </w:rPr>
            </w:pPr>
            <w:r>
              <w:rPr>
                <w:rFonts w:ascii="Courier New" w:cs="Courier New" w:eastAsia="Courier New" w:hAnsi="Courier New"/>
                <w:sz w:val="18"/>
                <w:szCs w:val="18"/>
                <w:u w:val="single" w:color="auto"/>
                <w:color w:val="0000FF"/>
              </w:rPr>
              <w:t>Form of Records</w:t>
            </w:r>
          </w:p>
        </w:tc>
        <w:tc>
          <w:tcPr>
            <w:tcW w:w="6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rPr>
              <w:t>Reliance Upon Books and Records</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20" w:type="dxa"/>
            <w:vAlign w:val="bottom"/>
            <w:gridSpan w:val="10"/>
          </w:tcPr>
          <w:p>
            <w:pPr>
              <w:spacing w:after="0"/>
              <w:rPr>
                <w:sz w:val="20"/>
                <w:szCs w:val="20"/>
                <w:color w:val="auto"/>
              </w:rPr>
            </w:pPr>
            <w:r>
              <w:rPr>
                <w:rFonts w:ascii="Courier New" w:cs="Courier New" w:eastAsia="Courier New" w:hAnsi="Courier New"/>
                <w:sz w:val="18"/>
                <w:szCs w:val="18"/>
                <w:u w:val="single" w:color="auto"/>
                <w:color w:val="0000FF"/>
              </w:rPr>
              <w:t>Certificate of Incorporation Governs</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8"/>
          </w:tcPr>
          <w:p>
            <w:pPr>
              <w:spacing w:after="0"/>
              <w:rPr>
                <w:sz w:val="20"/>
                <w:szCs w:val="20"/>
                <w:color w:val="auto"/>
              </w:rPr>
            </w:pPr>
            <w:r>
              <w:rPr>
                <w:rFonts w:ascii="Courier New" w:cs="Courier New" w:eastAsia="Courier New" w:hAnsi="Courier New"/>
                <w:sz w:val="18"/>
                <w:szCs w:val="18"/>
                <w:u w:val="single" w:color="auto"/>
                <w:color w:val="0000FF"/>
                <w:w w:val="95"/>
              </w:rPr>
              <w:t>Severability</w:t>
            </w:r>
          </w:p>
        </w:tc>
        <w:tc>
          <w:tcPr>
            <w:tcW w:w="7600" w:type="dxa"/>
            <w:vAlign w:val="bottom"/>
            <w:gridSpan w:val="3"/>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9.7: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8"/>
          </w:tcPr>
          <w:p>
            <w:pPr>
              <w:spacing w:after="0"/>
              <w:rPr>
                <w:sz w:val="20"/>
                <w:szCs w:val="20"/>
                <w:color w:val="auto"/>
              </w:rPr>
            </w:pPr>
            <w:r>
              <w:rPr>
                <w:rFonts w:ascii="Courier New" w:cs="Courier New" w:eastAsia="Courier New" w:hAnsi="Courier New"/>
                <w:sz w:val="18"/>
                <w:szCs w:val="18"/>
                <w:u w:val="single" w:color="auto"/>
                <w:color w:val="0000FF"/>
                <w:w w:val="95"/>
              </w:rPr>
              <w:t>Time Periods</w:t>
            </w:r>
          </w:p>
        </w:tc>
        <w:tc>
          <w:tcPr>
            <w:tcW w:w="7600" w:type="dxa"/>
            <w:vAlign w:val="bottom"/>
            <w:gridSpan w:val="3"/>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50"/>
        </w:trPr>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 xml:space="preserve">Article X: </w:t>
            </w:r>
            <w:r>
              <w:rPr>
                <w:rFonts w:ascii="Courier New" w:cs="Courier New" w:eastAsia="Courier New" w:hAnsi="Courier New"/>
                <w:sz w:val="18"/>
                <w:szCs w:val="18"/>
                <w:color w:val="0000FF"/>
              </w:rPr>
              <w:t>AMENDMENT</w:t>
            </w:r>
          </w:p>
        </w:tc>
        <w:tc>
          <w:tcPr>
            <w:tcW w:w="8240" w:type="dxa"/>
            <w:vAlign w:val="bottom"/>
            <w:gridSpan w:val="5"/>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23"/>
        </w:trPr>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 xml:space="preserve">Article XI: </w:t>
            </w:r>
            <w:r>
              <w:rPr>
                <w:rFonts w:ascii="Courier New" w:cs="Courier New" w:eastAsia="Courier New" w:hAnsi="Courier New"/>
                <w:sz w:val="18"/>
                <w:szCs w:val="18"/>
                <w:color w:val="0000FF"/>
              </w:rPr>
              <w:t>EXCLUSIVE FORUM</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880"/>
          </w:cols>
          <w:pgMar w:left="400" w:top="1290" w:right="6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As Adopted December 9, 2022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Effective January 9,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40"/>
        <w:spacing w:after="0"/>
        <w:tabs>
          <w:tab w:leader="none" w:pos="5380" w:val="left"/>
        </w:tabs>
        <w:rPr>
          <w:sz w:val="20"/>
          <w:szCs w:val="20"/>
          <w:color w:val="auto"/>
        </w:rPr>
      </w:pPr>
      <w:r>
        <w:rPr>
          <w:rFonts w:ascii="Times New Roman" w:cs="Times New Roman" w:eastAsia="Times New Roman" w:hAnsi="Times New Roman"/>
          <w:sz w:val="22"/>
          <w:szCs w:val="22"/>
          <w:b w:val="1"/>
          <w:bCs w:val="1"/>
          <w:color w:val="auto"/>
        </w:rPr>
        <w:t>Article I:</w:t>
      </w:r>
      <w:r>
        <w:rPr>
          <w:sz w:val="20"/>
          <w:szCs w:val="20"/>
          <w:color w:val="auto"/>
        </w:rPr>
        <w:tab/>
      </w:r>
      <w:r>
        <w:rPr>
          <w:rFonts w:ascii="Times New Roman" w:cs="Times New Roman" w:eastAsia="Times New Roman" w:hAnsi="Times New Roman"/>
          <w:sz w:val="21"/>
          <w:szCs w:val="21"/>
          <w:b w:val="1"/>
          <w:bCs w:val="1"/>
          <w:color w:val="auto"/>
        </w:rPr>
        <w:t>STOCKHOLDERS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Annual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annual meeting of stockholders shall be held for the election of directors at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time as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GeneDx Holdings Corp.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shall each year fix. Annual meetings may be held either at a place, within or without the State of Delaware as permitted by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Special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meetings of stockholders for any purpose or purposes shall be called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set forth in the Certificate of Incorporation of the Corporation (as the same may be amended and/or restated from time to time,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Special meetings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Notice of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all meetings of stockholders shall be given in accordance with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(including, without limitation, as set forth in Section 7.1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4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1.4: </w:t>
      </w:r>
      <w:r>
        <w:rPr>
          <w:rFonts w:ascii="Times New Roman" w:cs="Times New Roman" w:eastAsia="Times New Roman" w:hAnsi="Times New Roman"/>
          <w:sz w:val="21"/>
          <w:szCs w:val="21"/>
          <w:b w:val="1"/>
          <w:bCs w:val="1"/>
          <w:u w:val="single" w:color="auto"/>
          <w:color w:val="auto"/>
        </w:rPr>
        <w:t>Adjournments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Section 1.5 of these Bylaws, the person presiding over the meeting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power to adjourn the meeting to another time, date and place (if any), regardless of whether a quorum is present, at any time and for any reason. Any meeting of stockholders, annual or special, may be adjourned from time to time (including an adjournment taken to address a technical failure to convene or continue a meeting using remote communication), and notice need not be given of any such adjourned meeting if the time, date and place (if any) thereof and the means of remote communication (if any) by which stockholders and proxy holders may be deemed to be present in person and vote at such adjourned meeting are</w:t>
      </w:r>
    </w:p>
    <w:p>
      <w:pPr>
        <w:spacing w:after="0" w:line="2" w:lineRule="exact"/>
        <w:rPr>
          <w:sz w:val="20"/>
          <w:szCs w:val="20"/>
          <w:color w:val="auto"/>
        </w:rPr>
      </w:pPr>
    </w:p>
    <w:p>
      <w:pPr>
        <w:jc w:val="both"/>
        <w:ind w:firstLine="8"/>
        <w:spacing w:after="0" w:line="212" w:lineRule="auto"/>
        <w:tabs>
          <w:tab w:leader="none" w:pos="26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if the adjournment is for more than thirty (30) days, a notice of the adjourned meeting shall be given to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 of record entitled to vote at</w:t>
      </w:r>
    </w:p>
    <w:p>
      <w:pPr>
        <w:sectPr>
          <w:pgSz w:w="11900" w:h="16838" w:orient="portrait"/>
          <w:cols w:equalWidth="0" w:num="1">
            <w:col w:w="11240"/>
          </w:cols>
          <w:pgMar w:left="320" w:top="1013" w:right="339" w:bottom="1440" w:gutter="0" w:footer="0" w:header="0"/>
        </w:sectPr>
      </w:pPr>
    </w:p>
    <w:bookmarkStart w:id="9" w:name="page10"/>
    <w:bookmarkEnd w:id="9"/>
    <w:p>
      <w:pPr>
        <w:jc w:val="both"/>
        <w:spacing w:after="0" w:line="221" w:lineRule="auto"/>
        <w:rPr>
          <w:sz w:val="20"/>
          <w:szCs w:val="20"/>
          <w:color w:val="auto"/>
        </w:rPr>
      </w:pPr>
      <w:r>
        <w:rPr>
          <w:rFonts w:ascii="Times New Roman" w:cs="Times New Roman" w:eastAsia="Times New Roman" w:hAnsi="Times New Roman"/>
          <w:sz w:val="21"/>
          <w:szCs w:val="21"/>
          <w:color w:val="auto"/>
        </w:rPr>
        <w:t>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Quorum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by applicable law, the Certificate of Incorporation or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A quorum, once established at a meeting, shall not be broken by the withdrawal of enough votes to leave less than a quorum.</w:t>
      </w:r>
    </w:p>
    <w:p>
      <w:pPr>
        <w:spacing w:after="0" w:line="15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b w:val="1"/>
          <w:bCs w:val="1"/>
          <w:u w:val="single" w:color="auto"/>
          <w:color w:val="auto"/>
        </w:rPr>
        <w:t>Organization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stockholders shall be presided over by (a) such person as the Board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1.7: </w:t>
      </w:r>
      <w:r>
        <w:rPr>
          <w:rFonts w:ascii="Times New Roman" w:cs="Times New Roman" w:eastAsia="Times New Roman" w:hAnsi="Times New Roman"/>
          <w:sz w:val="22"/>
          <w:szCs w:val="22"/>
          <w:b w:val="1"/>
          <w:bCs w:val="1"/>
          <w:u w:val="single" w:color="auto"/>
          <w:color w:val="auto"/>
        </w:rPr>
        <w:t>Voting; Proxies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stockholder of record entitled to vote at a meeting of stockholders may authorize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03" w:right="339" w:bottom="1440" w:gutter="0" w:footer="0" w:header="0"/>
        </w:sectPr>
      </w:pPr>
    </w:p>
    <w:bookmarkStart w:id="10" w:name="page11"/>
    <w:bookmarkEnd w:id="10"/>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exclusive use by the Board.</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b w:val="1"/>
          <w:bCs w:val="1"/>
          <w:u w:val="single" w:color="auto"/>
          <w:color w:val="auto"/>
        </w:rPr>
        <w:t>Fixing Date for Determination of Stockholders of Record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that the Corporation may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1.9: </w:t>
      </w:r>
      <w:r>
        <w:rPr>
          <w:rFonts w:ascii="Times New Roman" w:cs="Times New Roman" w:eastAsia="Times New Roman" w:hAnsi="Times New Roman"/>
          <w:sz w:val="22"/>
          <w:szCs w:val="22"/>
          <w:b w:val="1"/>
          <w:bCs w:val="1"/>
          <w:u w:val="single" w:color="auto"/>
          <w:color w:val="auto"/>
        </w:rPr>
        <w:t>List of Stockholders Entitled to Vote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prepare, no later than the tenth (10th)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each meeting of stockholders, a complete list of stockholders entitled to vote at the meeting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Section 1.9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either (a) on a reasonably accessible electronic network as permitted by applicable law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information required to gain access to the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1.9 or to vote in person or by proxy at any meeting of stockholders. Notwithstanding the foregoing, the Corporation may maintain and authorize examination of the list of stockholders in any manner expressly permitted by the DGCL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40"/>
          </w:cols>
          <w:pgMar w:left="320" w:top="100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1.10: </w:t>
      </w:r>
      <w:r>
        <w:rPr>
          <w:rFonts w:ascii="Times New Roman" w:cs="Times New Roman" w:eastAsia="Times New Roman" w:hAnsi="Times New Roman"/>
          <w:sz w:val="22"/>
          <w:szCs w:val="22"/>
          <w:b w:val="1"/>
          <w:bCs w:val="1"/>
          <w:u w:val="single" w:color="auto"/>
          <w:color w:val="auto"/>
        </w:rPr>
        <w:t>Inspectors of Elections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1.10.1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1.10.2 </w:t>
      </w: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1.10.3 </w:t>
      </w:r>
      <w:r>
        <w:rPr>
          <w:rFonts w:ascii="Times New Roman" w:cs="Times New Roman" w:eastAsia="Times New Roman" w:hAnsi="Times New Roman"/>
          <w:sz w:val="22"/>
          <w:szCs w:val="22"/>
          <w:u w:val="single" w:color="auto"/>
          <w:color w:val="auto"/>
        </w:rPr>
        <w:t>Inspector’s Oath</w:t>
      </w:r>
      <w:r>
        <w:rPr>
          <w:rFonts w:ascii="Times New Roman" w:cs="Times New Roman" w:eastAsia="Times New Roman" w:hAnsi="Times New Roman"/>
          <w:sz w:val="22"/>
          <w:szCs w:val="22"/>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1.10.4 </w:t>
      </w:r>
      <w:r>
        <w:rPr>
          <w:rFonts w:ascii="Times New Roman" w:cs="Times New Roman" w:eastAsia="Times New Roman" w:hAnsi="Times New Roman"/>
          <w:sz w:val="22"/>
          <w:szCs w:val="22"/>
          <w:u w:val="single" w:color="auto"/>
          <w:color w:val="auto"/>
        </w:rPr>
        <w:t>Duties of Inspectors</w:t>
      </w:r>
      <w:r>
        <w:rPr>
          <w:rFonts w:ascii="Times New Roman" w:cs="Times New Roman" w:eastAsia="Times New Roman" w:hAnsi="Times New Roman"/>
          <w:sz w:val="22"/>
          <w:szCs w:val="22"/>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1.10.5 </w:t>
      </w:r>
      <w:r>
        <w:rPr>
          <w:rFonts w:ascii="Times New Roman" w:cs="Times New Roman" w:eastAsia="Times New Roman" w:hAnsi="Times New Roman"/>
          <w:sz w:val="22"/>
          <w:szCs w:val="22"/>
          <w:u w:val="single" w:color="auto"/>
          <w:color w:val="auto"/>
        </w:rPr>
        <w:t>Opening and Closing of Polls</w:t>
      </w:r>
      <w:r>
        <w:rPr>
          <w:rFonts w:ascii="Times New Roman" w:cs="Times New Roman" w:eastAsia="Times New Roman" w:hAnsi="Times New Roman"/>
          <w:sz w:val="22"/>
          <w:szCs w:val="22"/>
          <w:color w:val="auto"/>
        </w:rPr>
        <w:t>.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5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1.10.6 </w:t>
      </w:r>
      <w:r>
        <w:rPr>
          <w:rFonts w:ascii="Times New Roman" w:cs="Times New Roman" w:eastAsia="Times New Roman" w:hAnsi="Times New Roman"/>
          <w:sz w:val="21"/>
          <w:szCs w:val="21"/>
          <w:u w:val="single" w:color="auto"/>
          <w:color w:val="auto"/>
        </w:rPr>
        <w:t>Determinations</w:t>
      </w:r>
      <w:r>
        <w:rPr>
          <w:rFonts w:ascii="Times New Roman" w:cs="Times New Roman" w:eastAsia="Times New Roman" w:hAnsi="Times New Roman"/>
          <w:sz w:val="21"/>
          <w:szCs w:val="21"/>
          <w:color w:val="auto"/>
        </w:rPr>
        <w:t>. In determining the validity and counting of proxies and ballots, the inspectors shall be limited to an examination of the proxies, any envelopes submitted with those proxies, any information provided pursuant to Section 211(a)</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9" w:right="339" w:bottom="1440" w:gutter="0" w:footer="0" w:header="0"/>
        </w:sectPr>
      </w:pPr>
    </w:p>
    <w:bookmarkStart w:id="12" w:name="page13"/>
    <w:bookmarkEnd w:id="12"/>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1.11: </w:t>
      </w:r>
      <w:r>
        <w:rPr>
          <w:rFonts w:ascii="Times New Roman" w:cs="Times New Roman" w:eastAsia="Times New Roman" w:hAnsi="Times New Roman"/>
          <w:sz w:val="21"/>
          <w:szCs w:val="21"/>
          <w:b w:val="1"/>
          <w:bCs w:val="1"/>
          <w:u w:val="single" w:color="auto"/>
          <w:color w:val="auto"/>
        </w:rPr>
        <w:t>Conduct of Meetings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adopt by resolution such rules and regulations for the conduct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or the Board shall determine, (d) restrictions on entry to the meeting after the time fixed for the commencement thereof,</w:t>
      </w:r>
    </w:p>
    <w:p>
      <w:pPr>
        <w:spacing w:after="0" w:line="5" w:lineRule="exact"/>
        <w:rPr>
          <w:sz w:val="20"/>
          <w:szCs w:val="20"/>
          <w:color w:val="auto"/>
        </w:rPr>
      </w:pPr>
    </w:p>
    <w:p>
      <w:pPr>
        <w:jc w:val="both"/>
        <w:ind w:firstLine="8"/>
        <w:spacing w:after="0" w:line="218" w:lineRule="auto"/>
        <w:tabs>
          <w:tab w:leader="none" w:pos="32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limitations on the time allotted to questions or comments by participants, (f) restricting the use of audio/video recording devices and cell phones, (g)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 (defined below).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b w:val="1"/>
          <w:bCs w:val="1"/>
          <w:u w:val="single" w:color="auto"/>
          <w:color w:val="auto"/>
        </w:rPr>
        <w:t>Notice of Stockholder Business; Nominations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u w:val="single" w:color="auto"/>
          <w:color w:val="auto"/>
        </w:rPr>
        <w:t>Annual Meeting of Stockholders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1" w:lineRule="auto"/>
        <w:tabs>
          <w:tab w:leader="none" w:pos="1293"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21"/>
          <w:szCs w:val="21"/>
          <w:b w:val="1"/>
          <w:bCs w:val="1"/>
          <w:i w:val="1"/>
          <w:iCs w:val="1"/>
          <w:color w:val="auto"/>
        </w:rPr>
        <w:t>Record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 who is entitled to vote at such meeting and who complies with the notice and other procedures set forth in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at an annual meeting of stockholders, and such stockholder must fully comply with the notice and other procedures set forth in this Section 1.12 to make such nominations or propose business before an annual meeting.</w:t>
      </w:r>
    </w:p>
    <w:p>
      <w:pPr>
        <w:spacing w:after="0" w:line="152"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Record Stockholder pursuant to Section 1.12.1(a) of these Bylaws: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99" w:right="339" w:bottom="1440" w:gutter="0" w:footer="0" w:header="0"/>
        </w:sectPr>
      </w:pPr>
    </w:p>
    <w:bookmarkStart w:id="13" w:name="page14"/>
    <w:bookmarkEnd w:id="13"/>
    <w:p>
      <w:pPr>
        <w:ind w:firstLine="1304"/>
        <w:spacing w:after="0" w:line="236" w:lineRule="auto"/>
        <w:tabs>
          <w:tab w:leader="none" w:pos="19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business (other than the nomination of persons for election to the Board) must otherwise be a proper matter for stockholder action;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 Proposing Person (as defined below) has provided the Corporation with a Solicitation Notice (as defined below), in the case of a proposal other than the nomination of persons for election to the Board, such Proposing Person must have delivered a proxy statement and form of proxy to holders of at least the percentage of the Corporation’s voting shares required under applicable law to carry any such proposal and must have included in such materials the Solicitation Notice, or (B) if the Proposing Person has delivered a notice of nomination or nominations, such Proposing Person must certify to the Corporation in writing, that it has complied with and will comply with the requirements of Rule 14a-19 promulgated under the Exchange Act, if applicable, and the Proposing Person shall deliver, no later than five (5) business days prior to the annual meeting or any adjournment, rescheduling, postponement or other delay thereof, reasonable evidence that it has complied with such requirements; and</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10000"/>
        </w:rPr>
        <w:t xml:space="preserve">in the case of a proposal other than the nomination of persons for election to the Board, </w:t>
      </w:r>
      <w:r>
        <w:rPr>
          <w:rFonts w:ascii="Times New Roman" w:cs="Times New Roman" w:eastAsia="Times New Roman" w:hAnsi="Times New Roman"/>
          <w:sz w:val="22"/>
          <w:szCs w:val="22"/>
          <w:color w:val="000000"/>
        </w:rPr>
        <w:t>if no Solicitation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Notice relating thereto has been timely provided pursuant to this Section 1.12, the Proposing Person proposing such business must not have solicited a number of proxies sufficient to have required the delivery of such a Solicitation Notice under this Section 1.12.</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To be timely, (i)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in the event that the date of the annual meeting is more than thirty (30) days before or more than sixty</w:t>
      </w:r>
    </w:p>
    <w:p>
      <w:pPr>
        <w:spacing w:after="0" w:line="3" w:lineRule="exact"/>
        <w:rPr>
          <w:sz w:val="20"/>
          <w:szCs w:val="20"/>
          <w:color w:val="auto"/>
        </w:rPr>
      </w:pPr>
    </w:p>
    <w:p>
      <w:pPr>
        <w:jc w:val="both"/>
        <w:ind w:firstLine="8"/>
        <w:spacing w:after="0" w:line="206" w:lineRule="auto"/>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such anniversary date, or if no annual meeting was held in the preceding year,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(ii) </w:t>
      </w:r>
      <w:r>
        <w:rPr>
          <w:rFonts w:ascii="Times New Roman" w:cs="Times New Roman" w:eastAsia="Times New Roman" w:hAnsi="Times New Roman"/>
          <w:sz w:val="22"/>
          <w:szCs w:val="22"/>
          <w:color w:val="010000"/>
        </w:rPr>
        <w:t>in the case of a proposal for the nomination of persons for election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000"/>
        </w:rPr>
        <w:t xml:space="preserve">the Board, </w:t>
      </w:r>
      <w:r>
        <w:rPr>
          <w:rFonts w:ascii="Times New Roman" w:cs="Times New Roman" w:eastAsia="Times New Roman" w:hAnsi="Times New Roman"/>
          <w:sz w:val="22"/>
          <w:szCs w:val="22"/>
          <w:color w:val="000000"/>
        </w:rPr>
        <w:t>the Record Stockholder shall have complied in all respects with the requirements of Section 14 of the Exchange Act,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including, without limitation, if applicable, the requirements of Rule 14a-19 (as such rule and regulations may be amended from time to time by the Securities and Exchange Commission, including any Securities and Exchange Commission Staff interpretations relating thereto) and (iii) </w:t>
      </w:r>
      <w:r>
        <w:rPr>
          <w:rFonts w:ascii="Times New Roman" w:cs="Times New Roman" w:eastAsia="Times New Roman" w:hAnsi="Times New Roman"/>
          <w:sz w:val="22"/>
          <w:szCs w:val="22"/>
          <w:color w:val="010000"/>
        </w:rPr>
        <w:t>in the case of a proposal for the nomination of persons for election to the Board,</w:t>
      </w:r>
      <w:r>
        <w:rPr>
          <w:rFonts w:ascii="Times New Roman" w:cs="Times New Roman" w:eastAsia="Times New Roman" w:hAnsi="Times New Roman"/>
          <w:sz w:val="22"/>
          <w:szCs w:val="22"/>
          <w:color w:val="000000"/>
        </w:rPr>
        <w:t xml:space="preserve"> the Board or an executive officer designated thereby shall have determined that the Record Stockholder has satisfied the requirements of this Section 1.12. In no event shall an adjournment, postponement or rescheduling (or the Public Announcement thereof) of an annual meeting for which notice has been given or a Public Announcement of the meeting date has been made commence a new time period (or extend any time period) for providing the Record Stockholder’s notice. Notwithstanding anything in this Section 1.12.1 to the contrary, in the event that the number of directors to be elected to the Board at an annual meeting is increased and there is no Public Announcement by the Corporation naming all of the nominees for director or specifying the size of the increased Board made by the Corporation at least ten (10) days prior to the last day a stockholder may deliver a notice in accordance with the first sentence of this paragraph, a stockholder’s notice required by this Section 1.12.1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3" w:right="339" w:bottom="1440" w:gutter="0" w:footer="0" w:header="0"/>
        </w:sectPr>
      </w:pPr>
    </w:p>
    <w:bookmarkStart w:id="14" w:name="page15"/>
    <w:bookmarkEnd w:id="14"/>
    <w:p>
      <w:pPr>
        <w:ind w:left="-656" w:firstLine="656"/>
        <w:spacing w:after="0" w:line="236" w:lineRule="auto"/>
        <w:tabs>
          <w:tab w:leader="none" w:pos="63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Record Stockholder proposes to nominate for election or reelection as a director, in addition to the matters set forth in paragraph (e) below, such Record Stockholder’s notice shall set forth:</w:t>
      </w:r>
    </w:p>
    <w:p>
      <w:pPr>
        <w:spacing w:after="0" w:line="163"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business address and residence address of such person;</w:t>
      </w:r>
    </w:p>
    <w:p>
      <w:pPr>
        <w:spacing w:after="0" w:line="219"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occupation or employment of such nominee;</w:t>
      </w:r>
    </w:p>
    <w:p>
      <w:pPr>
        <w:spacing w:after="0" w:line="206" w:lineRule="exact"/>
        <w:rPr>
          <w:rFonts w:ascii="Times New Roman" w:cs="Times New Roman" w:eastAsia="Times New Roman" w:hAnsi="Times New Roman"/>
          <w:sz w:val="22"/>
          <w:szCs w:val="22"/>
          <w:color w:val="auto"/>
        </w:rPr>
      </w:pPr>
    </w:p>
    <w:p>
      <w:pPr>
        <w:ind w:left="4" w:firstLine="644"/>
        <w:spacing w:after="0" w:line="258" w:lineRule="auto"/>
        <w:tabs>
          <w:tab w:leader="none" w:pos="121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any shares of stock of the Corporation that are beneficially owned or owned of record by such person or any Associated Person (as defined in Section 1.12.4(c));</w:t>
      </w:r>
    </w:p>
    <w:p>
      <w:pPr>
        <w:spacing w:after="0" w:line="171"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such shares were acquired and the investment intent of such acquisition;</w:t>
      </w:r>
    </w:p>
    <w:p>
      <w:pPr>
        <w:spacing w:after="0" w:line="206"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13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38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person’s written consent to being named as a nominee in any proxy materials relating to the Corporation’s next meeting, to the public disclosure of information regarding or related to such person provided to the Corporation by such person or otherwise pursuant to this Section 1.12 and to serving as a director if elected;</w:t>
      </w:r>
    </w:p>
    <w:p>
      <w:pPr>
        <w:spacing w:after="0" w:line="186" w:lineRule="exact"/>
        <w:rPr>
          <w:rFonts w:ascii="Times New Roman" w:cs="Times New Roman" w:eastAsia="Times New Roman" w:hAnsi="Times New Roman"/>
          <w:sz w:val="22"/>
          <w:szCs w:val="22"/>
          <w:color w:val="auto"/>
        </w:rPr>
      </w:pPr>
    </w:p>
    <w:p>
      <w:pPr>
        <w:ind w:left="4" w:right="20" w:firstLine="644"/>
        <w:spacing w:after="0" w:line="258" w:lineRule="auto"/>
        <w:tabs>
          <w:tab w:leader="none" w:pos="146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person meets the independence requirements of the stock exchange upon which the Corporation’s Common Stock is primarily traded;</w:t>
      </w:r>
    </w:p>
    <w:p>
      <w:pPr>
        <w:spacing w:after="0" w:line="171" w:lineRule="exact"/>
        <w:rPr>
          <w:rFonts w:ascii="Times New Roman" w:cs="Times New Roman" w:eastAsia="Times New Roman" w:hAnsi="Times New Roman"/>
          <w:sz w:val="22"/>
          <w:szCs w:val="22"/>
          <w:color w:val="auto"/>
        </w:rPr>
      </w:pPr>
    </w:p>
    <w:p>
      <w:pPr>
        <w:jc w:val="both"/>
        <w:ind w:left="4" w:firstLine="644"/>
        <w:spacing w:after="0" w:line="239" w:lineRule="auto"/>
        <w:tabs>
          <w:tab w:leader="none" w:pos="16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w:t>
      </w:r>
    </w:p>
    <w:p>
      <w:pPr>
        <w:spacing w:after="0" w:line="180" w:lineRule="exact"/>
        <w:rPr>
          <w:rFonts w:ascii="Times New Roman" w:cs="Times New Roman" w:eastAsia="Times New Roman" w:hAnsi="Times New Roman"/>
          <w:sz w:val="22"/>
          <w:szCs w:val="22"/>
          <w:color w:val="auto"/>
        </w:rPr>
      </w:pPr>
    </w:p>
    <w:p>
      <w:pPr>
        <w:ind w:left="4" w:firstLine="644"/>
        <w:spacing w:after="0" w:line="271" w:lineRule="auto"/>
        <w:tabs>
          <w:tab w:leader="none" w:pos="122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position of such person as an officer or director of any Competitor (as defined below) within the three years preceding the submission of the notice;</w:t>
      </w:r>
    </w:p>
    <w:p>
      <w:pPr>
        <w:spacing w:after="0" w:line="144" w:lineRule="exact"/>
        <w:rPr>
          <w:rFonts w:ascii="Times New Roman" w:cs="Times New Roman" w:eastAsia="Times New Roman" w:hAnsi="Times New Roman"/>
          <w:sz w:val="22"/>
          <w:szCs w:val="22"/>
          <w:color w:val="auto"/>
        </w:rPr>
      </w:pPr>
    </w:p>
    <w:p>
      <w:pPr>
        <w:ind w:left="4" w:firstLine="644"/>
        <w:spacing w:after="0" w:line="271" w:lineRule="auto"/>
        <w:tabs>
          <w:tab w:leader="none" w:pos="95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business or personal interests that could place such person in a potential conflict of interest with the Corporation or any of its subsidiaries; and</w:t>
      </w:r>
    </w:p>
    <w:p>
      <w:pPr>
        <w:spacing w:after="0" w:line="144"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completed and signed questionnaires, representations and agreements required by Section 1.12.2 of these</w:t>
      </w:r>
    </w:p>
    <w:p>
      <w:pPr>
        <w:spacing w:after="0" w:line="25"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3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976" w:top="1003" w:right="339" w:bottom="1440" w:gutter="0" w:footer="0" w:header="0"/>
        </w:sectPr>
      </w:pPr>
    </w:p>
    <w:bookmarkStart w:id="15" w:name="page16"/>
    <w:bookmarkEnd w:id="15"/>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193" w:lineRule="exact"/>
        <w:rPr>
          <w:sz w:val="20"/>
          <w:szCs w:val="20"/>
          <w:color w:val="auto"/>
        </w:rPr>
      </w:pPr>
    </w:p>
    <w:p>
      <w:pPr>
        <w:jc w:val="both"/>
        <w:ind w:firstLine="656"/>
        <w:spacing w:after="0" w:line="225"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65" w:lineRule="exact"/>
        <w:rPr>
          <w:rFonts w:ascii="Times New Roman" w:cs="Times New Roman" w:eastAsia="Times New Roman" w:hAnsi="Times New Roman"/>
          <w:sz w:val="22"/>
          <w:szCs w:val="22"/>
          <w:color w:val="auto"/>
        </w:rPr>
      </w:pPr>
    </w:p>
    <w:p>
      <w:pPr>
        <w:jc w:val="both"/>
        <w:ind w:left="660" w:firstLine="644"/>
        <w:spacing w:after="0"/>
        <w:tabs>
          <w:tab w:leader="none" w:pos="185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giving the notice, such Record Stockholder’s notice shall set forth:</w:t>
      </w:r>
    </w:p>
    <w:p>
      <w:pPr>
        <w:spacing w:after="0" w:line="192"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78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name and address of such Proposing Person, including, if applicable, their name and address as they appear on the Corporation’s stock ledger, if different;</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181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 and (2) a certification regarding whether such Proposing Person, if any, has complied with all applicable federal, state and other legal requirements in connection with such Proposing Person’s acquisition of shares of capital stock or other securities of the Corporation and/or such Proposing Person’s acts or omissions as a stockholder of the Corporation;</w:t>
      </w:r>
    </w:p>
    <w:p>
      <w:pPr>
        <w:spacing w:after="0" w:line="190"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88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and the extent to which (x)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cs="Times New Roman" w:eastAsia="Times New Roman" w:hAnsi="Times New Roman"/>
          <w:sz w:val="22"/>
          <w:szCs w:val="22"/>
          <w:b w:val="1"/>
          <w:bCs w:val="1"/>
          <w:i w:val="1"/>
          <w:iCs w:val="1"/>
          <w:color w:val="auto"/>
        </w:rPr>
        <w:t>Derivative Instrument</w:t>
      </w:r>
      <w:r>
        <w:rPr>
          <w:rFonts w:ascii="Times New Roman" w:cs="Times New Roman" w:eastAsia="Times New Roman" w:hAnsi="Times New Roman"/>
          <w:sz w:val="22"/>
          <w:szCs w:val="22"/>
          <w:color w:val="auto"/>
        </w:rPr>
        <w:t>”), as well as any rights to dividends on the shares of any class or series of shares of the Corporation that are separated or separable from the underlying shares of the Corporation) or (y) any short interest in any security of the Corporation (for purposes of this Bylaw a person shall be deemed to have a short interest in a security if such person directly or indirectly, through any contract, arrangement, understanding, relationship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rPr>
          <w:sz w:val="20"/>
          <w:szCs w:val="20"/>
          <w:color w:val="auto"/>
        </w:rPr>
      </w:pPr>
      <w:r>
        <w:rPr>
          <w:rFonts w:ascii="Times New Roman" w:cs="Times New Roman" w:eastAsia="Times New Roman" w:hAnsi="Times New Roman"/>
          <w:sz w:val="22"/>
          <w:szCs w:val="22"/>
          <w:color w:val="auto"/>
        </w:rPr>
        <w:t>otherwise, has the opportunity to profit or share in any profit derived from any increase or decrease in the value of the subject security, including through performance-related fees),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cs="Times New Roman" w:eastAsia="Times New Roman" w:hAnsi="Times New Roman"/>
          <w:sz w:val="22"/>
          <w:szCs w:val="22"/>
          <w:b w:val="1"/>
          <w:bCs w:val="1"/>
          <w:i w:val="1"/>
          <w:iCs w:val="1"/>
          <w:color w:val="auto"/>
        </w:rPr>
        <w:t>Short Interest</w:t>
      </w:r>
      <w:r>
        <w:rPr>
          <w:rFonts w:ascii="Times New Roman" w:cs="Times New Roman" w:eastAsia="Times New Roman" w:hAnsi="Times New Roman"/>
          <w:sz w:val="22"/>
          <w:szCs w:val="22"/>
          <w:color w:val="auto"/>
        </w:rPr>
        <w:t>”) is held directly or indirectly by or for the benefit of such Proposing Person;</w:t>
      </w:r>
    </w:p>
    <w:p>
      <w:pPr>
        <w:spacing w:after="0" w:line="177" w:lineRule="exact"/>
        <w:rPr>
          <w:sz w:val="20"/>
          <w:szCs w:val="20"/>
          <w:color w:val="auto"/>
        </w:rPr>
      </w:pPr>
    </w:p>
    <w:p>
      <w:pPr>
        <w:jc w:val="both"/>
        <w:ind w:firstLine="644"/>
        <w:spacing w:after="0" w:line="244" w:lineRule="auto"/>
        <w:tabs>
          <w:tab w:leader="none" w:pos="119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86" w:lineRule="exact"/>
        <w:rPr>
          <w:rFonts w:ascii="Times New Roman" w:cs="Times New Roman" w:eastAsia="Times New Roman" w:hAnsi="Times New Roman"/>
          <w:sz w:val="22"/>
          <w:szCs w:val="22"/>
          <w:color w:val="auto"/>
        </w:rPr>
      </w:pPr>
    </w:p>
    <w:p>
      <w:pPr>
        <w:jc w:val="both"/>
        <w:ind w:firstLine="644"/>
        <w:spacing w:after="0" w:line="250" w:lineRule="auto"/>
        <w:tabs>
          <w:tab w:leader="none" w:pos="12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material interest in any material contract or agreement with the Corporation, any affiliate of the Corporation or any Competitor (including, in any such case, any employment agreement, collective bargaining agreement or consulting agreement);</w:t>
      </w:r>
    </w:p>
    <w:p>
      <w:pPr>
        <w:spacing w:after="0" w:line="167" w:lineRule="exact"/>
        <w:rPr>
          <w:rFonts w:ascii="Times New Roman" w:cs="Times New Roman" w:eastAsia="Times New Roman" w:hAnsi="Times New Roman"/>
          <w:sz w:val="22"/>
          <w:szCs w:val="22"/>
          <w:color w:val="auto"/>
        </w:rPr>
      </w:pPr>
    </w:p>
    <w:p>
      <w:pPr>
        <w:ind w:firstLine="644"/>
        <w:spacing w:after="0" w:line="258" w:lineRule="auto"/>
        <w:tabs>
          <w:tab w:leader="none" w:pos="123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significant equity interests or any Derivative Instruments or Short Interests in any Competitor held by such Proposing Person and/or any of its respective affiliates or associates;</w:t>
      </w:r>
    </w:p>
    <w:p>
      <w:pPr>
        <w:spacing w:after="0" w:line="171" w:lineRule="exact"/>
        <w:rPr>
          <w:rFonts w:ascii="Times New Roman" w:cs="Times New Roman" w:eastAsia="Times New Roman" w:hAnsi="Times New Roman"/>
          <w:sz w:val="22"/>
          <w:szCs w:val="22"/>
          <w:color w:val="auto"/>
        </w:rPr>
      </w:pPr>
    </w:p>
    <w:p>
      <w:pPr>
        <w:ind w:firstLine="644"/>
        <w:spacing w:after="0" w:line="258" w:lineRule="auto"/>
        <w:tabs>
          <w:tab w:leader="none" w:pos="127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relationship between such Proposing Person, on the one hand, and the Corporation, any affiliate of the Corporation or any Competitor, on the other hand;</w:t>
      </w:r>
    </w:p>
    <w:p>
      <w:pPr>
        <w:spacing w:after="0" w:line="171" w:lineRule="exact"/>
        <w:rPr>
          <w:rFonts w:ascii="Times New Roman" w:cs="Times New Roman" w:eastAsia="Times New Roman" w:hAnsi="Times New Roman"/>
          <w:sz w:val="22"/>
          <w:szCs w:val="22"/>
          <w:color w:val="auto"/>
        </w:rPr>
      </w:pPr>
    </w:p>
    <w:p>
      <w:pPr>
        <w:jc w:val="both"/>
        <w:ind w:firstLine="644"/>
        <w:spacing w:after="0" w:line="244" w:lineRule="auto"/>
        <w:tabs>
          <w:tab w:leader="none" w:pos="131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72" w:lineRule="exact"/>
        <w:rPr>
          <w:rFonts w:ascii="Times New Roman" w:cs="Times New Roman" w:eastAsia="Times New Roman" w:hAnsi="Times New Roman"/>
          <w:sz w:val="22"/>
          <w:szCs w:val="22"/>
          <w:color w:val="auto"/>
        </w:rPr>
      </w:pPr>
    </w:p>
    <w:p>
      <w:pPr>
        <w:jc w:val="both"/>
        <w:ind w:firstLine="644"/>
        <w:spacing w:after="0" w:line="244" w:lineRule="auto"/>
        <w:tabs>
          <w:tab w:leader="none" w:pos="126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proxy materials or other filings required to be made in connection with solicitations of proxies or consents by such Proposing Person in support of the business or nomination proposed to be brought before the meeting pursuant to Section 14(a) (or any successor provision) under the Exchange Act and the rules and regulations thereunder;</w:t>
      </w:r>
    </w:p>
    <w:p>
      <w:pPr>
        <w:spacing w:after="0" w:line="186" w:lineRule="exact"/>
        <w:rPr>
          <w:rFonts w:ascii="Times New Roman" w:cs="Times New Roman" w:eastAsia="Times New Roman" w:hAnsi="Times New Roman"/>
          <w:sz w:val="22"/>
          <w:szCs w:val="22"/>
          <w:color w:val="auto"/>
        </w:rPr>
      </w:pPr>
    </w:p>
    <w:p>
      <w:pPr>
        <w:ind w:right="20" w:firstLine="644"/>
        <w:spacing w:after="0" w:line="258" w:lineRule="auto"/>
        <w:tabs>
          <w:tab w:leader="none" w:pos="114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Proposing Person’s written consent to the public disclosure of information provided to the Corporation pursuant to this Section 1.12;</w:t>
      </w:r>
    </w:p>
    <w:p>
      <w:pPr>
        <w:spacing w:after="0" w:line="171" w:lineRule="exact"/>
        <w:rPr>
          <w:rFonts w:ascii="Times New Roman" w:cs="Times New Roman" w:eastAsia="Times New Roman" w:hAnsi="Times New Roman"/>
          <w:sz w:val="22"/>
          <w:szCs w:val="22"/>
          <w:color w:val="auto"/>
        </w:rPr>
      </w:pPr>
    </w:p>
    <w:p>
      <w:pPr>
        <w:jc w:val="both"/>
        <w:ind w:firstLine="644"/>
        <w:spacing w:after="0" w:line="244" w:lineRule="auto"/>
        <w:tabs>
          <w:tab w:leader="none" w:pos="119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580"/>
          </w:cols>
          <w:pgMar w:left="980" w:top="1017" w:right="339" w:bottom="1440" w:gutter="0" w:footer="0" w:header="0"/>
        </w:sectPr>
      </w:pPr>
    </w:p>
    <w:bookmarkStart w:id="17" w:name="page18"/>
    <w:bookmarkEnd w:id="17"/>
    <w:p>
      <w:pPr>
        <w:jc w:val="both"/>
        <w:ind w:left="660" w:firstLine="644"/>
        <w:spacing w:after="0" w:line="250" w:lineRule="auto"/>
        <w:tabs>
          <w:tab w:leader="none" w:pos="197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Record Stockholder is a holder of record of stock of the Corporation entitled to vote at such meeting and intends to appear in person (including virtually in the case of a meeting conducted solely by means of remote communication) or by proxy at the meeting to propose such business or nomination;</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201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proposal other than the nomination of persons for election to the Board, a representation whether such Proposing Person intends (or is part of a group that intends) to deliver a proxy statement or form of proxy to holders of at least the percentage of the Corporation’s voting shares required under applicable law to carry the proposal (an affirmative statement of such intent being a “</w:t>
      </w:r>
      <w:r>
        <w:rPr>
          <w:rFonts w:ascii="Times New Roman" w:cs="Times New Roman" w:eastAsia="Times New Roman" w:hAnsi="Times New Roman"/>
          <w:sz w:val="22"/>
          <w:szCs w:val="22"/>
          <w:b w:val="1"/>
          <w:bCs w:val="1"/>
          <w:i w:val="1"/>
          <w:iCs w:val="1"/>
          <w:color w:val="auto"/>
        </w:rPr>
        <w:t>Solicitation Notice</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9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or nominations, a representation that such Proposing Person intends to solicit the holders of shares representing at least 67% of the voting power of the shares entitled to vote on the election of directors in support of director nominees other than the Corporation’s nominees in accordance with Rule 14a-19, and the name of each participant (as defined in Item 4 of Exchange Act Schedule 14A) in such solicitation;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and accurate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and</w:t>
      </w:r>
    </w:p>
    <w:p>
      <w:pPr>
        <w:spacing w:after="0" w:line="163" w:lineRule="exact"/>
        <w:rPr>
          <w:rFonts w:ascii="Times New Roman" w:cs="Times New Roman" w:eastAsia="Times New Roman" w:hAnsi="Times New Roman"/>
          <w:sz w:val="21"/>
          <w:szCs w:val="21"/>
          <w:color w:val="auto"/>
        </w:rPr>
      </w:pPr>
    </w:p>
    <w:p>
      <w:pPr>
        <w:ind w:left="660" w:firstLine="644"/>
        <w:spacing w:after="0" w:line="258" w:lineRule="auto"/>
        <w:tabs>
          <w:tab w:leader="none" w:pos="203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proxy, contract, arrangement, or relationship pursuant to which the Proposing Person has a right to vote, directly or indirectly, any shares of any security of the Corporation.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1240"/>
          </w:cols>
          <w:pgMar w:left="320" w:top="1017" w:right="339" w:bottom="1440" w:gutter="0" w:footer="0" w:header="0"/>
        </w:sectPr>
      </w:pPr>
    </w:p>
    <w:bookmarkStart w:id="18" w:name="page19"/>
    <w:bookmarkEnd w:id="18"/>
    <w:p>
      <w:pPr>
        <w:jc w:val="both"/>
        <w:ind w:left="-656" w:firstLine="656"/>
        <w:spacing w:after="0" w:line="207"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Stockholder providing written notice required by this Section 1.12 shall update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postponement or rescheduling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or postponed). Notwithstanding the foregoing, if a Proposing Person no longer plans to solicit proxies in accordance with its representation pursuant to Section 1.12.1(e)(xiv), the Record Stockholder shall inform the Corporation of this change by delivering a writing to the Secretary at the principal executive offices of the Corporation no later than two (2) business days after the occurrence of such change. A Record Stockholder shall also update its notice so that the information required by Section 1.12.1(e)(viii)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Section 1.12.1(e)(viii). For the avoidance of doubt, the obligation to update as set forth in this paragraph shall not limit the Corporation’s rights with respect to any deficiencies in any notice provided by a Record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Record Stockholder providing written notice required by this Section 1.12 fails to provide any written update in accordance with this Section 1.12, the information as to which such written update relates may be deemed not to have been provided in accordance with these Bylaws.</w:t>
      </w:r>
    </w:p>
    <w:p>
      <w:pPr>
        <w:spacing w:after="0" w:line="161" w:lineRule="exact"/>
        <w:rPr>
          <w:rFonts w:ascii="Times New Roman" w:cs="Times New Roman" w:eastAsia="Times New Roman" w:hAnsi="Times New Roman"/>
          <w:sz w:val="22"/>
          <w:szCs w:val="22"/>
          <w:color w:val="auto"/>
        </w:rPr>
      </w:pPr>
    </w:p>
    <w:p>
      <w:pPr>
        <w:jc w:val="both"/>
        <w:ind w:left="-656" w:firstLine="656"/>
        <w:spacing w:after="0" w:line="209" w:lineRule="auto"/>
        <w:tabs>
          <w:tab w:leader="none" w:pos="63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information submitted pursuant to this Section 1.12 is inaccurate or incomplete in any material respect (as determined by the Board or a committee thereof), such information shall be deemed not to have been provided in accordance with these Bylaws. A Record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Record Stockholder. Upon written request of the Secretary on behalf of the Board (or a duly authorized committee thereof), the Record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Record Stockholder fails to provide such written verification or affirmation within such period, the information as to which written verification or affirmation was requested may be deemed not to have been provided in accordance with these Bylaws.</w:t>
      </w:r>
    </w:p>
    <w:p>
      <w:pPr>
        <w:spacing w:after="0" w:line="160" w:lineRule="exact"/>
        <w:rPr>
          <w:rFonts w:ascii="Times New Roman" w:cs="Times New Roman" w:eastAsia="Times New Roman" w:hAnsi="Times New Roman"/>
          <w:sz w:val="22"/>
          <w:szCs w:val="22"/>
          <w:color w:val="auto"/>
        </w:rPr>
      </w:pPr>
    </w:p>
    <w:p>
      <w:pPr>
        <w:jc w:val="both"/>
        <w:ind w:left="-656" w:firstLine="656"/>
        <w:spacing w:after="0" w:line="236" w:lineRule="auto"/>
        <w:tabs>
          <w:tab w:leader="none" w:pos="63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976" w:top="1003" w:right="339" w:bottom="1440" w:gutter="0" w:footer="0" w:header="0"/>
        </w:sectPr>
      </w:pPr>
    </w:p>
    <w:bookmarkStart w:id="19" w:name="page20"/>
    <w:bookmarkEnd w:id="19"/>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nominated or be qualified to serve as a member of the Board, absent a prior waiver for such nomination or qualification approved by two-thirds of the Whole Board.</w:t>
      </w:r>
    </w:p>
    <w:p>
      <w:pPr>
        <w:spacing w:after="0" w:line="15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1.12.2 </w:t>
      </w:r>
      <w:r>
        <w:rPr>
          <w:rFonts w:ascii="Times New Roman" w:cs="Times New Roman" w:eastAsia="Times New Roman" w:hAnsi="Times New Roman"/>
          <w:sz w:val="21"/>
          <w:szCs w:val="21"/>
          <w:u w:val="single" w:color="auto"/>
          <w:color w:val="auto"/>
        </w:rPr>
        <w:t>Submission of Questionnaire, Representation and Agreement</w:t>
      </w:r>
      <w:r>
        <w:rPr>
          <w:rFonts w:ascii="Times New Roman" w:cs="Times New Roman" w:eastAsia="Times New Roman" w:hAnsi="Times New Roman"/>
          <w:sz w:val="21"/>
          <w:szCs w:val="21"/>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all completed and signed questionnaires in the forms required by the Corporation (which form the stockholder shall request in writing from the Secretary of the Corporation and which the Secretary shall provide to such stockholder within ten (10)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1"/>
          <w:szCs w:val="21"/>
          <w:b w:val="1"/>
          <w:bCs w:val="1"/>
          <w:i w:val="1"/>
          <w:iCs w:val="1"/>
          <w:color w:val="auto"/>
        </w:rPr>
        <w:t>Voting Commitment</w:t>
      </w:r>
      <w:r>
        <w:rPr>
          <w:rFonts w:ascii="Times New Roman" w:cs="Times New Roman" w:eastAsia="Times New Roman" w:hAnsi="Times New Roman"/>
          <w:sz w:val="21"/>
          <w:szCs w:val="21"/>
          <w:color w:val="auto"/>
        </w:rPr>
        <w:t>”) that has not been disclosed to the Corporation or</w:t>
      </w:r>
    </w:p>
    <w:p>
      <w:pPr>
        <w:spacing w:after="0" w:line="9" w:lineRule="exact"/>
        <w:rPr>
          <w:sz w:val="20"/>
          <w:szCs w:val="20"/>
          <w:color w:val="auto"/>
        </w:rPr>
      </w:pPr>
    </w:p>
    <w:p>
      <w:pPr>
        <w:jc w:val="both"/>
        <w:ind w:firstLine="8"/>
        <w:spacing w:after="0" w:line="217" w:lineRule="auto"/>
        <w:tabs>
          <w:tab w:leader="none" w:pos="34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any proxy materials relating to the Corporation’s next meeting and agrees to serve if elected as a director, (g) intends to serve as a director for the full term for which such individual is to stand for election, (h) represents and warrants that his or her candidacy or, if elected, Board membership, would not violate applicable state or federal law, the Certificate of Incorporation, these Bylaws, or the rules of any stock exchange on which shares of the Corporation’s Common Stock are traded, and (i)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5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1.12.3 </w:t>
      </w: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(A)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1240"/>
          </w:cols>
          <w:pgMar w:left="320" w:top="1003"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the Board to be elected at such meeting, (B) </w:t>
      </w:r>
      <w:r>
        <w:rPr>
          <w:rFonts w:ascii="Times New Roman" w:cs="Times New Roman" w:eastAsia="Times New Roman" w:hAnsi="Times New Roman"/>
          <w:sz w:val="21"/>
          <w:szCs w:val="21"/>
          <w:color w:val="010000"/>
        </w:rPr>
        <w:t>the stockholder</w:t>
      </w:r>
      <w:r>
        <w:rPr>
          <w:rFonts w:ascii="Times New Roman" w:cs="Times New Roman" w:eastAsia="Times New Roman" w:hAnsi="Times New Roman"/>
          <w:sz w:val="21"/>
          <w:szCs w:val="21"/>
          <w:color w:val="auto"/>
        </w:rPr>
        <w:t xml:space="preserve"> has complied in all respects with the requirements of Section 14 of the Exchange Act, including, without limitation, if applicable, the requirements of Rule 14a-19 (as such rule and regulations may be amended from time to time by the Securities and Exchange Commission, including any Securities and Exchange Staff interpretations relating thereto) and (C) the Board or an executive officer designated thereby has determined that the stockholder has satisfied the requirements of Section 1.12. In no event shall an adjournment, postponement or rescheduling (or the Public Announcement thereof) of a special meeting commence a new time period (or extend any time period) for providing such notice.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1.12.4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The number of nominees a stockholder may nominate for election at a meeting of stockholders (or in the case of a Record Stockholder giving the notice on behalf of another Proposing Person, the number of nominees a stockholder may nominate for election at the meeting on behalf of such Proposing Person) shall not exceed the number of directors to be elected at such meeting.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(including satisfying the information requirements set forth herein with accurate and complete information) and, if any proposed nomination or business is not in compliance herewith, to declare that such defective proposal or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(and any such nominee shall be disqualified).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If a stockholder has given timely notice as required herein to make a nomination or bring a proposal of other business before any annual or special meeting of stockholders of the Corporation and intends to authorize a Qualified Representative to act for such stockholder as a proxy to present the nomination or proposal at such meeting, the stockholder shall give notice of such authorization in writing to the Secretary not less than three (3) business days before the date of such meeting, including the name and contact information for such person. Notwithstanding the foregoing provisions of Section 1.12, unless otherwise required by law, no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w:t>
      </w:r>
    </w:p>
    <w:p>
      <w:pPr>
        <w:spacing w:after="0" w:line="151" w:lineRule="exact"/>
        <w:rPr>
          <w:sz w:val="20"/>
          <w:szCs w:val="20"/>
          <w:color w:val="auto"/>
        </w:rPr>
      </w:pPr>
    </w:p>
    <w:p>
      <w:pPr>
        <w:jc w:val="both"/>
        <w:ind w:firstLine="656"/>
        <w:spacing w:after="0" w:line="220" w:lineRule="auto"/>
        <w:tabs>
          <w:tab w:leader="none" w:pos="97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request that any Proposing Person, and any proposed nominee of such Proposing Person, furnish such additional information as may be reasonably required by the Board. Such Proposing Person and/or proposed nominee thereof shall provide such additional information within ten (10) days after it has been requested by the Board. The Board may require any such proposed nominee to submit to interviews with the Board or any committee thereof,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1240"/>
          </w:cols>
          <w:pgMar w:left="320" w:top="1003" w:right="339" w:bottom="1440" w:gutter="0" w:footer="0" w:header="0"/>
        </w:sectPr>
      </w:pPr>
    </w:p>
    <w:bookmarkStart w:id="21" w:name="page22"/>
    <w:bookmarkEnd w:id="21"/>
    <w:p>
      <w:pPr>
        <w:spacing w:after="0" w:line="236" w:lineRule="auto"/>
        <w:rPr>
          <w:sz w:val="20"/>
          <w:szCs w:val="20"/>
          <w:color w:val="auto"/>
        </w:rPr>
      </w:pPr>
      <w:r>
        <w:rPr>
          <w:rFonts w:ascii="Times New Roman" w:cs="Times New Roman" w:eastAsia="Times New Roman" w:hAnsi="Times New Roman"/>
          <w:sz w:val="22"/>
          <w:szCs w:val="22"/>
          <w:color w:val="auto"/>
        </w:rPr>
        <w:t>and such proposed nominee shall make themself available for any such interviews within no less than ten (10) business days following the date of such request.</w:t>
      </w:r>
    </w:p>
    <w:p>
      <w:pPr>
        <w:spacing w:after="0" w:line="177" w:lineRule="exact"/>
        <w:rPr>
          <w:sz w:val="20"/>
          <w:szCs w:val="20"/>
          <w:color w:val="auto"/>
        </w:rPr>
      </w:pPr>
    </w:p>
    <w:p>
      <w:pPr>
        <w:jc w:val="both"/>
        <w:ind w:firstLine="656"/>
        <w:spacing w:after="0" w:line="215"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1.12, a stockholder shall also comply with all applicable requirements of the Exchange Act and the rules and regulations thereunder with respect to the matters set forth herein, for the avoidance of doubt including, but not limited to, Rule 14a-19 of the Exchange Act. Nothing in this Section 1.12 shall be deemed to affect any rights of (a) 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the following definitions shall apply:</w:t>
      </w:r>
    </w:p>
    <w:p>
      <w:pPr>
        <w:spacing w:after="0" w:line="173" w:lineRule="exact"/>
        <w:rPr>
          <w:rFonts w:ascii="Times New Roman" w:cs="Times New Roman" w:eastAsia="Times New Roman" w:hAnsi="Times New Roman"/>
          <w:sz w:val="22"/>
          <w:szCs w:val="22"/>
          <w:color w:val="auto"/>
        </w:rPr>
      </w:pPr>
    </w:p>
    <w:p>
      <w:pPr>
        <w:jc w:val="both"/>
        <w:ind w:left="660" w:firstLine="968"/>
        <w:spacing w:after="0" w:line="220" w:lineRule="auto"/>
        <w:tabs>
          <w:tab w:leader="none" w:pos="1999"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shall be deemed to be “</w:t>
      </w:r>
      <w:r>
        <w:rPr>
          <w:rFonts w:ascii="Times New Roman" w:cs="Times New Roman" w:eastAsia="Times New Roman" w:hAnsi="Times New Roman"/>
          <w:sz w:val="21"/>
          <w:szCs w:val="21"/>
          <w:b w:val="1"/>
          <w:bCs w:val="1"/>
          <w:i w:val="1"/>
          <w:iCs w:val="1"/>
          <w:color w:val="auto"/>
        </w:rPr>
        <w:t>Acting in Concert</w:t>
      </w:r>
      <w:r>
        <w:rPr>
          <w:rFonts w:ascii="Times New Roman" w:cs="Times New Roman" w:eastAsia="Times New Roman" w:hAnsi="Times New Roman"/>
          <w:sz w:val="21"/>
          <w:szCs w:val="21"/>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51" w:lineRule="exact"/>
        <w:rPr>
          <w:rFonts w:ascii="Times New Roman" w:cs="Times New Roman" w:eastAsia="Times New Roman" w:hAnsi="Times New Roman"/>
          <w:sz w:val="21"/>
          <w:szCs w:val="21"/>
          <w:color w:val="auto"/>
        </w:rPr>
      </w:pPr>
    </w:p>
    <w:p>
      <w:pPr>
        <w:jc w:val="both"/>
        <w:ind w:left="660" w:firstLine="968"/>
        <w:spacing w:after="0" w:line="227" w:lineRule="auto"/>
        <w:tabs>
          <w:tab w:leader="none" w:pos="198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associate</w:t>
      </w:r>
      <w:r>
        <w:rPr>
          <w:rFonts w:ascii="Times New Roman" w:cs="Times New Roman" w:eastAsia="Times New Roman" w:hAnsi="Times New Roman"/>
          <w:sz w:val="22"/>
          <w:szCs w:val="22"/>
          <w:color w:val="auto"/>
        </w:rPr>
        <w:t>” shall have the meanings ascribed thereto in Rule 405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provided, however, that the term “partner” as used in the definition of “associate” shall not include any limited partner that is not involved in the management of the relevant partnership;</w:t>
      </w:r>
    </w:p>
    <w:p>
      <w:pPr>
        <w:spacing w:after="0" w:line="146" w:lineRule="exact"/>
        <w:rPr>
          <w:rFonts w:ascii="Times New Roman" w:cs="Times New Roman" w:eastAsia="Times New Roman" w:hAnsi="Times New Roman"/>
          <w:sz w:val="22"/>
          <w:szCs w:val="22"/>
          <w:color w:val="auto"/>
        </w:rPr>
      </w:pPr>
    </w:p>
    <w:p>
      <w:pPr>
        <w:jc w:val="both"/>
        <w:ind w:left="660" w:firstLine="968"/>
        <w:spacing w:after="0" w:line="216" w:lineRule="auto"/>
        <w:tabs>
          <w:tab w:leader="none" w:pos="198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Associated Person</w:t>
      </w:r>
      <w:r>
        <w:rPr>
          <w:rFonts w:ascii="Times New Roman" w:cs="Times New Roman" w:eastAsia="Times New Roman" w:hAnsi="Times New Roman"/>
          <w:sz w:val="22"/>
          <w:szCs w:val="22"/>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45" w:lineRule="exact"/>
        <w:rPr>
          <w:rFonts w:ascii="Times New Roman" w:cs="Times New Roman" w:eastAsia="Times New Roman" w:hAnsi="Times New Roman"/>
          <w:sz w:val="22"/>
          <w:szCs w:val="22"/>
          <w:color w:val="auto"/>
        </w:rPr>
      </w:pPr>
    </w:p>
    <w:p>
      <w:pPr>
        <w:jc w:val="both"/>
        <w:ind w:left="660" w:firstLine="968"/>
        <w:spacing w:after="0" w:line="232" w:lineRule="auto"/>
        <w:tabs>
          <w:tab w:leader="none" w:pos="1986"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Compensation Arrangement</w:t>
      </w:r>
      <w:r>
        <w:rPr>
          <w:rFonts w:ascii="Times New Roman" w:cs="Times New Roman" w:eastAsia="Times New Roman" w:hAnsi="Times New Roman"/>
          <w:sz w:val="21"/>
          <w:szCs w:val="21"/>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46" w:lineRule="exact"/>
        <w:rPr>
          <w:rFonts w:ascii="Times New Roman" w:cs="Times New Roman" w:eastAsia="Times New Roman" w:hAnsi="Times New Roman"/>
          <w:sz w:val="21"/>
          <w:szCs w:val="21"/>
          <w:color w:val="auto"/>
        </w:rPr>
      </w:pPr>
    </w:p>
    <w:p>
      <w:pPr>
        <w:ind w:left="660" w:right="20" w:firstLine="968"/>
        <w:spacing w:after="0" w:line="239" w:lineRule="auto"/>
        <w:tabs>
          <w:tab w:leader="none" w:pos="196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Competitor</w:t>
      </w:r>
      <w:r>
        <w:rPr>
          <w:rFonts w:ascii="Times New Roman" w:cs="Times New Roman" w:eastAsia="Times New Roman" w:hAnsi="Times New Roman"/>
          <w:sz w:val="22"/>
          <w:szCs w:val="22"/>
          <w:color w:val="auto"/>
        </w:rPr>
        <w:t>” shall mean any entity that provides products or services that compete with or are alternatives to the principal products produced or services provided by the Corporation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1240"/>
          </w:cols>
          <w:pgMar w:left="320" w:top="1003" w:right="339" w:bottom="1440" w:gutter="0" w:footer="0" w:header="0"/>
        </w:sectPr>
      </w:pPr>
    </w:p>
    <w:bookmarkStart w:id="22" w:name="page23"/>
    <w:bookmarkEnd w:id="22"/>
    <w:p>
      <w:pPr>
        <w:jc w:val="both"/>
        <w:ind w:left="660" w:firstLine="22"/>
        <w:spacing w:after="0" w:line="216" w:lineRule="auto"/>
        <w:tabs>
          <w:tab w:leader="none" w:pos="100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Proposing Person</w:t>
      </w:r>
      <w:r>
        <w:rPr>
          <w:rFonts w:ascii="Times New Roman" w:cs="Times New Roman" w:eastAsia="Times New Roman" w:hAnsi="Times New Roman"/>
          <w:sz w:val="22"/>
          <w:szCs w:val="22"/>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45" w:lineRule="exact"/>
        <w:rPr>
          <w:rFonts w:ascii="Times New Roman" w:cs="Times New Roman" w:eastAsia="Times New Roman" w:hAnsi="Times New Roman"/>
          <w:sz w:val="22"/>
          <w:szCs w:val="22"/>
          <w:color w:val="auto"/>
        </w:rPr>
      </w:pPr>
    </w:p>
    <w:p>
      <w:pPr>
        <w:jc w:val="both"/>
        <w:ind w:left="660" w:firstLine="968"/>
        <w:spacing w:after="0" w:line="227" w:lineRule="auto"/>
        <w:tabs>
          <w:tab w:leader="none" w:pos="198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 Announcement</w:t>
      </w:r>
      <w:r>
        <w:rPr>
          <w:rFonts w:ascii="Times New Roman" w:cs="Times New Roman" w:eastAsia="Times New Roman" w:hAnsi="Times New Roman"/>
          <w:sz w:val="22"/>
          <w:szCs w:val="22"/>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46" w:lineRule="exact"/>
        <w:rPr>
          <w:rFonts w:ascii="Times New Roman" w:cs="Times New Roman" w:eastAsia="Times New Roman" w:hAnsi="Times New Roman"/>
          <w:sz w:val="22"/>
          <w:szCs w:val="22"/>
          <w:color w:val="auto"/>
        </w:rPr>
      </w:pPr>
    </w:p>
    <w:p>
      <w:pPr>
        <w:jc w:val="both"/>
        <w:ind w:left="660" w:firstLine="968"/>
        <w:spacing w:after="0" w:line="214" w:lineRule="auto"/>
        <w:tabs>
          <w:tab w:leader="none" w:pos="198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considered a “</w:t>
      </w:r>
      <w:r>
        <w:rPr>
          <w:rFonts w:ascii="Times New Roman" w:cs="Times New Roman" w:eastAsia="Times New Roman" w:hAnsi="Times New Roman"/>
          <w:sz w:val="22"/>
          <w:szCs w:val="22"/>
          <w:b w:val="1"/>
          <w:bCs w:val="1"/>
          <w:i w:val="1"/>
          <w:iCs w:val="1"/>
          <w:color w:val="auto"/>
        </w:rPr>
        <w:t>Qualified Representative</w:t>
      </w:r>
      <w:r>
        <w:rPr>
          <w:rFonts w:ascii="Times New Roman" w:cs="Times New Roman" w:eastAsia="Times New Roman" w:hAnsi="Times New Roman"/>
          <w:sz w:val="22"/>
          <w:szCs w:val="22"/>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5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1.13: Emergency Bylaws. </w:t>
      </w:r>
      <w:r>
        <w:rPr>
          <w:rFonts w:ascii="Times New Roman" w:cs="Times New Roman" w:eastAsia="Times New Roman" w:hAnsi="Times New Roman"/>
          <w:sz w:val="22"/>
          <w:szCs w:val="22"/>
          <w:color w:val="auto"/>
        </w:rPr>
        <w:t>This Section 1.13 shall be operative during any emergency condition as contemplated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Section 110 of the DGCL (an “</w:t>
      </w:r>
      <w:r>
        <w:rPr>
          <w:rFonts w:ascii="Times New Roman" w:cs="Times New Roman" w:eastAsia="Times New Roman" w:hAnsi="Times New Roman"/>
          <w:sz w:val="22"/>
          <w:szCs w:val="22"/>
          <w:b w:val="1"/>
          <w:bCs w:val="1"/>
          <w:i w:val="1"/>
          <w:iCs w:val="1"/>
          <w:color w:val="auto"/>
        </w:rPr>
        <w:t>Emergency</w:t>
      </w:r>
      <w:r>
        <w:rPr>
          <w:rFonts w:ascii="Times New Roman" w:cs="Times New Roman" w:eastAsia="Times New Roman" w:hAnsi="Times New Roman"/>
          <w:sz w:val="22"/>
          <w:szCs w:val="22"/>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1.13, the term “</w:t>
      </w:r>
      <w:r>
        <w:rPr>
          <w:rFonts w:ascii="Times New Roman" w:cs="Times New Roman" w:eastAsia="Times New Roman" w:hAnsi="Times New Roman"/>
          <w:sz w:val="22"/>
          <w:szCs w:val="22"/>
          <w:b w:val="1"/>
          <w:bCs w:val="1"/>
          <w:i w:val="1"/>
          <w:iCs w:val="1"/>
          <w:color w:val="auto"/>
        </w:rPr>
        <w:t>Designated Officer</w:t>
      </w:r>
      <w:r>
        <w:rPr>
          <w:rFonts w:ascii="Times New Roman" w:cs="Times New Roman" w:eastAsia="Times New Roman" w:hAnsi="Times New Roman"/>
          <w:sz w:val="22"/>
          <w:szCs w:val="22"/>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1240"/>
          </w:cols>
          <w:pgMar w:left="320" w:top="997" w:right="339" w:bottom="1440" w:gutter="0" w:footer="0" w:header="0"/>
        </w:sectPr>
      </w:pPr>
    </w:p>
    <w:bookmarkStart w:id="23" w:name="page24"/>
    <w:bookmarkEnd w:id="23"/>
    <w:p>
      <w:pPr>
        <w:jc w:val="center"/>
        <w:ind w:right="-19"/>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Article II:</w:t>
      </w:r>
      <w:r>
        <w:rPr>
          <w:sz w:val="20"/>
          <w:szCs w:val="20"/>
          <w:color w:val="auto"/>
        </w:rPr>
        <w:tab/>
      </w:r>
      <w:r>
        <w:rPr>
          <w:rFonts w:ascii="Times New Roman" w:cs="Times New Roman" w:eastAsia="Times New Roman" w:hAnsi="Times New Roman"/>
          <w:sz w:val="21"/>
          <w:szCs w:val="21"/>
          <w:b w:val="1"/>
          <w:bCs w:val="1"/>
          <w:color w:val="auto"/>
        </w:rPr>
        <w:t>BOARD OF DIRECTORS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b w:val="1"/>
          <w:bCs w:val="1"/>
          <w:u w:val="single" w:color="auto"/>
          <w:color w:val="auto"/>
        </w:rPr>
        <w:t>Number; Qualifications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total number of directors constituting the Whole Board shall be fixed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in the manner set forth in the Certificate of Incorporation and the term “</w:t>
      </w:r>
      <w:r>
        <w:rPr>
          <w:rFonts w:ascii="Times New Roman" w:cs="Times New Roman" w:eastAsia="Times New Roman" w:hAnsi="Times New Roman"/>
          <w:sz w:val="22"/>
          <w:szCs w:val="22"/>
          <w:b w:val="1"/>
          <w:bCs w:val="1"/>
          <w:i w:val="1"/>
          <w:iCs w:val="1"/>
          <w:color w:val="auto"/>
        </w:rPr>
        <w:t>Whole Board</w:t>
      </w:r>
      <w:r>
        <w:rPr>
          <w:rFonts w:ascii="Times New Roman" w:cs="Times New Roman" w:eastAsia="Times New Roman" w:hAnsi="Times New Roman"/>
          <w:sz w:val="22"/>
          <w:szCs w:val="22"/>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2.2: </w:t>
      </w:r>
      <w:r>
        <w:rPr>
          <w:rFonts w:ascii="Times New Roman" w:cs="Times New Roman" w:eastAsia="Times New Roman" w:hAnsi="Times New Roman"/>
          <w:sz w:val="22"/>
          <w:szCs w:val="22"/>
          <w:b w:val="1"/>
          <w:bCs w:val="1"/>
          <w:u w:val="single" w:color="auto"/>
          <w:color w:val="auto"/>
        </w:rPr>
        <w:t>Election; Resignation; Removal; Vacancies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of directors need not be by written ballot.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2.3: </w:t>
      </w:r>
      <w:r>
        <w:rPr>
          <w:rFonts w:ascii="Times New Roman" w:cs="Times New Roman" w:eastAsia="Times New Roman" w:hAnsi="Times New Roman"/>
          <w:sz w:val="22"/>
          <w:szCs w:val="22"/>
          <w:b w:val="1"/>
          <w:bCs w:val="1"/>
          <w:u w:val="single" w:color="auto"/>
          <w:color w:val="auto"/>
        </w:rPr>
        <w:t>Regular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meetings of the Board may be held at such places, within or without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Delaware, and at such times as the Board may from time to time determine. Notice of regular meetings need not be given if the date, times and places thereof are fixed by resolution of the Board.</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2.4: </w:t>
      </w:r>
      <w:r>
        <w:rPr>
          <w:rFonts w:ascii="Times New Roman" w:cs="Times New Roman" w:eastAsia="Times New Roman" w:hAnsi="Times New Roman"/>
          <w:sz w:val="22"/>
          <w:szCs w:val="22"/>
          <w:b w:val="1"/>
          <w:bCs w:val="1"/>
          <w:u w:val="single" w:color="auto"/>
          <w:color w:val="auto"/>
        </w:rPr>
        <w:t>Special Meetings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meetings of the Board may be called by the Chairperson of the Board,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or electronic transmission;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99" w:right="339" w:bottom="1440" w:gutter="0" w:footer="0" w:header="0"/>
        </w:sectPr>
      </w:pPr>
    </w:p>
    <w:bookmarkStart w:id="24" w:name="page25"/>
    <w:bookmarkEnd w:id="24"/>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2.5: </w:t>
      </w:r>
      <w:r>
        <w:rPr>
          <w:rFonts w:ascii="Times New Roman" w:cs="Times New Roman" w:eastAsia="Times New Roman" w:hAnsi="Times New Roman"/>
          <w:sz w:val="22"/>
          <w:szCs w:val="22"/>
          <w:b w:val="1"/>
          <w:bCs w:val="1"/>
          <w:u w:val="single" w:color="auto"/>
          <w:color w:val="auto"/>
        </w:rPr>
        <w:t>Remote Meetings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Board, or any committee of the Board, may participate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2.6: </w:t>
      </w:r>
      <w:r>
        <w:rPr>
          <w:rFonts w:ascii="Times New Roman" w:cs="Times New Roman" w:eastAsia="Times New Roman" w:hAnsi="Times New Roman"/>
          <w:sz w:val="22"/>
          <w:szCs w:val="22"/>
          <w:b w:val="1"/>
          <w:bCs w:val="1"/>
          <w:u w:val="single" w:color="auto"/>
          <w:color w:val="auto"/>
        </w:rPr>
        <w:t>Quorum; Vote Required for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all meetings of the Board, a majority of the Whole Board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2.7: </w:t>
      </w:r>
      <w:r>
        <w:rPr>
          <w:rFonts w:ascii="Times New Roman" w:cs="Times New Roman" w:eastAsia="Times New Roman" w:hAnsi="Times New Roman"/>
          <w:sz w:val="22"/>
          <w:szCs w:val="22"/>
          <w:b w:val="1"/>
          <w:bCs w:val="1"/>
          <w:u w:val="single" w:color="auto"/>
          <w:color w:val="auto"/>
        </w:rPr>
        <w:t>Organization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Board shall be presided over by (a) the Chairperson of the Board, or (b)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absence of such person, 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2.8: </w:t>
      </w:r>
      <w:r>
        <w:rPr>
          <w:rFonts w:ascii="Times New Roman" w:cs="Times New Roman" w:eastAsia="Times New Roman" w:hAnsi="Times New Roman"/>
          <w:sz w:val="22"/>
          <w:szCs w:val="22"/>
          <w:b w:val="1"/>
          <w:bCs w:val="1"/>
          <w:u w:val="single" w:color="auto"/>
          <w:color w:val="auto"/>
        </w:rPr>
        <w:t>Unanimous Action by Directors in Lieu of a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action required or permitted to be taken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meeting of the Board, or of any committee thereof, may be taken without a meeting if all members of the Board or such committee, as the case may be, consent thereto in writing or by electronic transmission. After an action is taken, the writing or writings or electronic transmission or transmissions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2.9: </w:t>
      </w:r>
      <w:r>
        <w:rPr>
          <w:rFonts w:ascii="Times New Roman" w:cs="Times New Roman" w:eastAsia="Times New Roman" w:hAnsi="Times New Roman"/>
          <w:sz w:val="22"/>
          <w:szCs w:val="22"/>
          <w:b w:val="1"/>
          <w:bCs w:val="1"/>
          <w:u w:val="single" w:color="auto"/>
          <w:color w:val="auto"/>
        </w:rPr>
        <w:t>Powers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by the Certificate of Incorporation or the DGCL, the business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affairs of the Corporation shall be managed by or under the direction of the Board.</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2.10: </w:t>
      </w:r>
      <w:r>
        <w:rPr>
          <w:rFonts w:ascii="Times New Roman" w:cs="Times New Roman" w:eastAsia="Times New Roman" w:hAnsi="Times New Roman"/>
          <w:sz w:val="22"/>
          <w:szCs w:val="22"/>
          <w:b w:val="1"/>
          <w:bCs w:val="1"/>
          <w:u w:val="single" w:color="auto"/>
          <w:color w:val="auto"/>
        </w:rPr>
        <w:t>Compensation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Board, as such, may receive, pursuant to a resolution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fees and other compensation for their services as directors, including without limitation their services as members of committees of the Board.</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Section 2.11: </w:t>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director shall maintain the confidentiality of, and shall not share with any third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or entity (including third parties that originally sponsored, nominated or designated such director (the “</w:t>
      </w:r>
      <w:r>
        <w:rPr>
          <w:rFonts w:ascii="Times New Roman" w:cs="Times New Roman" w:eastAsia="Times New Roman" w:hAnsi="Times New Roman"/>
          <w:sz w:val="21"/>
          <w:szCs w:val="21"/>
          <w:b w:val="1"/>
          <w:bCs w:val="1"/>
          <w:i w:val="1"/>
          <w:iCs w:val="1"/>
          <w:color w:val="auto"/>
        </w:rPr>
        <w:t>Sponsoring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any non-public information learned in their capacities as directors, including communications among Board members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their capacities as directors;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Times New Roman" w:cs="Times New Roman" w:eastAsia="Times New Roman" w:hAnsi="Times New Roman"/>
          <w:sz w:val="21"/>
          <w:szCs w:val="21"/>
          <w:b w:val="1"/>
          <w:bCs w:val="1"/>
          <w:i w:val="1"/>
          <w:iCs w:val="1"/>
          <w:color w:val="auto"/>
        </w:rPr>
        <w:t>Board Confidentiality Policy</w:t>
      </w:r>
      <w:r>
        <w:rPr>
          <w:rFonts w:ascii="Times New Roman" w:cs="Times New Roman" w:eastAsia="Times New Roman" w:hAnsi="Times New Roman"/>
          <w:sz w:val="21"/>
          <w:szCs w:val="21"/>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99" w:right="339" w:bottom="1440" w:gutter="0" w:footer="0" w:header="0"/>
        </w:sectPr>
      </w:pPr>
    </w:p>
    <w:bookmarkStart w:id="25" w:name="page26"/>
    <w:bookmarkEnd w:id="25"/>
    <w:p>
      <w:pPr>
        <w:jc w:val="center"/>
        <w:ind w:right="-19"/>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COMMITTEES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Section 3.1: </w:t>
      </w:r>
      <w:r>
        <w:rPr>
          <w:rFonts w:ascii="Times New Roman" w:cs="Times New Roman" w:eastAsia="Times New Roman" w:hAnsi="Times New Roman"/>
          <w:sz w:val="21"/>
          <w:szCs w:val="21"/>
          <w:b w:val="1"/>
          <w:bCs w:val="1"/>
          <w:u w:val="single" w:color="auto"/>
          <w:color w:val="auto"/>
        </w:rPr>
        <w:t>Committees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may designate one or more committees, each committee to consist of one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3.2: </w:t>
      </w:r>
      <w:r>
        <w:rPr>
          <w:rFonts w:ascii="Times New Roman" w:cs="Times New Roman" w:eastAsia="Times New Roman" w:hAnsi="Times New Roman"/>
          <w:sz w:val="22"/>
          <w:szCs w:val="22"/>
          <w:b w:val="1"/>
          <w:bCs w:val="1"/>
          <w:u w:val="single" w:color="auto"/>
          <w:color w:val="auto"/>
        </w:rPr>
        <w:t>Committee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committee shall keep records of its proceedings and make such reports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49" w:lineRule="exact"/>
        <w:rPr>
          <w:sz w:val="20"/>
          <w:szCs w:val="20"/>
          <w:color w:val="auto"/>
        </w:rPr>
      </w:pPr>
    </w:p>
    <w:p>
      <w:pPr>
        <w:jc w:val="center"/>
        <w:ind w:right="-19"/>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21"/>
          <w:szCs w:val="21"/>
          <w:b w:val="1"/>
          <w:bCs w:val="1"/>
          <w:color w:val="auto"/>
        </w:rPr>
        <w:t>OFFICERS; CHAIRPERSON; LEAD INDEPENDENT DIRECTOR</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4.1: </w:t>
      </w:r>
      <w:r>
        <w:rPr>
          <w:rFonts w:ascii="Times New Roman" w:cs="Times New Roman" w:eastAsia="Times New Roman" w:hAnsi="Times New Roman"/>
          <w:sz w:val="21"/>
          <w:szCs w:val="21"/>
          <w:b w:val="1"/>
          <w:bCs w:val="1"/>
          <w:u w:val="single" w:color="auto"/>
          <w:color w:val="auto"/>
        </w:rPr>
        <w:t>Generally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officers of the Corporation shall consist of a Chief Executive Officer (who may be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99" w:right="339" w:bottom="1440" w:gutter="0" w:footer="0" w:header="0"/>
        </w:sectPr>
      </w:pPr>
    </w:p>
    <w:bookmarkStart w:id="26" w:name="page27"/>
    <w:bookmarkEnd w:id="26"/>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4.2: </w:t>
      </w:r>
      <w:r>
        <w:rPr>
          <w:rFonts w:ascii="Times New Roman" w:cs="Times New Roman" w:eastAsia="Times New Roman" w:hAnsi="Times New Roman"/>
          <w:sz w:val="22"/>
          <w:szCs w:val="22"/>
          <w:b w:val="1"/>
          <w:bCs w:val="1"/>
          <w:u w:val="single" w:color="auto"/>
          <w:color w:val="auto"/>
        </w:rPr>
        <w:t>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control of the Board and such supervisory powers, if any,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given by the Board, the powers and duties of the Chief Executive Officer of the Corporation are:</w:t>
      </w:r>
    </w:p>
    <w:p>
      <w:pPr>
        <w:spacing w:after="0" w:line="164" w:lineRule="exact"/>
        <w:rPr>
          <w:sz w:val="20"/>
          <w:szCs w:val="20"/>
          <w:color w:val="auto"/>
        </w:rPr>
      </w:pPr>
    </w:p>
    <w:p>
      <w:pPr>
        <w:ind w:left="660" w:firstLine="644"/>
        <w:spacing w:after="0" w:line="271" w:lineRule="auto"/>
        <w:tabs>
          <w:tab w:leader="none" w:pos="179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act as the general manager and, subject to the control of the Board, to have general supervision, direction and control of the business and affairs of the Corporation;</w:t>
      </w:r>
    </w:p>
    <w:p>
      <w:pPr>
        <w:spacing w:after="0" w:line="14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1.6 of these Bylaws, to preside at all meetings of the stockholders;</w:t>
      </w:r>
    </w:p>
    <w:p>
      <w:pPr>
        <w:spacing w:after="0" w:line="206" w:lineRule="exact"/>
        <w:rPr>
          <w:rFonts w:ascii="Times New Roman" w:cs="Times New Roman" w:eastAsia="Times New Roman" w:hAnsi="Times New Roman"/>
          <w:sz w:val="22"/>
          <w:szCs w:val="22"/>
          <w:color w:val="auto"/>
        </w:rPr>
      </w:pPr>
    </w:p>
    <w:p>
      <w:pPr>
        <w:ind w:left="660" w:firstLine="644"/>
        <w:spacing w:after="0" w:line="271" w:lineRule="auto"/>
        <w:tabs>
          <w:tab w:leader="none" w:pos="181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44"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202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7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person holding the office of President shall be the Chief Executive Officer of the Corporation unless the Board shall designate another officer to be the Chief Executive Officer.</w:t>
      </w:r>
    </w:p>
    <w:p>
      <w:pPr>
        <w:spacing w:after="0" w:line="12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4.3: </w:t>
      </w:r>
      <w:r>
        <w:rPr>
          <w:rFonts w:ascii="Times New Roman" w:cs="Times New Roman" w:eastAsia="Times New Roman" w:hAnsi="Times New Roman"/>
          <w:sz w:val="22"/>
          <w:szCs w:val="22"/>
          <w:b w:val="1"/>
          <w:bCs w:val="1"/>
          <w:u w:val="single" w:color="auto"/>
          <w:color w:val="auto"/>
        </w:rPr>
        <w:t>Chairperson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Section 2.7 of these Bylaws, the Chairperson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4.4: </w:t>
      </w:r>
      <w:r>
        <w:rPr>
          <w:rFonts w:ascii="Times New Roman" w:cs="Times New Roman" w:eastAsia="Times New Roman" w:hAnsi="Times New Roman"/>
          <w:sz w:val="22"/>
          <w:szCs w:val="22"/>
          <w:b w:val="1"/>
          <w:bCs w:val="1"/>
          <w:u w:val="single" w:color="auto"/>
          <w:color w:val="auto"/>
        </w:rPr>
        <w:t>Lead Independent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in its discretion, elect a lead independent director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among its members that are Independent Directors (as defined below) (such director, the “</w:t>
      </w:r>
      <w:r>
        <w:rPr>
          <w:rFonts w:ascii="Times New Roman" w:cs="Times New Roman" w:eastAsia="Times New Roman" w:hAnsi="Times New Roman"/>
          <w:sz w:val="22"/>
          <w:szCs w:val="22"/>
          <w:b w:val="1"/>
          <w:bCs w:val="1"/>
          <w:i w:val="1"/>
          <w:iCs w:val="1"/>
          <w:color w:val="auto"/>
        </w:rPr>
        <w:t>Lead Independent Director</w:t>
      </w:r>
      <w:r>
        <w:rPr>
          <w:rFonts w:ascii="Times New Roman" w:cs="Times New Roman" w:eastAsia="Times New Roman" w:hAnsi="Times New Roman"/>
          <w:sz w:val="22"/>
          <w:szCs w:val="22"/>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cs="Times New Roman" w:eastAsia="Times New Roman" w:hAnsi="Times New Roman"/>
          <w:sz w:val="22"/>
          <w:szCs w:val="22"/>
          <w:b w:val="1"/>
          <w:bCs w:val="1"/>
          <w:i w:val="1"/>
          <w:iCs w:val="1"/>
          <w:color w:val="auto"/>
        </w:rPr>
        <w:t>Independent Director</w:t>
      </w:r>
      <w:r>
        <w:rPr>
          <w:rFonts w:ascii="Times New Roman" w:cs="Times New Roman" w:eastAsia="Times New Roman" w:hAnsi="Times New Roman"/>
          <w:sz w:val="22"/>
          <w:szCs w:val="22"/>
          <w:color w:val="auto"/>
        </w:rPr>
        <w:t>” has the meaning ascribed to such term under the rules of the exchange upon which the Corporation’s Common Stock is primarily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99" w:right="339" w:bottom="1440" w:gutter="0" w:footer="0" w:header="0"/>
        </w:sectPr>
      </w:pPr>
    </w:p>
    <w:bookmarkStart w:id="27" w:name="page28"/>
    <w:bookmarkEnd w:id="27"/>
    <w:p>
      <w:pPr>
        <w:jc w:val="both"/>
        <w:ind w:firstLine="64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Section 4.5: </w:t>
      </w:r>
      <w:r>
        <w:rPr>
          <w:rFonts w:ascii="Times New Roman" w:cs="Times New Roman" w:eastAsia="Times New Roman" w:hAnsi="Times New Roman"/>
          <w:sz w:val="21"/>
          <w:szCs w:val="21"/>
          <w:b w:val="1"/>
          <w:bCs w:val="1"/>
          <w:u w:val="single" w:color="auto"/>
          <w:color w:val="auto"/>
        </w:rPr>
        <w:t>President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 holding the office of Chief Executive Officer shall be the President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4.6: </w:t>
      </w:r>
      <w:r>
        <w:rPr>
          <w:rFonts w:ascii="Times New Roman" w:cs="Times New Roman" w:eastAsia="Times New Roman" w:hAnsi="Times New Roman"/>
          <w:sz w:val="22"/>
          <w:szCs w:val="22"/>
          <w:b w:val="1"/>
          <w:bCs w:val="1"/>
          <w:u w:val="single" w:color="auto"/>
          <w:color w:val="auto"/>
        </w:rPr>
        <w:t>Chief Financial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person holding the office of Chief Financial Officer shall be the Treasurer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4.7: </w:t>
      </w:r>
      <w:r>
        <w:rPr>
          <w:rFonts w:ascii="Times New Roman" w:cs="Times New Roman" w:eastAsia="Times New Roman" w:hAnsi="Times New Roman"/>
          <w:sz w:val="22"/>
          <w:szCs w:val="22"/>
          <w:b w:val="1"/>
          <w:bCs w:val="1"/>
          <w:u w:val="single" w:color="auto"/>
          <w:color w:val="auto"/>
        </w:rPr>
        <w:t>Treasurer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person holding the office of Treasurer shall be the Chief Financial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unless the Board shall 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4.8: </w:t>
      </w:r>
      <w:r>
        <w:rPr>
          <w:rFonts w:ascii="Times New Roman" w:cs="Times New Roman" w:eastAsia="Times New Roman" w:hAnsi="Times New Roman"/>
          <w:sz w:val="22"/>
          <w:szCs w:val="22"/>
          <w:b w:val="1"/>
          <w:bCs w:val="1"/>
          <w:u w:val="single" w:color="auto"/>
          <w:color w:val="auto"/>
        </w:rPr>
        <w:t>Vice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Vice President shall have all such powers and duties as are commonly incident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of 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4.9: </w:t>
      </w:r>
      <w:r>
        <w:rPr>
          <w:rFonts w:ascii="Times New Roman" w:cs="Times New Roman" w:eastAsia="Times New Roman" w:hAnsi="Times New Roman"/>
          <w:sz w:val="22"/>
          <w:szCs w:val="22"/>
          <w:b w:val="1"/>
          <w:bCs w:val="1"/>
          <w:u w:val="single" w:color="auto"/>
          <w:color w:val="auto"/>
        </w:rPr>
        <w:t>Secretary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Secretary shall issue or cause to be issued all authorized notices for, and shall keep,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4.10: </w:t>
      </w:r>
      <w:r>
        <w:rPr>
          <w:rFonts w:ascii="Times New Roman" w:cs="Times New Roman" w:eastAsia="Times New Roman" w:hAnsi="Times New Roman"/>
          <w:sz w:val="22"/>
          <w:szCs w:val="22"/>
          <w:b w:val="1"/>
          <w:bCs w:val="1"/>
          <w:u w:val="single" w:color="auto"/>
          <w:color w:val="auto"/>
        </w:rPr>
        <w:t>Delegation of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from time to time delegate the powers or duties of any officer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to any other officers or agents of the Corporation, notwithstanding any provision hereof.</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4.11: </w:t>
      </w:r>
      <w:r>
        <w:rPr>
          <w:rFonts w:ascii="Times New Roman" w:cs="Times New Roman" w:eastAsia="Times New Roman" w:hAnsi="Times New Roman"/>
          <w:sz w:val="22"/>
          <w:szCs w:val="22"/>
          <w:b w:val="1"/>
          <w:bCs w:val="1"/>
          <w:u w:val="single" w:color="auto"/>
          <w:color w:val="auto"/>
        </w:rPr>
        <w:t>Removal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officer of the Corporation shall serve at the pleasure of the Board and may be removed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time, with or without cause, by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99" w:right="339" w:bottom="1440" w:gutter="0" w:footer="0" w:header="0"/>
        </w:sectPr>
      </w:pPr>
    </w:p>
    <w:bookmarkStart w:id="28" w:name="page29"/>
    <w:bookmarkEnd w:id="28"/>
    <w:p>
      <w:pPr>
        <w:jc w:val="cente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Article V:</w:t>
      </w:r>
      <w:r>
        <w:rPr>
          <w:sz w:val="20"/>
          <w:szCs w:val="20"/>
          <w:color w:val="auto"/>
        </w:rPr>
        <w:tab/>
      </w:r>
      <w:r>
        <w:rPr>
          <w:rFonts w:ascii="Times New Roman" w:cs="Times New Roman" w:eastAsia="Times New Roman" w:hAnsi="Times New Roman"/>
          <w:sz w:val="21"/>
          <w:szCs w:val="21"/>
          <w:b w:val="1"/>
          <w:bCs w:val="1"/>
          <w:color w:val="auto"/>
        </w:rPr>
        <w:t>STOCK</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5.1: </w:t>
      </w:r>
      <w:r>
        <w:rPr>
          <w:rFonts w:ascii="Times New Roman" w:cs="Times New Roman" w:eastAsia="Times New Roman" w:hAnsi="Times New Roman"/>
          <w:sz w:val="22"/>
          <w:szCs w:val="22"/>
          <w:b w:val="1"/>
          <w:bCs w:val="1"/>
          <w:u w:val="single" w:color="auto"/>
          <w:color w:val="auto"/>
        </w:rPr>
        <w:t>Certificates; Uncertificated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of capital stock of the Corporation shall be uncertificated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w:t>
      </w:r>
      <w:r>
        <w:rPr>
          <w:rFonts w:ascii="Times New Roman" w:cs="Times New Roman" w:eastAsia="Times New Roman" w:hAnsi="Times New Roman"/>
          <w:sz w:val="22"/>
          <w:szCs w:val="22"/>
          <w:color w:val="222222"/>
        </w:rPr>
        <w:t>by resolution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 xml:space="preserve">resolutions that some or all of any or all classes or series of its stock shall be certificated shares. </w:t>
      </w:r>
      <w:r>
        <w:rPr>
          <w:rFonts w:ascii="Times New Roman" w:cs="Times New Roman" w:eastAsia="Times New Roman" w:hAnsi="Times New Roman"/>
          <w:sz w:val="22"/>
          <w:szCs w:val="22"/>
          <w:color w:val="000000"/>
        </w:rPr>
        <w:t>Every holder of stock</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5.2: </w:t>
      </w:r>
      <w:r>
        <w:rPr>
          <w:rFonts w:ascii="Times New Roman" w:cs="Times New Roman" w:eastAsia="Times New Roman" w:hAnsi="Times New Roman"/>
          <w:sz w:val="22"/>
          <w:szCs w:val="22"/>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5.3: </w:t>
      </w:r>
      <w:r>
        <w:rPr>
          <w:rFonts w:ascii="Times New Roman" w:cs="Times New Roman" w:eastAsia="Times New Roman" w:hAnsi="Times New Roman"/>
          <w:sz w:val="22"/>
          <w:szCs w:val="22"/>
          <w:b w:val="1"/>
          <w:bCs w:val="1"/>
          <w:u w:val="single" w:color="auto"/>
          <w:color w:val="auto"/>
        </w:rPr>
        <w:t>Other Regulations</w:t>
      </w:r>
      <w:r>
        <w:rPr>
          <w:rFonts w:ascii="Times New Roman" w:cs="Times New Roman" w:eastAsia="Times New Roman" w:hAnsi="Times New Roman"/>
          <w:sz w:val="22"/>
          <w:szCs w:val="22"/>
          <w:color w:val="auto"/>
        </w:rPr>
        <w:t>. Subject to applicable law, the Certificate of Incorporation and these Bylaws, the issue,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conversion and registration of shares represented by certificates and of uncertificated shares shall be governed by such other regulations as the Board may establish.</w:t>
      </w:r>
    </w:p>
    <w:p>
      <w:pPr>
        <w:spacing w:after="0" w:line="146" w:lineRule="exact"/>
        <w:rPr>
          <w:sz w:val="20"/>
          <w:szCs w:val="20"/>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Article VI:</w:t>
      </w:r>
      <w:r>
        <w:rPr>
          <w:sz w:val="20"/>
          <w:szCs w:val="20"/>
          <w:color w:val="auto"/>
        </w:rPr>
        <w:tab/>
      </w:r>
      <w:r>
        <w:rPr>
          <w:rFonts w:ascii="Times New Roman" w:cs="Times New Roman" w:eastAsia="Times New Roman" w:hAnsi="Times New Roman"/>
          <w:sz w:val="21"/>
          <w:szCs w:val="21"/>
          <w:b w:val="1"/>
          <w:bCs w:val="1"/>
          <w:color w:val="auto"/>
        </w:rPr>
        <w:t>INDEMNIFICATION</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6.1: </w:t>
      </w:r>
      <w:r>
        <w:rPr>
          <w:rFonts w:ascii="Times New Roman" w:cs="Times New Roman" w:eastAsia="Times New Roman" w:hAnsi="Times New Roman"/>
          <w:sz w:val="21"/>
          <w:szCs w:val="21"/>
          <w:b w:val="1"/>
          <w:bCs w:val="1"/>
          <w:u w:val="single" w:color="auto"/>
          <w:color w:val="auto"/>
        </w:rPr>
        <w:t>Indemnification of Officers and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person who was or is made a party to, or is threatened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made a party to, or is 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w:t>
      </w:r>
      <w:r>
        <w:rPr>
          <w:rFonts w:ascii="Times New Roman" w:cs="Times New Roman" w:eastAsia="Times New Roman" w:hAnsi="Times New Roman"/>
          <w:sz w:val="21"/>
          <w:szCs w:val="21"/>
          <w:b w:val="1"/>
          <w:bCs w:val="1"/>
          <w:i w:val="1"/>
          <w:iCs w:val="1"/>
          <w:color w:val="auto"/>
        </w:rPr>
        <w:t>Proceeding</w:t>
      </w:r>
      <w:r>
        <w:rPr>
          <w:rFonts w:ascii="Times New Roman" w:cs="Times New Roman" w:eastAsia="Times New Roman" w:hAnsi="Times New Roman"/>
          <w:sz w:val="21"/>
          <w:szCs w:val="21"/>
          <w:color w:val="auto"/>
        </w:rPr>
        <w:t>”),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such Indemnitee acted in good faith and in a manner that the Indemnitee reasonably believed to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99" w:right="339" w:bottom="1440" w:gutter="0" w:footer="0" w:header="0"/>
        </w:sectPr>
      </w:pPr>
    </w:p>
    <w:bookmarkStart w:id="29" w:name="page30"/>
    <w:bookmarkEnd w:id="29"/>
    <w:p>
      <w:pPr>
        <w:jc w:val="both"/>
        <w:spacing w:after="0" w:line="220" w:lineRule="auto"/>
        <w:rPr>
          <w:sz w:val="20"/>
          <w:szCs w:val="20"/>
          <w:color w:val="auto"/>
        </w:rPr>
      </w:pPr>
      <w:r>
        <w:rPr>
          <w:rFonts w:ascii="Times New Roman" w:cs="Times New Roman" w:eastAsia="Times New Roman" w:hAnsi="Times New Roman"/>
          <w:sz w:val="21"/>
          <w:szCs w:val="21"/>
          <w:color w:val="auto"/>
        </w:rPr>
        <w:t>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Times New Roman" w:cs="Times New Roman" w:eastAsia="Times New Roman" w:hAnsi="Times New Roman"/>
          <w:sz w:val="21"/>
          <w:szCs w:val="21"/>
          <w:b w:val="1"/>
          <w:bCs w:val="1"/>
          <w:i w:val="1"/>
          <w:iCs w:val="1"/>
          <w:color w:val="auto"/>
        </w:rPr>
        <w:t>Reincorporated Predecessor</w:t>
      </w:r>
      <w:r>
        <w:rPr>
          <w:rFonts w:ascii="Times New Roman" w:cs="Times New Roman" w:eastAsia="Times New Roman" w:hAnsi="Times New Roman"/>
          <w:sz w:val="21"/>
          <w:szCs w:val="21"/>
          <w:color w:val="auto"/>
        </w:rPr>
        <w:t>”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6.2: </w:t>
      </w:r>
      <w:r>
        <w:rPr>
          <w:rFonts w:ascii="Times New Roman" w:cs="Times New Roman" w:eastAsia="Times New Roman" w:hAnsi="Times New Roman"/>
          <w:sz w:val="22"/>
          <w:szCs w:val="22"/>
          <w:b w:val="1"/>
          <w:bCs w:val="1"/>
          <w:u w:val="single" w:color="auto"/>
          <w:color w:val="auto"/>
        </w:rPr>
        <w:t>Advancement of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these Bylaws, the Corporation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all reasonable expenses (including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6.3: </w:t>
      </w: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conferred on any person in this Article VI shall not be exclusive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6.4: </w:t>
      </w:r>
      <w:r>
        <w:rPr>
          <w:rFonts w:ascii="Times New Roman" w:cs="Times New Roman" w:eastAsia="Times New Roman" w:hAnsi="Times New Roman"/>
          <w:sz w:val="22"/>
          <w:szCs w:val="22"/>
          <w:b w:val="1"/>
          <w:bCs w:val="1"/>
          <w:u w:val="single" w:color="auto"/>
          <w:color w:val="auto"/>
        </w:rPr>
        <w:t>Indemnification Contracts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is authorized to cause the Corporation to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contracts with any director, officer, employee or agent of the Corporation, or any person serving at the request of the Corporation as a director, officer, employee, agent or trustee of another corporation, partnership, joint venture, trust or other enterprise or non-profit entity, including employee benefit plans, providing indemnification or advancement rights to such person. Such rights may be greater than those provided in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1240"/>
          </w:cols>
          <w:pgMar w:left="320" w:top="1003" w:right="339" w:bottom="1440" w:gutter="0" w:footer="0" w:header="0"/>
        </w:sectPr>
      </w:pPr>
    </w:p>
    <w:bookmarkStart w:id="30" w:name="page31"/>
    <w:bookmarkEnd w:id="30"/>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6.5:</w:t>
      </w:r>
      <w:r>
        <w:rPr>
          <w:sz w:val="20"/>
          <w:szCs w:val="20"/>
          <w:color w:val="auto"/>
        </w:rPr>
        <w:tab/>
      </w:r>
      <w:r>
        <w:rPr>
          <w:rFonts w:ascii="Times New Roman" w:cs="Times New Roman" w:eastAsia="Times New Roman" w:hAnsi="Times New Roman"/>
          <w:sz w:val="21"/>
          <w:szCs w:val="21"/>
          <w:b w:val="1"/>
          <w:bCs w:val="1"/>
          <w:u w:val="single" w:color="auto"/>
          <w:color w:val="auto"/>
        </w:rPr>
        <w:t>Right of Indemnitee to Bring Suit</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u w:val="single" w:color="auto"/>
          <w:color w:val="auto"/>
        </w:rPr>
        <w:t>Right to Bring Suit</w:t>
      </w:r>
      <w:r>
        <w:rPr>
          <w:rFonts w:ascii="Times New Roman" w:cs="Times New Roman" w:eastAsia="Times New Roman" w:hAnsi="Times New Roman"/>
          <w:sz w:val="22"/>
          <w:szCs w:val="22"/>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u w:val="single" w:color="auto"/>
          <w:color w:val="auto"/>
        </w:rPr>
        <w:t>Effect of Determination</w:t>
      </w:r>
      <w:r>
        <w:rPr>
          <w:rFonts w:ascii="Times New Roman" w:cs="Times New Roman" w:eastAsia="Times New Roman" w:hAnsi="Times New Roman"/>
          <w:sz w:val="22"/>
          <w:szCs w:val="22"/>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22"/>
          <w:szCs w:val="22"/>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6.6: </w:t>
      </w:r>
      <w:r>
        <w:rPr>
          <w:rFonts w:ascii="Times New Roman" w:cs="Times New Roman" w:eastAsia="Times New Roman" w:hAnsi="Times New Roman"/>
          <w:sz w:val="22"/>
          <w:szCs w:val="22"/>
          <w:b w:val="1"/>
          <w:bCs w:val="1"/>
          <w:u w:val="single" w:color="auto"/>
          <w:color w:val="auto"/>
        </w:rPr>
        <w:t>Nature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conferred upon Indemnitees in this Article VI shall be contract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rights shall continue as to an Indemnitee who has ceased to be a director or officer and shall inure to the benefit of the Indemnitee’s heirs, executors and administrators.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6.7: </w:t>
      </w:r>
      <w:r>
        <w:rPr>
          <w:rFonts w:ascii="Times New Roman" w:cs="Times New Roman" w:eastAsia="Times New Roman" w:hAnsi="Times New Roman"/>
          <w:sz w:val="22"/>
          <w:szCs w:val="22"/>
          <w:b w:val="1"/>
          <w:bCs w:val="1"/>
          <w:u w:val="single" w:color="auto"/>
          <w:color w:val="auto"/>
        </w:rPr>
        <w:t>Amendment or Repeal</w:t>
      </w:r>
      <w:r>
        <w:rPr>
          <w:rFonts w:ascii="Times New Roman" w:cs="Times New Roman" w:eastAsia="Times New Roman" w:hAnsi="Times New Roman"/>
          <w:sz w:val="22"/>
          <w:szCs w:val="22"/>
          <w:color w:val="auto"/>
        </w:rPr>
        <w:t>. Any amendment, repeal or modification of any provision of this Article VI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6.8: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may purchase and maintain insurance, at its expense, to protect itself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officer, 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6.9: </w:t>
      </w:r>
      <w:r>
        <w:rPr>
          <w:rFonts w:ascii="Times New Roman" w:cs="Times New Roman" w:eastAsia="Times New Roman" w:hAnsi="Times New Roman"/>
          <w:sz w:val="22"/>
          <w:szCs w:val="22"/>
          <w:b w:val="1"/>
          <w:bCs w:val="1"/>
          <w:u w:val="single" w:color="auto"/>
          <w:color w:val="auto"/>
        </w:rPr>
        <w:t>Indemnification for Successful Defense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an Indemnitee has been successful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merits or otherwise in defense 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6.5 (notwithstanding anything to the contrary therein); provided, however, that, any Indemnitee who is not a current or former director or officer (as such term is defined in the final sentence of Section 145(c)(1) of the DGCL) shall be entitled to indemnification under Section 6.1 and this Section 6.9 only if such Indemnitee has satisfied the standard of conduct required for indemnification under Section 145(a) or Section 145(b)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99" w:right="339" w:bottom="1440" w:gutter="0" w:footer="0" w:header="0"/>
        </w:sectPr>
      </w:pPr>
    </w:p>
    <w:bookmarkStart w:id="31" w:name="page32"/>
    <w:bookmarkEnd w:id="31"/>
    <w:p>
      <w:pPr>
        <w:jc w:val="center"/>
        <w:spacing w:after="0"/>
        <w:tabs>
          <w:tab w:leader="none" w:pos="220" w:val="left"/>
        </w:tabs>
        <w:rPr>
          <w:sz w:val="20"/>
          <w:szCs w:val="20"/>
          <w:color w:val="auto"/>
        </w:rPr>
      </w:pPr>
      <w:r>
        <w:rPr>
          <w:rFonts w:ascii="Times New Roman" w:cs="Times New Roman" w:eastAsia="Times New Roman" w:hAnsi="Times New Roman"/>
          <w:sz w:val="22"/>
          <w:szCs w:val="22"/>
          <w:b w:val="1"/>
          <w:bCs w:val="1"/>
          <w:color w:val="auto"/>
        </w:rPr>
        <w:t>Article VII:</w:t>
      </w:r>
      <w:r>
        <w:rPr>
          <w:sz w:val="20"/>
          <w:szCs w:val="20"/>
          <w:color w:val="auto"/>
        </w:rPr>
        <w:tab/>
      </w:r>
      <w:r>
        <w:rPr>
          <w:rFonts w:ascii="Times New Roman" w:cs="Times New Roman" w:eastAsia="Times New Roman" w:hAnsi="Times New Roman"/>
          <w:sz w:val="21"/>
          <w:szCs w:val="21"/>
          <w:b w:val="1"/>
          <w:bCs w:val="1"/>
          <w:color w:val="auto"/>
        </w:rPr>
        <w:t>NOTICES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7.1:</w:t>
      </w:r>
      <w:r>
        <w:rPr>
          <w:sz w:val="20"/>
          <w:szCs w:val="20"/>
          <w:color w:val="auto"/>
        </w:rPr>
        <w:tab/>
      </w: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Form and Delivery</w:t>
      </w:r>
      <w:r>
        <w:rPr>
          <w:rFonts w:ascii="Times New Roman" w:cs="Times New Roman" w:eastAsia="Times New Roman" w:hAnsi="Times New Roman"/>
          <w:sz w:val="22"/>
          <w:szCs w:val="22"/>
          <w:color w:val="auto"/>
        </w:rPr>
        <w:t>. Except as otherwise required by law, notice may be given in writing directed to a stockholder’s 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Affidavit of Giving Notice</w:t>
      </w:r>
      <w:r>
        <w:rPr>
          <w:rFonts w:ascii="Times New Roman" w:cs="Times New Roman" w:eastAsia="Times New Roman" w:hAnsi="Times New Roman"/>
          <w:sz w:val="22"/>
          <w:szCs w:val="22"/>
          <w:color w:val="auto"/>
        </w:rPr>
        <w:t>. 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b w:val="1"/>
          <w:bCs w:val="1"/>
          <w:u w:val="single" w:color="auto"/>
          <w:color w:val="auto"/>
        </w:rPr>
        <w:t>Waiver of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notice is required to be given under any provision of the DGCL,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  INTERESTED DIRECTORS</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8.1: </w:t>
      </w:r>
      <w:r>
        <w:rPr>
          <w:rFonts w:ascii="Times New Roman" w:cs="Times New Roman" w:eastAsia="Times New Roman" w:hAnsi="Times New Roman"/>
          <w:sz w:val="22"/>
          <w:szCs w:val="22"/>
          <w:b w:val="1"/>
          <w:bCs w:val="1"/>
          <w:u w:val="single" w:color="auto"/>
          <w:color w:val="auto"/>
        </w:rPr>
        <w:t>Interested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contract or transaction between the Corporation and one or more of its members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99" w:right="339" w:bottom="1440" w:gutter="0" w:footer="0" w:header="0"/>
        </w:sectPr>
      </w:pPr>
    </w:p>
    <w:bookmarkStart w:id="32" w:name="page33"/>
    <w:bookmarkEnd w:id="32"/>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8.2: </w:t>
      </w:r>
      <w:r>
        <w:rPr>
          <w:rFonts w:ascii="Times New Roman" w:cs="Times New Roman" w:eastAsia="Times New Roman" w:hAnsi="Times New Roman"/>
          <w:sz w:val="22"/>
          <w:szCs w:val="22"/>
          <w:b w:val="1"/>
          <w:bCs w:val="1"/>
          <w:u w:val="single" w:color="auto"/>
          <w:color w:val="auto"/>
        </w:rPr>
        <w:t>Quorum</w:t>
      </w:r>
      <w:r>
        <w:rPr>
          <w:rFonts w:ascii="Times New Roman" w:cs="Times New Roman" w:eastAsia="Times New Roman" w:hAnsi="Times New Roman"/>
          <w:sz w:val="22"/>
          <w:szCs w:val="22"/>
          <w:color w:val="auto"/>
        </w:rPr>
        <w:t>. Interested directors may be counted in determining the presence of a quorum at a meeting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of a committee which authorizes the contract or transaction.</w:t>
      </w:r>
    </w:p>
    <w:p>
      <w:pPr>
        <w:spacing w:after="0" w:line="146" w:lineRule="exact"/>
        <w:rPr>
          <w:sz w:val="20"/>
          <w:szCs w:val="20"/>
          <w:color w:val="auto"/>
        </w:rPr>
      </w:pPr>
    </w:p>
    <w:p>
      <w:pPr>
        <w:ind w:left="4000"/>
        <w:spacing w:after="0"/>
        <w:tabs>
          <w:tab w:leader="none" w:pos="5320" w:val="left"/>
        </w:tabs>
        <w:rPr>
          <w:sz w:val="20"/>
          <w:szCs w:val="20"/>
          <w:color w:val="auto"/>
        </w:rPr>
      </w:pPr>
      <w:r>
        <w:rPr>
          <w:rFonts w:ascii="Times New Roman" w:cs="Times New Roman" w:eastAsia="Times New Roman" w:hAnsi="Times New Roman"/>
          <w:sz w:val="22"/>
          <w:szCs w:val="22"/>
          <w:b w:val="1"/>
          <w:bCs w:val="1"/>
          <w:color w:val="auto"/>
        </w:rPr>
        <w:t>Article IX:</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Fiscal Year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fiscal year of the Corporation shall be determined by resolution of the Board.</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9.2: </w:t>
      </w:r>
      <w:r>
        <w:rPr>
          <w:rFonts w:ascii="Times New Roman" w:cs="Times New Roman" w:eastAsia="Times New Roman" w:hAnsi="Times New Roman"/>
          <w:sz w:val="22"/>
          <w:szCs w:val="22"/>
          <w:b w:val="1"/>
          <w:bCs w:val="1"/>
          <w:u w:val="single" w:color="auto"/>
          <w:color w:val="auto"/>
        </w:rPr>
        <w:t>Seal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provide for a corporate seal, which may have the name of the Corporation inscribed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thereon and shall otherwise be in such form as may be approved from time to time by the Board.</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9.3: </w:t>
      </w:r>
      <w:r>
        <w:rPr>
          <w:rFonts w:ascii="Times New Roman" w:cs="Times New Roman" w:eastAsia="Times New Roman" w:hAnsi="Times New Roman"/>
          <w:sz w:val="22"/>
          <w:szCs w:val="22"/>
          <w:b w:val="1"/>
          <w:bCs w:val="1"/>
          <w:u w:val="single" w:color="auto"/>
          <w:color w:val="auto"/>
        </w:rPr>
        <w:t>Form of Records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records administered by or on behalf of the Corporation in the regular course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9.4: </w:t>
      </w:r>
      <w:r>
        <w:rPr>
          <w:rFonts w:ascii="Times New Roman" w:cs="Times New Roman" w:eastAsia="Times New Roman" w:hAnsi="Times New Roman"/>
          <w:sz w:val="22"/>
          <w:szCs w:val="22"/>
          <w:b w:val="1"/>
          <w:bCs w:val="1"/>
          <w:u w:val="single" w:color="auto"/>
          <w:color w:val="auto"/>
        </w:rPr>
        <w:t>Reliance Upon Books and Records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member of the Board, or a member of any committee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9.5: </w:t>
      </w:r>
      <w:r>
        <w:rPr>
          <w:rFonts w:ascii="Times New Roman" w:cs="Times New Roman" w:eastAsia="Times New Roman" w:hAnsi="Times New Roman"/>
          <w:sz w:val="22"/>
          <w:szCs w:val="22"/>
          <w:b w:val="1"/>
          <w:bCs w:val="1"/>
          <w:u w:val="single" w:color="auto"/>
          <w:color w:val="auto"/>
        </w:rPr>
        <w:t>Certificate of Incorporation Governs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conflict between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and these Bylaws, the provisions of the Certificate of Incorporation shall govern.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9.6: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these Bylaws shall be held to be invalid, illegal, unenforceable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9.7: </w:t>
      </w:r>
      <w:r>
        <w:rPr>
          <w:rFonts w:ascii="Times New Roman" w:cs="Times New Roman" w:eastAsia="Times New Roman" w:hAnsi="Times New Roman"/>
          <w:sz w:val="21"/>
          <w:szCs w:val="21"/>
          <w:b w:val="1"/>
          <w:bCs w:val="1"/>
          <w:u w:val="single" w:color="auto"/>
          <w:color w:val="auto"/>
        </w:rPr>
        <w:t>Time Periods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applying any provision of these Bylaws which requires that an act be done or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46" w:lineRule="exact"/>
        <w:rPr>
          <w:sz w:val="20"/>
          <w:szCs w:val="20"/>
          <w:color w:val="auto"/>
        </w:rPr>
      </w:pPr>
    </w:p>
    <w:p>
      <w:pPr>
        <w:jc w:val="center"/>
        <w:ind w:right="-19"/>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Article X:</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150" w:lineRule="exact"/>
        <w:rPr>
          <w:sz w:val="20"/>
          <w:szCs w:val="20"/>
          <w:color w:val="auto"/>
        </w:rPr>
      </w:pPr>
    </w:p>
    <w:p>
      <w:pPr>
        <w:ind w:left="3880"/>
        <w:spacing w:after="0"/>
        <w:tabs>
          <w:tab w:leader="none" w:pos="5200" w:val="left"/>
        </w:tabs>
        <w:rPr>
          <w:sz w:val="20"/>
          <w:szCs w:val="20"/>
          <w:color w:val="auto"/>
        </w:rPr>
      </w:pPr>
      <w:r>
        <w:rPr>
          <w:rFonts w:ascii="Times New Roman" w:cs="Times New Roman" w:eastAsia="Times New Roman" w:hAnsi="Times New Roman"/>
          <w:sz w:val="22"/>
          <w:szCs w:val="22"/>
          <w:b w:val="1"/>
          <w:bCs w:val="1"/>
          <w:color w:val="auto"/>
        </w:rPr>
        <w:t>Article XI:</w:t>
      </w:r>
      <w:r>
        <w:rPr>
          <w:sz w:val="20"/>
          <w:szCs w:val="20"/>
          <w:color w:val="auto"/>
        </w:rPr>
        <w:tab/>
      </w:r>
      <w:r>
        <w:rPr>
          <w:rFonts w:ascii="Times New Roman" w:cs="Times New Roman" w:eastAsia="Times New Roman" w:hAnsi="Times New Roman"/>
          <w:sz w:val="21"/>
          <w:szCs w:val="21"/>
          <w:b w:val="1"/>
          <w:bCs w:val="1"/>
          <w:color w:val="auto"/>
        </w:rPr>
        <w:t>EXCLUSIVE FORUM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to the fullest extent permitted by law,</w:t>
      </w:r>
    </w:p>
    <w:p>
      <w:pPr>
        <w:jc w:val="both"/>
        <w:ind w:firstLine="8"/>
        <w:spacing w:after="0" w:line="214" w:lineRule="auto"/>
        <w:tabs>
          <w:tab w:leader="none" w:pos="25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federal district courts of the United States shall be the exclusive forum for the resolution of any complaint asserting a cause of action arising under the Securities Act, including all causes of action asserted against any defendant named in such complaint, and (ii) the Court of Chancery of the State of Delaware (or, if the Court of Chancery does not have jurisdiction, the United States District Court for the District of Delaware), shall be the sole and exclusive forum for (a) any derivative action or proceeding brought in the name or right of the Corporation or on behalf of the Corporation, (b) any action or proceeding asserting a claim that is based upon a breach of a duty owed by a current or former director, officer, employee, agent or stockholder of the Corporation to the Corporation or the Corporation’s stockholders, (c) any action or proceeding arising or asserting a claim arising pursuant to any provision of the DGCL (or as to which the DGCL confers jurisdiction upon the Court of Chancery) or any provision of the Certificate of Incorporation, any designation relating to any outstanding to any series of preferred stock, or these Bylaws, (d) any action to interpret, apply, enforce, or determine the validity of the Certificate of Incorporation or these Bylaws, or</w:t>
      </w:r>
    </w:p>
    <w:p>
      <w:pPr>
        <w:spacing w:after="0" w:line="6" w:lineRule="exact"/>
        <w:rPr>
          <w:rFonts w:ascii="Times New Roman" w:cs="Times New Roman" w:eastAsia="Times New Roman" w:hAnsi="Times New Roman"/>
          <w:sz w:val="21"/>
          <w:szCs w:val="21"/>
          <w:color w:val="auto"/>
        </w:rPr>
      </w:pPr>
    </w:p>
    <w:p>
      <w:pPr>
        <w:jc w:val="both"/>
        <w:ind w:firstLine="8"/>
        <w:spacing w:after="0" w:line="211" w:lineRule="auto"/>
        <w:tabs>
          <w:tab w:leader="none" w:pos="30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asserting a claim governed by the internal affairs doctrine. For the avoidance of doubt, this Article XI is intended to benefit and may be enforced by the Corporation,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99" w:right="339" w:bottom="1440" w:gutter="0" w:footer="0" w:header="0"/>
        </w:sectPr>
      </w:pPr>
    </w:p>
    <w:bookmarkStart w:id="34" w:name="page35"/>
    <w:bookmarkEnd w:id="34"/>
    <w:p>
      <w:pPr>
        <w:ind w:left="2660"/>
        <w:spacing w:after="0"/>
        <w:rPr>
          <w:sz w:val="20"/>
          <w:szCs w:val="20"/>
          <w:color w:val="auto"/>
        </w:rPr>
      </w:pPr>
      <w:r>
        <w:rPr>
          <w:rFonts w:ascii="Times New Roman" w:cs="Times New Roman" w:eastAsia="Times New Roman" w:hAnsi="Times New Roman"/>
          <w:sz w:val="22"/>
          <w:szCs w:val="22"/>
          <w:b w:val="1"/>
          <w:bCs w:val="1"/>
          <w:color w:val="auto"/>
        </w:rPr>
        <w:t>CERTIFICATION OF AMENDED AND RESTATED BYLAWS</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490" w:lineRule="auto"/>
        <w:rPr>
          <w:sz w:val="20"/>
          <w:szCs w:val="20"/>
          <w:color w:val="auto"/>
        </w:rPr>
      </w:pPr>
      <w:r>
        <w:rPr>
          <w:rFonts w:ascii="Times New Roman" w:cs="Times New Roman" w:eastAsia="Times New Roman" w:hAnsi="Times New Roman"/>
          <w:sz w:val="22"/>
          <w:szCs w:val="22"/>
          <w:color w:val="auto"/>
        </w:rPr>
        <w:t>I, Kevin Feeley, certify that I am Secretary of GeneDx Holdings Corp., a Delaware corporation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that I am duly authorized to make and deliver this certification, that the attached Bylaws are a true and complete copy of the Amended and Restated Bylaws of the Corporation in effect as of the date of this certificate.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-13970</wp:posOffset>
            </wp:positionV>
            <wp:extent cx="1036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Kevin Feeley</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1240"/>
          </w:cols>
          <w:pgMar w:left="320" w:top="10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66" w:lineRule="auto"/>
        <w:rPr>
          <w:sz w:val="20"/>
          <w:szCs w:val="20"/>
          <w:color w:val="auto"/>
        </w:rPr>
      </w:pPr>
      <w:r>
        <w:rPr>
          <w:rFonts w:ascii="Arial" w:cs="Arial" w:eastAsia="Arial" w:hAnsi="Arial"/>
          <w:sz w:val="27"/>
          <w:szCs w:val="27"/>
          <w:b w:val="1"/>
          <w:bCs w:val="1"/>
          <w:color w:val="auto"/>
        </w:rPr>
        <w:t>Sema4 Announces Name Change to GeneDx and Provides Preliminary 2022 Financial Results and 2023 Guidance</w:t>
      </w:r>
    </w:p>
    <w:p>
      <w:pPr>
        <w:spacing w:after="0" w:line="152" w:lineRule="exact"/>
        <w:rPr>
          <w:sz w:val="20"/>
          <w:szCs w:val="20"/>
          <w:color w:val="auto"/>
        </w:rPr>
      </w:pPr>
    </w:p>
    <w:p>
      <w:pPr>
        <w:jc w:val="center"/>
        <w:ind w:left="340" w:right="420"/>
        <w:spacing w:after="0" w:line="246" w:lineRule="auto"/>
        <w:rPr>
          <w:sz w:val="20"/>
          <w:szCs w:val="20"/>
          <w:color w:val="auto"/>
        </w:rPr>
      </w:pPr>
      <w:r>
        <w:rPr>
          <w:rFonts w:ascii="Arial" w:cs="Arial" w:eastAsia="Arial" w:hAnsi="Arial"/>
          <w:sz w:val="22"/>
          <w:szCs w:val="22"/>
          <w:i w:val="1"/>
          <w:iCs w:val="1"/>
          <w:color w:val="auto"/>
        </w:rPr>
        <w:t>Company expects to exceed 2022 revenue target with strong momentum to deliver continued growth in 2023 combining GeneDx and Centrellis</w:t>
      </w:r>
      <w:r>
        <w:rPr>
          <w:rFonts w:ascii="Arial" w:cs="Arial" w:eastAsia="Arial" w:hAnsi="Arial"/>
          <w:sz w:val="22"/>
          <w:szCs w:val="22"/>
          <w:color w:val="auto"/>
        </w:rPr>
        <w:t>®</w:t>
      </w:r>
      <w:r>
        <w:rPr>
          <w:rFonts w:ascii="Arial" w:cs="Arial" w:eastAsia="Arial" w:hAnsi="Arial"/>
          <w:sz w:val="22"/>
          <w:szCs w:val="22"/>
          <w:i w:val="1"/>
          <w:iCs w:val="1"/>
          <w:color w:val="auto"/>
        </w:rPr>
        <w:t xml:space="preserve"> platforms</w:t>
      </w:r>
    </w:p>
    <w:p>
      <w:pPr>
        <w:spacing w:after="0" w:line="183" w:lineRule="exact"/>
        <w:rPr>
          <w:sz w:val="20"/>
          <w:szCs w:val="20"/>
          <w:color w:val="auto"/>
        </w:rPr>
      </w:pPr>
    </w:p>
    <w:p>
      <w:pPr>
        <w:ind w:right="680" w:firstLine="684"/>
        <w:spacing w:after="0" w:line="358" w:lineRule="auto"/>
        <w:rPr>
          <w:sz w:val="20"/>
          <w:szCs w:val="20"/>
          <w:color w:val="auto"/>
        </w:rPr>
      </w:pPr>
      <w:r>
        <w:rPr>
          <w:rFonts w:ascii="Arial" w:cs="Arial" w:eastAsia="Arial" w:hAnsi="Arial"/>
          <w:sz w:val="21"/>
          <w:szCs w:val="21"/>
          <w:i w:val="1"/>
          <w:iCs w:val="1"/>
          <w:color w:val="auto"/>
        </w:rPr>
        <w:t xml:space="preserve">Company’s common stock will trade on the Nasdaq under new ticker “WGS” effective January 10, 2023 </w:t>
      </w:r>
      <w:r>
        <w:rPr>
          <w:rFonts w:ascii="Arial" w:cs="Arial" w:eastAsia="Arial" w:hAnsi="Arial"/>
          <w:sz w:val="21"/>
          <w:szCs w:val="21"/>
          <w:color w:val="auto"/>
        </w:rPr>
        <w:t>STAMFORD, Conn., Jan. 9, 2023 (GLOBE NEWSWIRE) -- Sema4 (Nasdaq: SMFR) today announced it has</w:t>
      </w:r>
    </w:p>
    <w:p>
      <w:pPr>
        <w:spacing w:after="0" w:line="2"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changed its name from Sema4 Holdings Corp. to GeneDx Holdings Corp. GeneDx (Nasdaq: WGS), a leader in delivering improved health outcomes through genomic and clinical insights, is uniquely positioned to accelerate the use of genomic and large-scale clinical information to enable precision medicine as the standard of care.</w:t>
      </w:r>
    </w:p>
    <w:p>
      <w:pPr>
        <w:spacing w:after="0" w:line="191" w:lineRule="exact"/>
        <w:rPr>
          <w:sz w:val="20"/>
          <w:szCs w:val="20"/>
          <w:color w:val="auto"/>
        </w:rPr>
      </w:pPr>
    </w:p>
    <w:p>
      <w:pPr>
        <w:ind w:right="260"/>
        <w:spacing w:after="0" w:line="227" w:lineRule="auto"/>
        <w:rPr>
          <w:sz w:val="20"/>
          <w:szCs w:val="20"/>
          <w:color w:val="auto"/>
        </w:rPr>
      </w:pPr>
      <w:r>
        <w:rPr>
          <w:rFonts w:ascii="Arial" w:cs="Arial" w:eastAsia="Arial" w:hAnsi="Arial"/>
          <w:sz w:val="22"/>
          <w:szCs w:val="22"/>
          <w:color w:val="auto"/>
        </w:rPr>
        <w:t>GeneDx’s industry-leading exome and genome testing is enhanced by Centrellis®, its innovative health information platform. Powered by one of the world’s largest rare-disease datasets and millions of medical records, Centrellis integrates digital tools with artificial intelligence to ingest and synthesize clinical and genomic data. GeneDx is developing a more complete understanding of complex disease than ever before, which translates to faster diagnoses, more effective treatment plans and enhanced drug discovery.</w:t>
      </w:r>
    </w:p>
    <w:p>
      <w:pPr>
        <w:spacing w:after="0" w:line="194"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“For more than 20 years, GeneDx has earned the constant trust of the world’s genetics experts, while pioneering and increasing the use of its clinically actionable exome and genome analysis. By combining the best of GeneDx and Sema4 to continue our growth, we sit at the intersection of diagnostics and data science, pairing decades of genomic interpretation expertise with an unmatched ability to analyze clinical data at scale. GeneDx now has the capability to combine the power of genomic insights with clinical data to improve health care for people and populations,” said Katherine Stueland, President and CEO of GeneDx.</w:t>
      </w:r>
    </w:p>
    <w:p>
      <w:pPr>
        <w:spacing w:after="0" w:line="192" w:lineRule="exact"/>
        <w:rPr>
          <w:sz w:val="20"/>
          <w:szCs w:val="20"/>
          <w:color w:val="auto"/>
        </w:rPr>
      </w:pPr>
    </w:p>
    <w:p>
      <w:pPr>
        <w:ind w:right="200"/>
        <w:spacing w:after="0" w:line="230" w:lineRule="auto"/>
        <w:rPr>
          <w:sz w:val="20"/>
          <w:szCs w:val="20"/>
          <w:color w:val="auto"/>
        </w:rPr>
      </w:pPr>
      <w:r>
        <w:rPr>
          <w:rFonts w:ascii="Arial" w:cs="Arial" w:eastAsia="Arial" w:hAnsi="Arial"/>
          <w:sz w:val="22"/>
          <w:szCs w:val="22"/>
          <w:color w:val="auto"/>
        </w:rPr>
        <w:t>In conjunction with the name change, GeneDx’s shares of Class A common stock will trade under the new ticker symbol “WGS,” in recognition of the Company’s role in pioneering whole genome sequencing (WGS). The company expects its shares of Class A common stock will begin trading on the NASDAQ Stock Market under the new name and stock ticker symbol on January 10, 2023.</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2022 Financial Results (Unaudited)</w:t>
      </w:r>
    </w:p>
    <w:p>
      <w:pPr>
        <w:spacing w:after="0" w:line="249"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Excluding revenues and costs from the previously announced exited reproductive health and somatic tumor testing businesses, management expects GeneDx to:</w:t>
      </w:r>
    </w:p>
    <w:p>
      <w:pPr>
        <w:spacing w:after="0" w:line="183" w:lineRule="exact"/>
        <w:rPr>
          <w:sz w:val="20"/>
          <w:szCs w:val="20"/>
          <w:color w:val="auto"/>
        </w:rPr>
      </w:pPr>
    </w:p>
    <w:p>
      <w:pPr>
        <w:ind w:left="660" w:right="320" w:hanging="328"/>
        <w:spacing w:after="0" w:line="259"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2"/>
          <w:szCs w:val="22"/>
          <w:color w:val="auto"/>
        </w:rPr>
        <w:t>Generate pro forma revenues between $170-173 million in 2022, an approximate 37-40% increase from pro forma $123.7 million in 2021;</w:t>
      </w:r>
    </w:p>
    <w:p>
      <w:pPr>
        <w:sectPr>
          <w:pgSz w:w="11900" w:h="16838" w:orient="portrait"/>
          <w:cols w:equalWidth="0" w:num="1">
            <w:col w:w="11240"/>
          </w:cols>
          <w:pgMar w:left="320" w:top="117" w:right="339" w:bottom="1440" w:gutter="0" w:footer="0" w:header="0"/>
        </w:sectPr>
      </w:pPr>
    </w:p>
    <w:bookmarkStart w:id="36" w:name="page37"/>
    <w:bookmarkEnd w:id="36"/>
    <w:p>
      <w:pPr>
        <w:ind w:left="660" w:right="300" w:hanging="328"/>
        <w:spacing w:after="0" w:line="233"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2"/>
          <w:szCs w:val="22"/>
          <w:color w:val="auto"/>
        </w:rPr>
        <w:t>Produce pro forma test result volume of more than 180,000 in 2022, an approximate 23% increase from pro forma test result volume of 147,000 in 2021;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2"/>
          <w:szCs w:val="22"/>
          <w:color w:val="auto"/>
        </w:rPr>
        <w:t>Deliver pro forma adjusted gross margin between 38-41% in 2022, up from 34% in 2021</w:t>
      </w:r>
      <w:r>
        <w:rPr>
          <w:rFonts w:ascii="Arial" w:cs="Arial" w:eastAsia="Arial" w:hAnsi="Arial"/>
          <w:sz w:val="11"/>
          <w:szCs w:val="11"/>
          <w:color w:val="auto"/>
        </w:rPr>
        <w:t>1</w:t>
      </w:r>
      <w:r>
        <w:rPr>
          <w:rFonts w:ascii="Arial" w:cs="Arial" w:eastAsia="Arial" w:hAnsi="Arial"/>
          <w:sz w:val="22"/>
          <w:szCs w:val="22"/>
          <w:color w:val="auto"/>
        </w:rPr>
        <w:t>.</w:t>
      </w:r>
    </w:p>
    <w:p>
      <w:pPr>
        <w:spacing w:after="0" w:line="21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"We are pleased by the acceleration of our business throughout 2022, especially the fourth quarter which set a new all-time high for test result volume. Our preliminary results, which exceeded our outlook a year ago, validate our strategy to target higher growth areas of the genomics market,” said Kevin Feeley, Chief Financial Officer of GeneDx.</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Guidance (Unaudited)</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The continuing operations of GeneDx, excluding revenues and costs from exited business activities, are expected to:</w:t>
      </w:r>
    </w:p>
    <w:p>
      <w:pPr>
        <w:spacing w:after="0" w:line="228"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2"/>
          <w:szCs w:val="22"/>
          <w:color w:val="auto"/>
        </w:rPr>
        <w:t>Generate revenues between $205-220 million for full year 2023;</w:t>
      </w:r>
    </w:p>
    <w:p>
      <w:pPr>
        <w:ind w:left="640" w:hanging="308"/>
        <w:spacing w:after="0" w:line="230"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2"/>
          <w:szCs w:val="22"/>
          <w:color w:val="auto"/>
        </w:rPr>
        <w:t>Expand gross margin profile in 2023 and beyond;</w:t>
      </w:r>
    </w:p>
    <w:p>
      <w:pPr>
        <w:ind w:left="660" w:right="60" w:hanging="328"/>
        <w:spacing w:after="0" w:line="23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2"/>
          <w:szCs w:val="22"/>
          <w:color w:val="auto"/>
        </w:rPr>
        <w:t>Use net $95-110 million of cash in 2023 for continuing operations. Inclusive of servicing obligations of the exited business activities, the Company’s cash burn in 2023 is expected to be in the range of $130-145 million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2"/>
          <w:szCs w:val="22"/>
          <w:color w:val="auto"/>
        </w:rPr>
        <w:t>Turn profitable in 2025.</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GeneDx has not completed the preparation of its consolidated financial statements for the year ended December 31, 2022. The preliminary, unaudited results presented in this press release for the year ended December 31, 2022, are based on current expectations and are subject to adjustment, as the company completes the preparation of its 2022 year-end consolidated financial statements and its 2022 year-end audit. Further, the preliminary unadjusted results for 2022 and the comparable results for 2021 are presented on a pro forma basis assuming GeneDx and Sema4 were combined for the entirety of 2021 and 2022 and exclude the revenues and costs from the exited reproductive health and somatic tumor testing businesses. Actual results may differ materially from those disclosed in this press release and will include the results of the legacy GeneDx business only from the date of Sema4 Holdings Corp.’s acquisition of GeneDx on April 29, 2022, the purchase accounting associated with the acquisition of GeneDx, and will also include the financial impacts of exited Sema4 business activities for the full year.</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GeneDx will report its full financial results and other metrics during its fourth quarter and year-end 2022 conference call in early March.</w:t>
      </w:r>
    </w:p>
    <w:p>
      <w:pPr>
        <w:spacing w:after="0" w:line="183" w:lineRule="exact"/>
        <w:rPr>
          <w:sz w:val="20"/>
          <w:szCs w:val="20"/>
          <w:color w:val="auto"/>
        </w:rPr>
      </w:pPr>
    </w:p>
    <w:p>
      <w:pPr>
        <w:jc w:val="both"/>
        <w:ind w:right="60"/>
        <w:spacing w:after="0" w:line="234" w:lineRule="auto"/>
        <w:rPr>
          <w:sz w:val="20"/>
          <w:szCs w:val="20"/>
          <w:color w:val="auto"/>
        </w:rPr>
      </w:pPr>
      <w:r>
        <w:rPr>
          <w:rFonts w:ascii="Arial" w:cs="Arial" w:eastAsia="Arial" w:hAnsi="Arial"/>
          <w:sz w:val="22"/>
          <w:szCs w:val="22"/>
          <w:color w:val="auto"/>
        </w:rPr>
        <w:t>GeneDx president and CEO, Katherine Stueland, will present at the J.P. Morgan Healthcare Conference on January 12 at 10:30 am PT. Please visit ir.genedx.com to view the webcast and learn more regarding the business strategy of GeneDx.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25"/>
        </w:numPr>
        <w:rPr>
          <w:rFonts w:ascii="Calibri" w:cs="Calibri" w:eastAsia="Calibri" w:hAnsi="Calibri"/>
          <w:sz w:val="26"/>
          <w:szCs w:val="26"/>
          <w:color w:val="auto"/>
          <w:vertAlign w:val="superscript"/>
        </w:rPr>
      </w:pPr>
      <w:r>
        <w:rPr>
          <w:rFonts w:ascii="Arial" w:cs="Arial" w:eastAsia="Arial" w:hAnsi="Arial"/>
          <w:sz w:val="16"/>
          <w:szCs w:val="16"/>
          <w:color w:val="auto"/>
        </w:rPr>
        <w:t>Adjusted gross margin is a non-GAAP financial measure. GeneDx has not provided a reconciliation of its preliminary, unaudited Adjusted Gross Margin to</w:t>
      </w:r>
    </w:p>
    <w:p>
      <w:pPr>
        <w:spacing w:after="0" w:line="216" w:lineRule="auto"/>
        <w:rPr>
          <w:sz w:val="20"/>
          <w:szCs w:val="20"/>
          <w:color w:val="auto"/>
        </w:rPr>
      </w:pPr>
      <w:r>
        <w:rPr>
          <w:rFonts w:ascii="Arial" w:cs="Arial" w:eastAsia="Arial" w:hAnsi="Arial"/>
          <w:sz w:val="16"/>
          <w:szCs w:val="16"/>
          <w:color w:val="auto"/>
        </w:rPr>
        <w:t>the most directly comparable GAAP measure because certain items excluded from GAAP cannot be reasonably calculated or predicted at this time.</w:t>
      </w:r>
    </w:p>
    <w:p>
      <w:pPr>
        <w:spacing w:after="0"/>
        <w:rPr>
          <w:sz w:val="20"/>
          <w:szCs w:val="20"/>
          <w:color w:val="auto"/>
        </w:rPr>
      </w:pPr>
      <w:r>
        <w:rPr>
          <w:rFonts w:ascii="Arial" w:cs="Arial" w:eastAsia="Arial" w:hAnsi="Arial"/>
          <w:sz w:val="16"/>
          <w:szCs w:val="16"/>
          <w:color w:val="auto"/>
        </w:rPr>
        <w:t>Accordingly, a reconciliation is not available without unreasonable effort.</w:t>
      </w:r>
    </w:p>
    <w:p>
      <w:pPr>
        <w:sectPr>
          <w:pgSz w:w="11900" w:h="16838" w:orient="portrait"/>
          <w:cols w:equalWidth="0" w:num="1">
            <w:col w:w="11200"/>
          </w:cols>
          <w:pgMar w:left="320" w:top="1409" w:right="37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Safe Harbor Statements</w:t>
      </w:r>
    </w:p>
    <w:p>
      <w:pPr>
        <w:spacing w:after="0" w:line="235"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This press release contains certain forward-looking statements within the meaning of the federal securities laws, including statements regarding our future performance and our market opportunity, including our preliminary, unaudited pro forma revenue, pro forma test result volumes and pro forma adjusted gross margins for 2022, our expected full year 2023 reported revenue guidance, our expectations regarding our gross margin profile in 2023 and beyond, our use of cash for continuing operations and our cash burn in 2023 and our turning profitable in 2025, our expectations for our growth and future investment in our business, our expectations regarding our plans to pursue a new strategic direction and exit our reproductive health and somatic tumor testing businesses, and the timing of the transition to our new Nasdaq ticker symbol “WGS”.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completion of the preparation of our 2022 year-end financial statements (including all required disclosures) and our 2022 year-end audit; (ii) the ability to implement business plans, goals and forecasts, and identify and realize additional opportunities, (iii) the risk of downturns and a changing regulatory landscape in the highly competitive healthcare industry, (iv) the size and growth of the market in which we operate, (v) our ability to pursue our new strategic direction and exit our reproductive health and somatic tumor testing businesses. The foregoing list of factors is not exhaustive. You should carefully consider the foregoing factors and the other risks and uncertainties described in the “Risk Factors” section of our Annual Report on Form 10-K for the fiscal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293849"/>
        </w:rPr>
        <w:t>About GeneDx (formerly Sema4)</w:t>
      </w:r>
    </w:p>
    <w:p>
      <w:pPr>
        <w:spacing w:after="0" w:line="154" w:lineRule="exact"/>
        <w:rPr>
          <w:sz w:val="20"/>
          <w:szCs w:val="20"/>
          <w:color w:val="auto"/>
        </w:rPr>
      </w:pPr>
    </w:p>
    <w:p>
      <w:pPr>
        <w:ind w:right="220"/>
        <w:spacing w:after="0" w:line="227" w:lineRule="auto"/>
        <w:rPr>
          <w:sz w:val="20"/>
          <w:szCs w:val="20"/>
          <w:color w:val="auto"/>
        </w:rPr>
      </w:pPr>
      <w:r>
        <w:rPr>
          <w:rFonts w:ascii="Arial" w:cs="Arial" w:eastAsia="Arial" w:hAnsi="Arial"/>
          <w:sz w:val="22"/>
          <w:szCs w:val="22"/>
          <w:color w:val="auto"/>
        </w:rPr>
        <w:t>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 interpretation, fueled by one of the world’s largest rare disease data sets. For more</w:t>
      </w:r>
    </w:p>
    <w:p>
      <w:pPr>
        <w:sectPr>
          <w:pgSz w:w="11900" w:h="16838" w:orient="portrait"/>
          <w:cols w:equalWidth="0" w:num="1">
            <w:col w:w="11160"/>
          </w:cols>
          <w:pgMar w:left="320" w:top="1407" w:right="419" w:bottom="1440" w:gutter="0" w:footer="0" w:header="0"/>
        </w:sectPr>
      </w:pPr>
    </w:p>
    <w:bookmarkStart w:id="38" w:name="page39"/>
    <w:bookmarkEnd w:id="38"/>
    <w:p>
      <w:pPr>
        <w:spacing w:after="0"/>
        <w:rPr>
          <w:sz w:val="20"/>
          <w:szCs w:val="20"/>
          <w:color w:val="auto"/>
        </w:rPr>
      </w:pPr>
      <w:r>
        <w:rPr>
          <w:rFonts w:ascii="Arial" w:cs="Arial" w:eastAsia="Arial" w:hAnsi="Arial"/>
          <w:sz w:val="21"/>
          <w:szCs w:val="21"/>
          <w:color w:val="auto"/>
        </w:rPr>
        <w:t>information, please visit genedx.com and connect with us on LinkedIn, Facebook, and Instagram.</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Media contact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Stephanie Kahan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Press@GeneDx.com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Investor contact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Tricia Truehart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investors@genedx.com</w:t>
      </w:r>
    </w:p>
    <w:sectPr>
      <w:pgSz w:w="11900" w:h="16838" w:orient="portrait"/>
      <w:cols w:equalWidth="0" w:num="1">
        <w:col w:w="10139"/>
      </w:cols>
      <w:pgMar w:left="32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1"/>
    </w:lvl>
  </w:abstractNum>
  <w:abstractNum w:abstractNumId="4">
    <w:nsid w:val="1BEFD79F"/>
    <w:multiLevelType w:val="hybridMultilevel"/>
    <w:lvl w:ilvl="0">
      <w:lvlJc w:val="left"/>
      <w:lvlText w:val="(%1)"/>
      <w:numFmt w:val="lowerLetter"/>
      <w:start w:val="5"/>
    </w:lvl>
  </w:abstractNum>
  <w:abstractNum w:abstractNumId="5">
    <w:nsid w:val="41A7C4C9"/>
    <w:multiLevelType w:val="hybridMultilevel"/>
    <w:lvl w:ilvl="0">
      <w:lvlJc w:val="left"/>
      <w:lvlText w:val="(%1)"/>
      <w:numFmt w:val="lowerLetter"/>
      <w:start w:val="1"/>
    </w:lvl>
    <w:lvl w:ilvl="1">
      <w:lvlJc w:val="left"/>
      <w:lvlText w:val="(%2)"/>
      <w:numFmt w:val="lowerLetter"/>
      <w:start w:val="9"/>
    </w:lvl>
  </w:abstractNum>
  <w:abstractNum w:abstractNumId="6">
    <w:nsid w:val="6B68079A"/>
    <w:multiLevelType w:val="hybridMultilevel"/>
    <w:lvl w:ilvl="0">
      <w:lvlJc w:val="left"/>
      <w:lvlText w:val="(%1)"/>
      <w:numFmt w:val="lowerRoman"/>
      <w:start w:val="2"/>
    </w:lvl>
  </w:abstractNum>
  <w:abstractNum w:abstractNumId="7">
    <w:nsid w:val="4E6AFB66"/>
    <w:multiLevelType w:val="hybridMultilevel"/>
    <w:lvl w:ilvl="0">
      <w:lvlJc w:val="left"/>
      <w:lvlText w:val="(%1)"/>
      <w:numFmt w:val="decimal"/>
      <w:start w:val="60"/>
    </w:lvl>
  </w:abstractNum>
  <w:abstractNum w:abstractNumId="8">
    <w:nsid w:val="25E45D32"/>
    <w:multiLevelType w:val="hybridMultilevel"/>
    <w:lvl w:ilvl="0">
      <w:lvlJc w:val="left"/>
      <w:lvlText w:val="(%1)"/>
      <w:numFmt w:val="lowerLetter"/>
      <w:start w:val="3"/>
    </w:lvl>
    <w:lvl w:ilvl="1">
      <w:lvlJc w:val="left"/>
      <w:lvlText w:val="(%2)"/>
      <w:numFmt w:val="lowerRoman"/>
      <w:start w:val="1"/>
    </w:lvl>
  </w:abstractNum>
  <w:abstractNum w:abstractNumId="9">
    <w:nsid w:val="519B500D"/>
    <w:multiLevelType w:val="hybridMultilevel"/>
    <w:lvl w:ilvl="0">
      <w:lvlJc w:val="left"/>
      <w:lvlText w:val="(%1)"/>
      <w:numFmt w:val="lowerLetter"/>
      <w:start w:val="4"/>
    </w:lvl>
    <w:lvl w:ilvl="1">
      <w:lvlJc w:val="left"/>
      <w:lvlText w:val="(%2)"/>
      <w:numFmt w:val="lowerRoman"/>
      <w:start w:val="1"/>
    </w:lvl>
  </w:abstractNum>
  <w:abstractNum w:abstractNumId="10">
    <w:nsid w:val="431BD7B7"/>
    <w:multiLevelType w:val="hybridMultilevel"/>
    <w:lvl w:ilvl="0">
      <w:lvlJc w:val="left"/>
      <w:lvlText w:val="(%1)"/>
      <w:numFmt w:val="lowerRoman"/>
      <w:start w:val="4"/>
    </w:lvl>
  </w:abstractNum>
  <w:abstractNum w:abstractNumId="11">
    <w:nsid w:val="3F2DBA31"/>
    <w:multiLevelType w:val="hybridMultilevel"/>
    <w:lvl w:ilvl="0">
      <w:lvlJc w:val="left"/>
      <w:lvlText w:val="(%1)"/>
      <w:numFmt w:val="lowerRoman"/>
      <w:start w:val="12"/>
    </w:lvl>
  </w:abstractNum>
  <w:abstractNum w:abstractNumId="12">
    <w:nsid w:val="7C83E458"/>
    <w:multiLevelType w:val="hybridMultilevel"/>
    <w:lvl w:ilvl="0">
      <w:lvlJc w:val="left"/>
      <w:lvlText w:val="(%1)"/>
      <w:numFmt w:val="lowerLetter"/>
      <w:start w:val="6"/>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lowerLetter"/>
      <w:start w:val="2"/>
    </w:lvl>
    <w:lvl w:ilvl="1">
      <w:lvlJc w:val="left"/>
      <w:lvlText w:val="(%2)"/>
      <w:numFmt w:val="upperLetter"/>
      <w:start w:val="1"/>
    </w:lvl>
  </w:abstractNum>
  <w:abstractNum w:abstractNumId="17">
    <w:nsid w:val="333AB105"/>
    <w:multiLevelType w:val="hybridMultilevel"/>
    <w:lvl w:ilvl="0">
      <w:lvlJc w:val="left"/>
      <w:lvlText w:val="(%1)"/>
      <w:numFmt w:val="upperLetter"/>
      <w:start w:val="6"/>
    </w:lvl>
    <w:lvl w:ilvl="1">
      <w:lvlJc w:val="left"/>
      <w:lvlText w:val="(%2)"/>
      <w:numFmt w:val="upperLetter"/>
      <w:start w:val="7"/>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9"/>
    </w:lvl>
  </w:abstractNum>
  <w:abstractNum w:abstractNumId="20">
    <w:nsid w:val="2D1D5AE9"/>
    <w:multiLevelType w:val="hybridMultilevel"/>
    <w:lvl w:ilvl="0">
      <w:lvlJc w:val="left"/>
      <w:lvlText w:val="(%1)"/>
      <w:numFmt w:val="lowerLetter"/>
      <w:start w:val="5"/>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2023-01-09T15:04:50Z</dcterms:created>
  <dcterms:modified xsi:type="dcterms:W3CDTF">2023-01-09T15:04:50Z</dcterms:modified>
</cp:coreProperties>
</file>