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Pellini Michael J</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SEMA4 HOLDINGS CORP.</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LUDLOW ST, NORTH TOWER, 8TH FL.</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STAMFORD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CT</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06902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Sema4 Holdings Corp.</w:t>
              </w:r>
            </w:hyperlink>
            <w:r>
              <w:rPr/>
              <w:t xml:space="preserve"> [ </w:t>
            </w:r>
            <w:r>
              <w:rPr>
                <w:rFonts w:ascii="Times;serif" w:hAnsi="Times;serif"/>
                <w:color w:val="0000FF"/>
                <w:sz w:val="24"/>
                <w:highlight w:val="white"/>
              </w:rPr>
              <w:t>SMFR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04/27/2022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04/27/2022</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12,836</w:t>
            </w:r>
          </w:p>
        </w:tc>
        <w:tc>
          <w:tcPr>
            <w:tcW w:w="4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7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12,836</w:t>
            </w:r>
          </w:p>
        </w:tc>
        <w:tc>
          <w:tcPr>
            <w:tcW w:w="10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194"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04/27/2022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12,836</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12,836</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RSUs will vest on the earlier of (i) the date of the next annual meeting of the Company's shareholders following the grant date and (i) the first anniversary of the grant date, in each case so long as the non-employee director continues to provide services to the Company through such vesting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Daniel Clark,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02017"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622</Words>
  <CharactersWithSpaces>3862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