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Clark Daniel Emmett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GENEDX HOLDINGS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7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2"/>
                <w:szCs w:val="12"/>
                <w:color w:val="auto"/>
              </w:rPr>
            </w:pPr>
          </w:p>
        </w:tc>
        <w:tc>
          <w:tcPr>
            <w:tcW w:w="1240" w:type="dxa"/>
            <w:vAlign w:val="bottom"/>
          </w:tcPr>
          <w:p>
            <w:pPr>
              <w:ind w:left="1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124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07/01/2022</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Former Secretary and GC</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07/01/2022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4,005</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313,552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1,207</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1.3187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312,345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4,005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07/01/2022</w:t>
            </w:r>
          </w:p>
        </w:tc>
        <w:tc>
          <w:tcPr>
            <w:tcW w:w="110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4,005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60,087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$1.215 to $1.40,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shares underlying the restricted stock units vest in quarterly installments beginning on July 1, 2022 until fully vested, subject to the Reporting Person's continued service to the Issuer on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Dan Clark</w:t>
            </w:r>
          </w:p>
        </w:tc>
        <w:tc>
          <w:tcPr>
            <w:tcW w:w="13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05/04/2023</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44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2023-05-04T19:50:04Z</dcterms:created>
  <dcterms:modified xsi:type="dcterms:W3CDTF">2023-05-04T19:50:04Z</dcterms:modified>
</cp:coreProperties>
</file>