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22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Dechairo Bryan</w:t>
              </w:r>
            </w:hyperlink>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0000EE"/>
            </w:tcBorders>
            <w:gridSpan w:val="3"/>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tcPr>
          <w:p>
            <w:pPr>
              <w:spacing w:after="0"/>
              <w:rPr>
                <w:sz w:val="4"/>
                <w:szCs w:val="4"/>
                <w:color w:val="auto"/>
              </w:rPr>
            </w:pPr>
          </w:p>
        </w:tc>
        <w:tc>
          <w:tcPr>
            <w:tcW w:w="10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4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6"/>
            <w:vMerge w:val="continue"/>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02/04/2026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333 LUDLOW ST., NORTH TOWER, 6TH</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7"/>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68"/>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02/04/2026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779</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83.0352</w:t>
            </w:r>
            <w:r>
              <w:rPr>
                <w:rFonts w:ascii="Times New Roman" w:cs="Times New Roman" w:eastAsia="Times New Roman" w:hAnsi="Times New Roman"/>
                <w:sz w:val="22"/>
                <w:szCs w:val="22"/>
                <w:color w:val="008000"/>
                <w:w w:val="95"/>
                <w:vertAlign w:val="superscript"/>
              </w:rPr>
              <w:t>(2)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9"/>
              </w:rPr>
              <w:t>5,182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02/04/2026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1,425</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83.8287</w:t>
            </w:r>
            <w:r>
              <w:rPr>
                <w:rFonts w:ascii="Times New Roman" w:cs="Times New Roman" w:eastAsia="Times New Roman" w:hAnsi="Times New Roman"/>
                <w:sz w:val="22"/>
                <w:szCs w:val="22"/>
                <w:color w:val="008000"/>
                <w:w w:val="95"/>
                <w:vertAlign w:val="superscript"/>
              </w:rPr>
              <w:t>(3)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9"/>
              </w:rPr>
              <w:t>3,757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02/04/2026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1,034</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84.928</w:t>
            </w:r>
            <w:r>
              <w:rPr>
                <w:rFonts w:ascii="Times New Roman" w:cs="Times New Roman" w:eastAsia="Times New Roman" w:hAnsi="Times New Roman"/>
                <w:sz w:val="22"/>
                <w:szCs w:val="22"/>
                <w:color w:val="008000"/>
                <w:w w:val="95"/>
                <w:vertAlign w:val="superscript"/>
              </w:rPr>
              <w:t>(4)</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9"/>
              </w:rPr>
              <w:t>2,723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02/04/2026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623</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86.3498</w:t>
            </w:r>
            <w:r>
              <w:rPr>
                <w:rFonts w:ascii="Times New Roman" w:cs="Times New Roman" w:eastAsia="Times New Roman" w:hAnsi="Times New Roman"/>
                <w:sz w:val="22"/>
                <w:szCs w:val="22"/>
                <w:color w:val="008000"/>
                <w:w w:val="95"/>
                <w:vertAlign w:val="superscript"/>
              </w:rPr>
              <w:t>(5)</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9"/>
              </w:rPr>
              <w:t>2,100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02/04/2026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1,572</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87.6613</w:t>
            </w:r>
            <w:r>
              <w:rPr>
                <w:rFonts w:ascii="Times New Roman" w:cs="Times New Roman" w:eastAsia="Times New Roman" w:hAnsi="Times New Roman"/>
                <w:sz w:val="22"/>
                <w:szCs w:val="22"/>
                <w:color w:val="008000"/>
                <w:w w:val="95"/>
                <w:vertAlign w:val="superscript"/>
              </w:rPr>
              <w:t>(6)</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rPr>
              <w:t>528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02/04/2026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328</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88.6632</w:t>
            </w:r>
            <w:r>
              <w:rPr>
                <w:rFonts w:ascii="Times New Roman" w:cs="Times New Roman" w:eastAsia="Times New Roman" w:hAnsi="Times New Roman"/>
                <w:sz w:val="22"/>
                <w:szCs w:val="22"/>
                <w:color w:val="008000"/>
                <w:w w:val="95"/>
                <w:vertAlign w:val="superscript"/>
              </w:rPr>
              <w:t>(7)</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rPr>
              <w:t>200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02/04/2026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100</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90.454</w:t>
            </w:r>
            <w:r>
              <w:rPr>
                <w:rFonts w:ascii="Times New Roman" w:cs="Times New Roman" w:eastAsia="Times New Roman" w:hAnsi="Times New Roman"/>
                <w:sz w:val="22"/>
                <w:szCs w:val="22"/>
                <w:color w:val="008000"/>
                <w:w w:val="95"/>
                <w:vertAlign w:val="superscript"/>
              </w:rPr>
              <w:t>(8)</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rPr>
              <w:t>100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02/04/2026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100</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91.92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9"/>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0</w:t>
            </w:r>
            <w:r>
              <w:rPr>
                <w:rFonts w:ascii="Times New Roman" w:cs="Times New Roman" w:eastAsia="Times New Roman" w:hAnsi="Times New Roman"/>
                <w:sz w:val="11"/>
                <w:szCs w:val="11"/>
                <w:color w:val="008000"/>
                <w:w w:val="90"/>
              </w:rPr>
              <w:t>(9)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September 15,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$82.33 to $83.31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footnotes 3 through 8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$83.33 to $84.32 per share,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$84.50 to $85.41 per share,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$85.77 to $86.70 per share,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$87.30 to $88.26 per share,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$88.34 to $88.80 per share,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$90.44 to $90.51 per share, inclusive.</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transactions, which were undertaken pursuant to the reporting person's 10b5-1 trading plan, the reporting person beneficially owned RSUs representing contingent rights to receive up to an aggregate 28,123 shares of Class A Common Stock, which RSUs vest according to their terms.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02/06/2026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175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2026-02-06T15:26:18Z</dcterms:created>
  <dcterms:modified xsi:type="dcterms:W3CDTF">2026-02-06T15:26:18Z</dcterms:modified>
</cp:coreProperties>
</file>