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2024 (June 20, 2024)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88265</wp:posOffset>
            </wp:positionV>
            <wp:extent cx="144018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62" w:right="339" w:bottom="1440" w:gutter="0" w:footer="0" w:header="0"/>
        </w:sectPr>
      </w:pPr>
    </w:p>
    <w:p>
      <w:pPr>
        <w:spacing w:after="0" w:line="27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85-1966622</w:t>
      </w:r>
    </w:p>
    <w:p>
      <w:pPr>
        <w:spacing w:after="0" w:line="65" w:lineRule="exact"/>
        <w:rPr>
          <w:sz w:val="24"/>
          <w:szCs w:val="24"/>
          <w:color w:val="auto"/>
        </w:rPr>
      </w:pPr>
    </w:p>
    <w:p>
      <w:pPr>
        <w:sectPr>
          <w:pgSz w:w="11900" w:h="16838" w:orient="portrait"/>
          <w:cols w:equalWidth="0" w:num="2">
            <w:col w:w="7280" w:space="720"/>
            <w:col w:w="3240"/>
          </w:cols>
          <w:pgMar w:left="320" w:top="126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0" w:lineRule="exact"/>
        <w:rPr>
          <w:sz w:val="24"/>
          <w:szCs w:val="24"/>
          <w:color w:val="auto"/>
        </w:rPr>
      </w:pPr>
    </w:p>
    <w:p>
      <w:pPr>
        <w:sectPr>
          <w:pgSz w:w="11900" w:h="16838" w:orient="portrait"/>
          <w:cols w:equalWidth="0" w:num="2">
            <w:col w:w="6400" w:space="720"/>
            <w:col w:w="4120"/>
          </w:cols>
          <w:pgMar w:left="320" w:top="1262"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10"/>
        </w:trPr>
        <w:tc>
          <w:tcPr>
            <w:tcW w:w="5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9"/>
        </w:trPr>
        <w:tc>
          <w:tcPr>
            <w:tcW w:w="5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WGSWW</w:t>
            </w:r>
          </w:p>
        </w:tc>
        <w:tc>
          <w:tcPr>
            <w:tcW w:w="4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20, 2024, GeneDx Holdings Corp., a Delaware corporation (the “Company”), held its Annual Meeting of Stockholders (the “Annual Meeting”). At the Annual Meeting, the Company’s stockholders (the “Stockholders”) considered and voted on the matters listed below. The proposals are described in detail in the Company’s Definitive Proxy Statement on Schedule 14A filed with the Securities and Exchange Commission on April 29, 2024.</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26,150,866 shares of the Class A common stock issued and outstanding on April 24, 2024, the record date for the Annual Meeting. The Stockholders voted on the following proposals at the Annual Meeting, each of which was approved.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from the Annual Meeting are set forth below.</w:t>
      </w:r>
    </w:p>
    <w:p>
      <w:pPr>
        <w:spacing w:after="0" w:line="167" w:lineRule="exact"/>
        <w:rPr>
          <w:sz w:val="20"/>
          <w:szCs w:val="20"/>
          <w:color w:val="auto"/>
        </w:rPr>
      </w:pPr>
    </w:p>
    <w:p>
      <w:pPr>
        <w:jc w:val="both"/>
        <w:ind w:left="66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 Proposal No. 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Class III Director Election Proposal </w:t>
      </w:r>
      <w:r>
        <w:rPr>
          <w:rFonts w:ascii="Times New Roman" w:cs="Times New Roman" w:eastAsia="Times New Roman" w:hAnsi="Times New Roman"/>
          <w:sz w:val="18"/>
          <w:szCs w:val="18"/>
          <w:color w:val="auto"/>
        </w:rPr>
        <w:t>— To elect three Class III directors of the Company, each to serve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at the Company’s 2027 annual meeting of stockholders and until such director’s successor is duly elected and qualified or until such director’s earlier death, resignation, disqualification or removal:</w:t>
      </w:r>
    </w:p>
    <w:p>
      <w:pPr>
        <w:spacing w:after="0" w:line="146" w:lineRule="exact"/>
        <w:rPr>
          <w:sz w:val="20"/>
          <w:szCs w:val="20"/>
          <w:color w:val="auto"/>
        </w:rPr>
      </w:pPr>
    </w:p>
    <w:tbl>
      <w:tblPr>
        <w:tblLayout w:type="fixed"/>
        <w:tblInd w:w="141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Emily Leproust, Ph.D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17,026,055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747,294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5,598,681</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Keith Meister</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17,230,090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543,259</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5,598,681</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Richard C. Pfenniger, Jr.</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17,201,550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571,799</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5,598,681</w:t>
            </w:r>
          </w:p>
        </w:tc>
      </w:tr>
    </w:tbl>
    <w:p>
      <w:pPr>
        <w:spacing w:after="0" w:line="234"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 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Auditor Ratification Proposal </w:t>
      </w:r>
      <w:r>
        <w:rPr>
          <w:rFonts w:ascii="Times New Roman" w:cs="Times New Roman" w:eastAsia="Times New Roman" w:hAnsi="Times New Roman"/>
          <w:sz w:val="18"/>
          <w:szCs w:val="18"/>
          <w:color w:val="auto"/>
        </w:rPr>
        <w:t>— To ratify the appointment of Ernst &amp; Young LLP as the Company’s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the fiscal year ending December 31, 2024:</w:t>
      </w:r>
    </w:p>
    <w:p>
      <w:pPr>
        <w:spacing w:after="0" w:line="130" w:lineRule="exact"/>
        <w:rPr>
          <w:sz w:val="20"/>
          <w:szCs w:val="20"/>
          <w:color w:val="auto"/>
        </w:rPr>
      </w:pPr>
    </w:p>
    <w:tbl>
      <w:tblPr>
        <w:tblLayout w:type="fixed"/>
        <w:tblInd w:w="2510" w:type="dxa"/>
        <w:tblCellMar>
          <w:top w:w="0" w:type="dxa"/>
          <w:left w:w="0" w:type="dxa"/>
          <w:bottom w:w="0" w:type="dxa"/>
          <w:right w:w="0" w:type="dxa"/>
        </w:tblCellMar>
      </w:tblPr>
      <w:tr>
        <w:trPr>
          <w:trHeight w:val="243"/>
        </w:trPr>
        <w:tc>
          <w:tcPr>
            <w:tcW w:w="2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216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23,359,773</w:t>
            </w:r>
          </w:p>
        </w:tc>
        <w:tc>
          <w:tcPr>
            <w:tcW w:w="206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7,938</w:t>
            </w:r>
          </w:p>
        </w:tc>
        <w:tc>
          <w:tcPr>
            <w:tcW w:w="206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4,319</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9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1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8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5"/>
        </w:trPr>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78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24, 2024</w:t>
            </w: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2024-06-24T15:57:17Z</dcterms:created>
  <dcterms:modified xsi:type="dcterms:W3CDTF">2024-06-24T15:57:17Z</dcterms:modified>
</cp:coreProperties>
</file>