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As filed with the Securities and Exchange Commission on August 27, 2020.</w:t>
      </w:r>
    </w:p>
    <w:p>
      <w:pPr>
        <w:spacing w:after="0" w:line="1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333-246251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91440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91440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7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CM Life Sciences,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Exact name of registrant as specified in its charter</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90170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85-1966622</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840" w:type="dxa"/>
            <w:vAlign w:val="bottom"/>
            <w:gridSpan w:val="2"/>
          </w:tcPr>
          <w:p>
            <w:pPr>
              <w:ind w:left="640"/>
              <w:spacing w:after="0"/>
              <w:rPr>
                <w:sz w:val="20"/>
                <w:szCs w:val="20"/>
                <w:color w:val="auto"/>
              </w:rPr>
            </w:pPr>
            <w:r>
              <w:rPr>
                <w:rFonts w:ascii="Arial" w:cs="Arial" w:eastAsia="Arial" w:hAnsi="Arial"/>
                <w:sz w:val="18"/>
                <w:szCs w:val="18"/>
                <w:b w:val="1"/>
                <w:bCs w:val="1"/>
                <w:color w:val="auto"/>
              </w:rPr>
              <w:t>incorporation or organization)</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Classification Code Number)</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Corvex Management LP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667 Madison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10065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474-6745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91440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Eli Casdin, Chief Executive Officer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Keith Meister, Chairman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Corvex Management 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667 Madison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10065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474-6745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91440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85" w:lineRule="exact"/>
        <w:rPr>
          <w:sz w:val="24"/>
          <w:szCs w:val="24"/>
          <w:color w:val="auto"/>
        </w:rPr>
      </w:pPr>
    </w:p>
    <w:tbl>
      <w:tblPr>
        <w:tblLayout w:type="fixed"/>
        <w:tblInd w:w="164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5640" w:type="dxa"/>
            <w:vAlign w:val="bottom"/>
          </w:tcPr>
          <w:p>
            <w:pPr>
              <w:ind w:left="700"/>
              <w:spacing w:after="0"/>
              <w:rPr>
                <w:sz w:val="20"/>
                <w:szCs w:val="20"/>
                <w:color w:val="auto"/>
              </w:rPr>
            </w:pPr>
            <w:r>
              <w:rPr>
                <w:rFonts w:ascii="Arial" w:cs="Arial" w:eastAsia="Arial" w:hAnsi="Arial"/>
                <w:sz w:val="18"/>
                <w:szCs w:val="18"/>
                <w:b w:val="1"/>
                <w:bCs w:val="1"/>
                <w:i w:val="1"/>
                <w:iCs w:val="1"/>
                <w:color w:val="auto"/>
              </w:rPr>
              <w:t>Copies to:</w:t>
            </w:r>
          </w:p>
        </w:tc>
      </w:tr>
      <w:tr>
        <w:trPr>
          <w:trHeight w:val="333"/>
        </w:trPr>
        <w:tc>
          <w:tcPr>
            <w:tcW w:w="292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Joel L. Rubinstein</w:t>
            </w:r>
          </w:p>
        </w:tc>
        <w:tc>
          <w:tcPr>
            <w:tcW w:w="5640" w:type="dxa"/>
            <w:vAlign w:val="bottom"/>
          </w:tcPr>
          <w:p>
            <w:pPr>
              <w:jc w:val="center"/>
              <w:ind w:left="2130"/>
              <w:spacing w:after="0"/>
              <w:rPr>
                <w:sz w:val="20"/>
                <w:szCs w:val="20"/>
                <w:color w:val="auto"/>
              </w:rPr>
            </w:pPr>
            <w:r>
              <w:rPr>
                <w:rFonts w:ascii="Arial" w:cs="Arial" w:eastAsia="Arial" w:hAnsi="Arial"/>
                <w:sz w:val="18"/>
                <w:szCs w:val="18"/>
                <w:b w:val="1"/>
                <w:bCs w:val="1"/>
                <w:color w:val="auto"/>
                <w:w w:val="91"/>
              </w:rPr>
              <w:t>Gregg A. Noel</w:t>
            </w:r>
          </w:p>
        </w:tc>
      </w:tr>
      <w:tr>
        <w:trPr>
          <w:trHeight w:val="216"/>
        </w:trPr>
        <w:tc>
          <w:tcPr>
            <w:tcW w:w="2920" w:type="dxa"/>
            <w:vAlign w:val="bottom"/>
          </w:tcPr>
          <w:p>
            <w:pPr>
              <w:jc w:val="center"/>
              <w:ind w:right="590"/>
              <w:spacing w:after="0"/>
              <w:rPr>
                <w:sz w:val="20"/>
                <w:szCs w:val="20"/>
                <w:color w:val="auto"/>
              </w:rPr>
            </w:pPr>
            <w:r>
              <w:rPr>
                <w:rFonts w:ascii="Arial" w:cs="Arial" w:eastAsia="Arial" w:hAnsi="Arial"/>
                <w:sz w:val="18"/>
                <w:szCs w:val="18"/>
                <w:b w:val="1"/>
                <w:bCs w:val="1"/>
                <w:color w:val="auto"/>
                <w:w w:val="92"/>
              </w:rPr>
              <w:t>Colin J. Diamond</w:t>
            </w:r>
          </w:p>
        </w:tc>
        <w:tc>
          <w:tcPr>
            <w:tcW w:w="5640" w:type="dxa"/>
            <w:vAlign w:val="bottom"/>
          </w:tcPr>
          <w:p>
            <w:pPr>
              <w:jc w:val="center"/>
              <w:ind w:left="2130"/>
              <w:spacing w:after="0"/>
              <w:rPr>
                <w:sz w:val="20"/>
                <w:szCs w:val="20"/>
                <w:color w:val="auto"/>
              </w:rPr>
            </w:pPr>
            <w:r>
              <w:rPr>
                <w:rFonts w:ascii="Arial" w:cs="Arial" w:eastAsia="Arial" w:hAnsi="Arial"/>
                <w:sz w:val="18"/>
                <w:szCs w:val="18"/>
                <w:b w:val="1"/>
                <w:bCs w:val="1"/>
                <w:color w:val="auto"/>
                <w:w w:val="93"/>
              </w:rPr>
              <w:t>Michael J. Mies</w:t>
            </w:r>
          </w:p>
        </w:tc>
      </w:tr>
      <w:tr>
        <w:trPr>
          <w:trHeight w:val="216"/>
        </w:trPr>
        <w:tc>
          <w:tcPr>
            <w:tcW w:w="292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Daniel E. Nussen</w:t>
            </w:r>
          </w:p>
        </w:tc>
        <w:tc>
          <w:tcPr>
            <w:tcW w:w="5640" w:type="dxa"/>
            <w:vAlign w:val="bottom"/>
          </w:tcPr>
          <w:p>
            <w:pPr>
              <w:jc w:val="center"/>
              <w:ind w:left="2130"/>
              <w:spacing w:after="0"/>
              <w:rPr>
                <w:sz w:val="20"/>
                <w:szCs w:val="20"/>
                <w:color w:val="auto"/>
              </w:rPr>
            </w:pPr>
            <w:r>
              <w:rPr>
                <w:rFonts w:ascii="Arial" w:cs="Arial" w:eastAsia="Arial" w:hAnsi="Arial"/>
                <w:sz w:val="18"/>
                <w:szCs w:val="18"/>
                <w:b w:val="1"/>
                <w:bCs w:val="1"/>
                <w:color w:val="auto"/>
                <w:w w:val="92"/>
              </w:rPr>
              <w:t>Skadden, Arps, Slate, Meagher &amp; Flom LLP</w:t>
            </w:r>
          </w:p>
        </w:tc>
      </w:tr>
      <w:tr>
        <w:trPr>
          <w:trHeight w:val="216"/>
        </w:trPr>
        <w:tc>
          <w:tcPr>
            <w:tcW w:w="2920" w:type="dxa"/>
            <w:vAlign w:val="bottom"/>
          </w:tcPr>
          <w:p>
            <w:pPr>
              <w:jc w:val="center"/>
              <w:ind w:right="590"/>
              <w:spacing w:after="0"/>
              <w:rPr>
                <w:sz w:val="20"/>
                <w:szCs w:val="20"/>
                <w:color w:val="auto"/>
              </w:rPr>
            </w:pPr>
            <w:r>
              <w:rPr>
                <w:rFonts w:ascii="Arial" w:cs="Arial" w:eastAsia="Arial" w:hAnsi="Arial"/>
                <w:sz w:val="18"/>
                <w:szCs w:val="18"/>
                <w:b w:val="1"/>
                <w:bCs w:val="1"/>
                <w:color w:val="auto"/>
                <w:w w:val="96"/>
              </w:rPr>
              <w:t>White &amp; Case LLP</w:t>
            </w:r>
          </w:p>
        </w:tc>
        <w:tc>
          <w:tcPr>
            <w:tcW w:w="5640" w:type="dxa"/>
            <w:vAlign w:val="bottom"/>
          </w:tcPr>
          <w:p>
            <w:pPr>
              <w:jc w:val="center"/>
              <w:ind w:left="2130"/>
              <w:spacing w:after="0"/>
              <w:rPr>
                <w:sz w:val="20"/>
                <w:szCs w:val="20"/>
                <w:color w:val="auto"/>
              </w:rPr>
            </w:pPr>
            <w:r>
              <w:rPr>
                <w:rFonts w:ascii="Arial" w:cs="Arial" w:eastAsia="Arial" w:hAnsi="Arial"/>
                <w:sz w:val="18"/>
                <w:szCs w:val="18"/>
                <w:b w:val="1"/>
                <w:bCs w:val="1"/>
                <w:color w:val="auto"/>
                <w:w w:val="90"/>
              </w:rPr>
              <w:t>525 University Avenue</w:t>
            </w:r>
          </w:p>
        </w:tc>
      </w:tr>
      <w:tr>
        <w:trPr>
          <w:trHeight w:val="216"/>
        </w:trPr>
        <w:tc>
          <w:tcPr>
            <w:tcW w:w="2920" w:type="dxa"/>
            <w:vAlign w:val="bottom"/>
          </w:tcPr>
          <w:p>
            <w:pPr>
              <w:jc w:val="center"/>
              <w:ind w:right="590"/>
              <w:spacing w:after="0"/>
              <w:rPr>
                <w:sz w:val="20"/>
                <w:szCs w:val="20"/>
                <w:color w:val="auto"/>
              </w:rPr>
            </w:pPr>
            <w:r>
              <w:rPr>
                <w:rFonts w:ascii="Arial" w:cs="Arial" w:eastAsia="Arial" w:hAnsi="Arial"/>
                <w:sz w:val="18"/>
                <w:szCs w:val="18"/>
                <w:b w:val="1"/>
                <w:bCs w:val="1"/>
                <w:color w:val="auto"/>
                <w:w w:val="89"/>
              </w:rPr>
              <w:t>1221 Avenue of the Americas</w:t>
            </w:r>
          </w:p>
        </w:tc>
        <w:tc>
          <w:tcPr>
            <w:tcW w:w="5640" w:type="dxa"/>
            <w:vAlign w:val="bottom"/>
          </w:tcPr>
          <w:p>
            <w:pPr>
              <w:jc w:val="center"/>
              <w:ind w:left="2130"/>
              <w:spacing w:after="0"/>
              <w:rPr>
                <w:sz w:val="20"/>
                <w:szCs w:val="20"/>
                <w:color w:val="auto"/>
              </w:rPr>
            </w:pPr>
            <w:r>
              <w:rPr>
                <w:rFonts w:ascii="Arial" w:cs="Arial" w:eastAsia="Arial" w:hAnsi="Arial"/>
                <w:sz w:val="18"/>
                <w:szCs w:val="18"/>
                <w:b w:val="1"/>
                <w:bCs w:val="1"/>
                <w:color w:val="auto"/>
                <w:w w:val="92"/>
              </w:rPr>
              <w:t>Palo Alto, California 94301</w:t>
            </w:r>
          </w:p>
        </w:tc>
      </w:tr>
      <w:tr>
        <w:trPr>
          <w:trHeight w:val="216"/>
        </w:trPr>
        <w:tc>
          <w:tcPr>
            <w:tcW w:w="2920" w:type="dxa"/>
            <w:vAlign w:val="bottom"/>
          </w:tcPr>
          <w:p>
            <w:pPr>
              <w:jc w:val="center"/>
              <w:ind w:right="570"/>
              <w:spacing w:after="0"/>
              <w:rPr>
                <w:sz w:val="20"/>
                <w:szCs w:val="20"/>
                <w:color w:val="auto"/>
              </w:rPr>
            </w:pPr>
            <w:r>
              <w:rPr>
                <w:rFonts w:ascii="Arial" w:cs="Arial" w:eastAsia="Arial" w:hAnsi="Arial"/>
                <w:sz w:val="18"/>
                <w:szCs w:val="18"/>
                <w:b w:val="1"/>
                <w:bCs w:val="1"/>
                <w:color w:val="auto"/>
                <w:w w:val="91"/>
              </w:rPr>
              <w:t>New York, New York 10020</w:t>
            </w:r>
          </w:p>
        </w:tc>
        <w:tc>
          <w:tcPr>
            <w:tcW w:w="5640" w:type="dxa"/>
            <w:vAlign w:val="bottom"/>
          </w:tcPr>
          <w:p>
            <w:pPr>
              <w:jc w:val="center"/>
              <w:ind w:left="2130"/>
              <w:spacing w:after="0"/>
              <w:rPr>
                <w:sz w:val="20"/>
                <w:szCs w:val="20"/>
                <w:color w:val="auto"/>
              </w:rPr>
            </w:pPr>
            <w:r>
              <w:rPr>
                <w:rFonts w:ascii="Arial" w:cs="Arial" w:eastAsia="Arial" w:hAnsi="Arial"/>
                <w:sz w:val="18"/>
                <w:szCs w:val="18"/>
                <w:b w:val="1"/>
                <w:bCs w:val="1"/>
                <w:color w:val="auto"/>
                <w:w w:val="91"/>
              </w:rPr>
              <w:t>Tel: (650) 470-4500</w:t>
            </w:r>
          </w:p>
        </w:tc>
      </w:tr>
      <w:tr>
        <w:trPr>
          <w:trHeight w:val="234"/>
        </w:trPr>
        <w:tc>
          <w:tcPr>
            <w:tcW w:w="2920" w:type="dxa"/>
            <w:vAlign w:val="bottom"/>
          </w:tcPr>
          <w:p>
            <w:pPr>
              <w:jc w:val="center"/>
              <w:ind w:right="570"/>
              <w:spacing w:after="0"/>
              <w:rPr>
                <w:sz w:val="20"/>
                <w:szCs w:val="20"/>
                <w:color w:val="auto"/>
              </w:rPr>
            </w:pPr>
            <w:r>
              <w:rPr>
                <w:rFonts w:ascii="Arial" w:cs="Arial" w:eastAsia="Arial" w:hAnsi="Arial"/>
                <w:sz w:val="18"/>
                <w:szCs w:val="18"/>
                <w:b w:val="1"/>
                <w:bCs w:val="1"/>
                <w:color w:val="auto"/>
                <w:w w:val="91"/>
              </w:rPr>
              <w:t>Tel: (212) 819-8200</w:t>
            </w:r>
          </w:p>
        </w:tc>
        <w:tc>
          <w:tcPr>
            <w:tcW w:w="56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85725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7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As soon as practicable after the effective date of this registration statement.</w:t>
      </w:r>
    </w:p>
    <w:p>
      <w:pPr>
        <w:spacing w:after="0" w:line="160" w:lineRule="exact"/>
        <w:rPr>
          <w:sz w:val="24"/>
          <w:szCs w:val="24"/>
          <w:color w:val="auto"/>
        </w:rPr>
      </w:pPr>
    </w:p>
    <w:p>
      <w:pPr>
        <w:ind w:right="32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01"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1" w:lineRule="exact"/>
        <w:rPr>
          <w:sz w:val="24"/>
          <w:szCs w:val="24"/>
          <w:color w:val="auto"/>
        </w:rPr>
      </w:pPr>
    </w:p>
    <w:p>
      <w:pPr>
        <w:ind w:right="5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1" w:lineRule="exact"/>
        <w:rPr>
          <w:sz w:val="24"/>
          <w:szCs w:val="24"/>
          <w:color w:val="auto"/>
        </w:rPr>
      </w:pPr>
    </w:p>
    <w:p>
      <w:pPr>
        <w:ind w:right="5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1"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178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178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00" w:type="dxa"/>
            <w:vAlign w:val="bottom"/>
          </w:tcPr>
          <w:p>
            <w:pPr>
              <w:ind w:left="178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Each Class of Security Being Registered</w:t>
      </w:r>
    </w:p>
    <w:p>
      <w:pPr>
        <w:spacing w:after="0" w:line="40" w:lineRule="exact"/>
        <w:rPr>
          <w:sz w:val="20"/>
          <w:szCs w:val="20"/>
          <w:color w:val="auto"/>
        </w:rPr>
      </w:pPr>
    </w:p>
    <w:p>
      <w:pPr>
        <w:ind w:left="180" w:hanging="179"/>
        <w:spacing w:after="0" w:line="216" w:lineRule="auto"/>
        <w:rPr>
          <w:sz w:val="20"/>
          <w:szCs w:val="20"/>
          <w:color w:val="auto"/>
        </w:rPr>
      </w:pPr>
      <w:r>
        <w:rPr>
          <w:rFonts w:ascii="Arial" w:cs="Arial" w:eastAsia="Arial" w:hAnsi="Arial"/>
          <w:sz w:val="18"/>
          <w:szCs w:val="18"/>
          <w:color w:val="auto"/>
        </w:rPr>
        <w:t>Units, each consisting of one share of Class A common stock, $0.0001 par value, and one-third of one redeemable warrant</w:t>
      </w:r>
      <w:r>
        <w:rPr>
          <w:rFonts w:ascii="Arial" w:cs="Arial" w:eastAsia="Arial" w:hAnsi="Arial"/>
          <w:sz w:val="29"/>
          <w:szCs w:val="29"/>
          <w:color w:val="auto"/>
          <w:vertAlign w:val="superscript"/>
        </w:rPr>
        <w:t>(2)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Shares of Class A common stock included as part of the units</w:t>
      </w:r>
      <w:r>
        <w:rPr>
          <w:rFonts w:ascii="Arial" w:cs="Arial" w:eastAsia="Arial" w:hAnsi="Arial"/>
          <w:sz w:val="29"/>
          <w:szCs w:val="29"/>
          <w:color w:val="auto"/>
          <w:vertAlign w:val="superscript"/>
        </w:rPr>
        <w:t>(3)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Redeemable warrants included as part of the units</w:t>
      </w:r>
      <w:r>
        <w:rPr>
          <w:rFonts w:ascii="Arial" w:cs="Arial" w:eastAsia="Arial" w:hAnsi="Arial"/>
          <w:sz w:val="29"/>
          <w:szCs w:val="29"/>
          <w:color w:val="auto"/>
          <w:vertAlign w:val="superscript"/>
        </w:rPr>
        <w:t>(3)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Proposed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6"/>
              </w:rPr>
              <w:t>Proposed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Maximum</w:t>
            </w:r>
          </w:p>
        </w:tc>
        <w:tc>
          <w:tcPr>
            <w:tcW w:w="100" w:type="dxa"/>
            <w:vAlign w:val="bottom"/>
          </w:tcPr>
          <w:p>
            <w:pPr>
              <w:spacing w:after="0"/>
              <w:rPr>
                <w:sz w:val="19"/>
                <w:szCs w:val="19"/>
                <w:color w:val="auto"/>
              </w:rPr>
            </w:pPr>
          </w:p>
        </w:tc>
        <w:tc>
          <w:tcPr>
            <w:tcW w:w="1180" w:type="dxa"/>
            <w:vAlign w:val="bottom"/>
            <w:gridSpan w:val="2"/>
          </w:tcPr>
          <w:p>
            <w:pPr>
              <w:jc w:val="center"/>
              <w:ind w:right="245"/>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Amount Being</w:t>
            </w:r>
          </w:p>
        </w:tc>
        <w:tc>
          <w:tcPr>
            <w:tcW w:w="12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Offering Price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4"/>
              </w:rPr>
              <w:t>Aggregate</w:t>
            </w:r>
          </w:p>
        </w:tc>
        <w:tc>
          <w:tcPr>
            <w:tcW w:w="1280" w:type="dxa"/>
            <w:vAlign w:val="bottom"/>
            <w:gridSpan w:val="3"/>
          </w:tcPr>
          <w:p>
            <w:pPr>
              <w:jc w:val="center"/>
              <w:ind w:right="105"/>
              <w:spacing w:after="0"/>
              <w:rPr>
                <w:sz w:val="20"/>
                <w:szCs w:val="20"/>
                <w:color w:val="auto"/>
              </w:rPr>
            </w:pPr>
            <w:r>
              <w:rPr>
                <w:rFonts w:ascii="Arial" w:cs="Arial" w:eastAsia="Arial" w:hAnsi="Arial"/>
                <w:sz w:val="18"/>
                <w:szCs w:val="18"/>
                <w:b w:val="1"/>
                <w:bCs w:val="1"/>
                <w:color w:val="auto"/>
                <w:w w:val="89"/>
              </w:rPr>
              <w:t>Registration</w:t>
            </w:r>
          </w:p>
        </w:tc>
        <w:tc>
          <w:tcPr>
            <w:tcW w:w="0" w:type="dxa"/>
            <w:vAlign w:val="bottom"/>
          </w:tcPr>
          <w:p>
            <w:pPr>
              <w:spacing w:after="0"/>
              <w:rPr>
                <w:sz w:val="1"/>
                <w:szCs w:val="1"/>
                <w:color w:val="auto"/>
              </w:rPr>
            </w:pPr>
          </w:p>
        </w:tc>
      </w:tr>
      <w:tr>
        <w:trPr>
          <w:trHeight w:val="277"/>
        </w:trPr>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Registered</w:t>
            </w:r>
          </w:p>
        </w:tc>
        <w:tc>
          <w:tcPr>
            <w:tcW w:w="1260" w:type="dxa"/>
            <w:vAlign w:val="bottom"/>
            <w:gridSpan w:val="3"/>
          </w:tcPr>
          <w:p>
            <w:pPr>
              <w:jc w:val="center"/>
              <w:ind w:right="100"/>
              <w:spacing w:after="0" w:line="270" w:lineRule="exact"/>
              <w:rPr>
                <w:sz w:val="20"/>
                <w:szCs w:val="20"/>
                <w:color w:val="auto"/>
              </w:rPr>
            </w:pPr>
            <w:r>
              <w:rPr>
                <w:rFonts w:ascii="Arial" w:cs="Arial" w:eastAsia="Arial" w:hAnsi="Arial"/>
                <w:sz w:val="18"/>
                <w:szCs w:val="18"/>
                <w:b w:val="1"/>
                <w:bCs w:val="1"/>
                <w:color w:val="auto"/>
                <w:w w:val="87"/>
              </w:rPr>
              <w:t>per Security</w:t>
            </w:r>
            <w:r>
              <w:rPr>
                <w:rFonts w:ascii="Arial" w:cs="Arial" w:eastAsia="Arial" w:hAnsi="Arial"/>
                <w:sz w:val="29"/>
                <w:szCs w:val="29"/>
                <w:b w:val="1"/>
                <w:bCs w:val="1"/>
                <w:color w:val="auto"/>
                <w:w w:val="87"/>
                <w:vertAlign w:val="superscript"/>
              </w:rPr>
              <w:t>(1)</w:t>
            </w:r>
          </w:p>
        </w:tc>
        <w:tc>
          <w:tcPr>
            <w:tcW w:w="1600" w:type="dxa"/>
            <w:vAlign w:val="bottom"/>
            <w:gridSpan w:val="4"/>
          </w:tcPr>
          <w:p>
            <w:pPr>
              <w:ind w:left="120"/>
              <w:spacing w:after="0" w:line="270" w:lineRule="exact"/>
              <w:rPr>
                <w:sz w:val="20"/>
                <w:szCs w:val="20"/>
                <w:color w:val="auto"/>
              </w:rPr>
            </w:pPr>
            <w:r>
              <w:rPr>
                <w:rFonts w:ascii="Arial" w:cs="Arial" w:eastAsia="Arial" w:hAnsi="Arial"/>
                <w:sz w:val="18"/>
                <w:szCs w:val="18"/>
                <w:b w:val="1"/>
                <w:bCs w:val="1"/>
                <w:color w:val="auto"/>
              </w:rPr>
              <w:t>Offering Price</w:t>
            </w:r>
            <w:r>
              <w:rPr>
                <w:rFonts w:ascii="Arial" w:cs="Arial" w:eastAsia="Arial" w:hAnsi="Arial"/>
                <w:sz w:val="29"/>
                <w:szCs w:val="29"/>
                <w:b w:val="1"/>
                <w:bCs w:val="1"/>
                <w:color w:val="auto"/>
                <w:vertAlign w:val="superscript"/>
              </w:rPr>
              <w:t>(1)</w:t>
            </w:r>
          </w:p>
        </w:tc>
        <w:tc>
          <w:tcPr>
            <w:tcW w:w="100" w:type="dxa"/>
            <w:vAlign w:val="bottom"/>
          </w:tcPr>
          <w:p>
            <w:pPr>
              <w:spacing w:after="0"/>
              <w:rPr>
                <w:sz w:val="24"/>
                <w:szCs w:val="24"/>
                <w:color w:val="auto"/>
              </w:rPr>
            </w:pPr>
          </w:p>
        </w:tc>
        <w:tc>
          <w:tcPr>
            <w:tcW w:w="1180" w:type="dxa"/>
            <w:vAlign w:val="bottom"/>
            <w:gridSpan w:val="2"/>
          </w:tcPr>
          <w:p>
            <w:pPr>
              <w:jc w:val="center"/>
              <w:ind w:right="205"/>
              <w:spacing w:after="0"/>
              <w:rPr>
                <w:sz w:val="20"/>
                <w:szCs w:val="20"/>
                <w:color w:val="auto"/>
              </w:rPr>
            </w:pPr>
            <w:r>
              <w:rPr>
                <w:rFonts w:ascii="Arial" w:cs="Arial" w:eastAsia="Arial" w:hAnsi="Arial"/>
                <w:sz w:val="18"/>
                <w:szCs w:val="18"/>
                <w:b w:val="1"/>
                <w:bCs w:val="1"/>
                <w:color w:val="auto"/>
                <w:w w:val="83"/>
              </w:rPr>
              <w:t>Fee</w:t>
            </w:r>
          </w:p>
        </w:tc>
        <w:tc>
          <w:tcPr>
            <w:tcW w:w="0" w:type="dxa"/>
            <w:vAlign w:val="bottom"/>
          </w:tcPr>
          <w:p>
            <w:pPr>
              <w:spacing w:after="0"/>
              <w:rPr>
                <w:sz w:val="1"/>
                <w:szCs w:val="1"/>
                <w:color w:val="auto"/>
              </w:rPr>
            </w:pPr>
          </w:p>
        </w:tc>
      </w:tr>
      <w:tr>
        <w:trPr>
          <w:trHeight w:val="242"/>
        </w:trPr>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40,250,000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Units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402,500,000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52,244.50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0"/>
              </w:rPr>
              <w:t>40,250,000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vMerge w:val="restart"/>
          </w:tcPr>
          <w:p>
            <w:pPr>
              <w:jc w:val="right"/>
              <w:ind w:right="10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1320" w:type="dxa"/>
            <w:vAlign w:val="bottom"/>
            <w:gridSpan w:val="2"/>
          </w:tcPr>
          <w:p>
            <w:pPr>
              <w:jc w:val="center"/>
              <w:ind w:right="120"/>
              <w:spacing w:after="0" w:line="30" w:lineRule="exact"/>
              <w:rPr>
                <w:sz w:val="20"/>
                <w:szCs w:val="20"/>
                <w:color w:val="auto"/>
              </w:rPr>
            </w:pPr>
            <w:r>
              <w:rPr>
                <w:rFonts w:ascii="Arial" w:cs="Arial" w:eastAsia="Arial" w:hAnsi="Arial"/>
                <w:sz w:val="3"/>
                <w:szCs w:val="3"/>
                <w:color w:val="auto"/>
              </w:rPr>
              <w:t>Shares</w:t>
            </w: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0"/>
              </w:rPr>
              <w:t>13,416,667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Warrants</w:t>
            </w:r>
          </w:p>
        </w:tc>
        <w:tc>
          <w:tcPr>
            <w:tcW w:w="1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w w:val="87"/>
              </w:rPr>
              <w:t>(5)</w:t>
            </w:r>
          </w:p>
        </w:tc>
        <w:tc>
          <w:tcPr>
            <w:tcW w:w="0" w:type="dxa"/>
            <w:vAlign w:val="bottom"/>
          </w:tcPr>
          <w:p>
            <w:pPr>
              <w:spacing w:after="0" w:line="20" w:lineRule="exact"/>
              <w:rPr>
                <w:sz w:val="1"/>
                <w:szCs w:val="1"/>
                <w:color w:val="auto"/>
              </w:rPr>
            </w:pPr>
          </w:p>
        </w:tc>
      </w:tr>
      <w:tr>
        <w:trPr>
          <w:trHeight w:val="250"/>
        </w:trPr>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402,500,000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52,244.</w:t>
            </w:r>
            <w:r>
              <w:rPr>
                <w:rFonts w:ascii="Arial" w:cs="Arial" w:eastAsia="Arial" w:hAnsi="Arial"/>
                <w:sz w:val="18"/>
                <w:szCs w:val="18"/>
                <w:u w:val="single" w:color="auto"/>
                <w:color w:val="auto"/>
              </w:rPr>
              <w:t>50</w:t>
            </w:r>
          </w:p>
        </w:tc>
        <w:tc>
          <w:tcPr>
            <w:tcW w:w="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-496570</wp:posOffset>
            </wp:positionV>
            <wp:extent cx="713232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-1087755</wp:posOffset>
            </wp:positionV>
            <wp:extent cx="7132320" cy="316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420"/>
            <w:col w:w="5460"/>
          </w:cols>
          <w:pgMar w:left="320" w:top="904" w:right="339" w:bottom="1440" w:gutter="0" w:footer="0" w:header="0"/>
          <w:type w:val="continuous"/>
        </w:sectPr>
      </w:pPr>
    </w:p>
    <w:p>
      <w:pPr>
        <w:spacing w:after="0" w:line="42" w:lineRule="exact"/>
        <w:rPr>
          <w:sz w:val="20"/>
          <w:szCs w:val="20"/>
          <w:color w:val="auto"/>
        </w:rPr>
      </w:pPr>
    </w:p>
    <w:p>
      <w:pPr>
        <w:ind w:left="340" w:right="760" w:hanging="332"/>
        <w:spacing w:after="0" w:line="25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457(a) under the Securities Act of 1933, as amended (the “Securities Act”).</w:t>
      </w:r>
    </w:p>
    <w:p>
      <w:pPr>
        <w:spacing w:after="0" w:line="1" w:lineRule="exact"/>
        <w:rPr>
          <w:rFonts w:ascii="Arial" w:cs="Arial" w:eastAsia="Arial" w:hAnsi="Arial"/>
          <w:sz w:val="18"/>
          <w:szCs w:val="18"/>
          <w:color w:val="auto"/>
        </w:rPr>
      </w:pPr>
    </w:p>
    <w:p>
      <w:pPr>
        <w:ind w:left="340" w:right="36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5,250,000 units, consisting of 5,250,000 shares of Class A common stock and 1,750,000 redeemable warrants, which may be issued upon exercise of a 45-day option granted to the underwriters to cover over-allotments, if any.</w:t>
      </w:r>
    </w:p>
    <w:p>
      <w:pPr>
        <w:ind w:left="340" w:right="30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there are also being registered an indeterminable number of additional securities as may be issued to prevent dilution resulting from stock splits, stock dividends or similar transactions.</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 under the Securities Act.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587375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CM Life Sciences, Inc. is filing this Amendment No. 2 (this “Amendment”) to its Registration Statement on Form S-1 (File No. 333-246251) (the “Registration Statement”) as an exhibits-only filing. Accordingly, this Amendment consists only of the facing page, this explanatory note, Item 16(a) of Part II of the Registration Statement, the signature page to the Registration Statement and the filed exhibit. The remainder of the Registration Statement is unchanged and has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 The following exhibits are being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500" w:type="dxa"/>
            <w:vAlign w:val="bottom"/>
            <w:gridSpan w:val="3"/>
          </w:tcPr>
          <w:p>
            <w:pPr>
              <w:ind w:left="218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Exhibit No</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500" w:type="dxa"/>
            <w:vAlign w:val="bottom"/>
            <w:gridSpan w:val="3"/>
          </w:tcPr>
          <w:p>
            <w:pPr>
              <w:ind w:left="312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220" w:type="dxa"/>
            <w:vAlign w:val="bottom"/>
            <w:tcBorders>
              <w:top w:val="single" w:sz="8" w:color="CCEEFF"/>
            </w:tcBorders>
            <w:shd w:val="clear" w:color="auto" w:fill="CCEEFF"/>
          </w:tcPr>
          <w:p>
            <w:pPr>
              <w:spacing w:after="0"/>
              <w:rPr>
                <w:sz w:val="18"/>
                <w:szCs w:val="18"/>
                <w:color w:val="auto"/>
              </w:rPr>
            </w:pPr>
          </w:p>
        </w:tc>
        <w:tc>
          <w:tcPr>
            <w:tcW w:w="9880" w:type="dxa"/>
            <w:vAlign w:val="bottom"/>
            <w:tcBorders>
              <w:top w:val="single" w:sz="8" w:color="auto"/>
            </w:tcBorders>
            <w:gridSpan w:val="5"/>
            <w:shd w:val="clear" w:color="auto" w:fill="CCEEFF"/>
          </w:tcPr>
          <w:p>
            <w:pPr>
              <w:spacing w:after="0"/>
              <w:rPr>
                <w:rFonts w:ascii="Arial" w:cs="Arial" w:eastAsia="Arial" w:hAnsi="Arial"/>
                <w:sz w:val="18"/>
                <w:szCs w:val="18"/>
                <w:u w:val="single" w:color="auto"/>
                <w:color w:val="0000EE"/>
              </w:rPr>
            </w:pPr>
            <w:hyperlink r:id="rId25">
              <w:r>
                <w:rPr>
                  <w:rFonts w:ascii="Arial" w:cs="Arial" w:eastAsia="Arial" w:hAnsi="Arial"/>
                  <w:sz w:val="18"/>
                  <w:szCs w:val="18"/>
                  <w:u w:val="single" w:color="auto"/>
                  <w:color w:val="0000EE"/>
                </w:rPr>
                <w:t>Form of Underwriting Agreement.*</w:t>
              </w:r>
            </w:hyperlink>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18"/>
                <w:szCs w:val="18"/>
                <w:color w:val="auto"/>
              </w:rPr>
            </w:pPr>
          </w:p>
        </w:tc>
        <w:tc>
          <w:tcPr>
            <w:tcW w:w="9880" w:type="dxa"/>
            <w:vAlign w:val="bottom"/>
            <w:gridSpan w:val="5"/>
          </w:tcPr>
          <w:p>
            <w:pPr>
              <w:spacing w:after="0"/>
              <w:rPr>
                <w:rFonts w:ascii="Arial" w:cs="Arial" w:eastAsia="Arial" w:hAnsi="Arial"/>
                <w:sz w:val="18"/>
                <w:szCs w:val="18"/>
                <w:u w:val="single" w:color="auto"/>
                <w:color w:val="0000EE"/>
              </w:rPr>
            </w:pPr>
            <w:hyperlink r:id="rId26">
              <w:r>
                <w:rPr>
                  <w:rFonts w:ascii="Arial" w:cs="Arial" w:eastAsia="Arial" w:hAnsi="Arial"/>
                  <w:sz w:val="18"/>
                  <w:szCs w:val="18"/>
                  <w:u w:val="single" w:color="auto"/>
                  <w:color w:val="0000EE"/>
                </w:rPr>
                <w:t>Amended and Restated Certificate of Incorporation.*</w:t>
              </w:r>
            </w:hyperlink>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w:t>
            </w:r>
          </w:p>
        </w:tc>
        <w:tc>
          <w:tcPr>
            <w:tcW w:w="220" w:type="dxa"/>
            <w:vAlign w:val="bottom"/>
            <w:shd w:val="clear" w:color="auto" w:fill="CCEEFF"/>
          </w:tcPr>
          <w:p>
            <w:pPr>
              <w:spacing w:after="0"/>
              <w:rPr>
                <w:sz w:val="18"/>
                <w:szCs w:val="18"/>
                <w:color w:val="auto"/>
              </w:rPr>
            </w:pPr>
          </w:p>
        </w:tc>
        <w:tc>
          <w:tcPr>
            <w:tcW w:w="9880" w:type="dxa"/>
            <w:vAlign w:val="bottom"/>
            <w:gridSpan w:val="5"/>
            <w:shd w:val="clear" w:color="auto" w:fill="CCEEFF"/>
          </w:tcPr>
          <w:p>
            <w:pPr>
              <w:spacing w:after="0"/>
              <w:rPr>
                <w:rFonts w:ascii="Arial" w:cs="Arial" w:eastAsia="Arial" w:hAnsi="Arial"/>
                <w:sz w:val="18"/>
                <w:szCs w:val="18"/>
                <w:u w:val="single" w:color="auto"/>
                <w:color w:val="0000EE"/>
              </w:rPr>
            </w:pPr>
            <w:hyperlink r:id="rId27">
              <w:r>
                <w:rPr>
                  <w:rFonts w:ascii="Arial" w:cs="Arial" w:eastAsia="Arial" w:hAnsi="Arial"/>
                  <w:sz w:val="18"/>
                  <w:szCs w:val="18"/>
                  <w:u w:val="single" w:color="auto"/>
                  <w:color w:val="0000EE"/>
                </w:rPr>
                <w:t>Second Amended and Restated Certificate of Incorporation.*</w:t>
              </w:r>
            </w:hyperlink>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220" w:type="dxa"/>
            <w:vAlign w:val="bottom"/>
          </w:tcPr>
          <w:p>
            <w:pPr>
              <w:spacing w:after="0"/>
              <w:rPr>
                <w:sz w:val="18"/>
                <w:szCs w:val="18"/>
                <w:color w:val="auto"/>
              </w:rPr>
            </w:pPr>
          </w:p>
        </w:tc>
        <w:tc>
          <w:tcPr>
            <w:tcW w:w="9880" w:type="dxa"/>
            <w:vAlign w:val="bottom"/>
            <w:gridSpan w:val="5"/>
          </w:tcPr>
          <w:p>
            <w:pPr>
              <w:spacing w:after="0"/>
              <w:rPr>
                <w:rFonts w:ascii="Arial" w:cs="Arial" w:eastAsia="Arial" w:hAnsi="Arial"/>
                <w:sz w:val="18"/>
                <w:szCs w:val="18"/>
                <w:u w:val="single" w:color="auto"/>
                <w:color w:val="0000EE"/>
              </w:rPr>
            </w:pPr>
            <w:hyperlink r:id="rId28">
              <w:r>
                <w:rPr>
                  <w:rFonts w:ascii="Arial" w:cs="Arial" w:eastAsia="Arial" w:hAnsi="Arial"/>
                  <w:sz w:val="18"/>
                  <w:szCs w:val="18"/>
                  <w:u w:val="single" w:color="auto"/>
                  <w:color w:val="0000EE"/>
                </w:rPr>
                <w:t>Bylaws.*</w:t>
              </w:r>
            </w:hyperlink>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shd w:val="clear" w:color="auto" w:fill="CCEEFF"/>
          </w:tcPr>
          <w:p>
            <w:pPr>
              <w:spacing w:after="0"/>
              <w:rPr>
                <w:sz w:val="18"/>
                <w:szCs w:val="18"/>
                <w:color w:val="auto"/>
              </w:rPr>
            </w:pPr>
          </w:p>
        </w:tc>
        <w:tc>
          <w:tcPr>
            <w:tcW w:w="9880" w:type="dxa"/>
            <w:vAlign w:val="bottom"/>
            <w:gridSpan w:val="5"/>
            <w:shd w:val="clear" w:color="auto" w:fill="CCEEFF"/>
          </w:tcPr>
          <w:p>
            <w:pPr>
              <w:spacing w:after="0"/>
              <w:rPr>
                <w:rFonts w:ascii="Arial" w:cs="Arial" w:eastAsia="Arial" w:hAnsi="Arial"/>
                <w:sz w:val="18"/>
                <w:szCs w:val="18"/>
                <w:u w:val="single" w:color="auto"/>
                <w:color w:val="0000EE"/>
              </w:rPr>
            </w:pPr>
            <w:hyperlink r:id="rId29">
              <w:r>
                <w:rPr>
                  <w:rFonts w:ascii="Arial" w:cs="Arial" w:eastAsia="Arial" w:hAnsi="Arial"/>
                  <w:sz w:val="18"/>
                  <w:szCs w:val="18"/>
                  <w:u w:val="single" w:color="auto"/>
                  <w:color w:val="0000EE"/>
                </w:rPr>
                <w:t>Specimen Unit Certificate.*</w:t>
              </w:r>
            </w:hyperlink>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18"/>
                <w:szCs w:val="18"/>
                <w:color w:val="auto"/>
              </w:rPr>
            </w:pPr>
          </w:p>
        </w:tc>
        <w:tc>
          <w:tcPr>
            <w:tcW w:w="9880" w:type="dxa"/>
            <w:vAlign w:val="bottom"/>
            <w:gridSpan w:val="5"/>
          </w:tcPr>
          <w:p>
            <w:pPr>
              <w:spacing w:after="0"/>
              <w:rPr>
                <w:rFonts w:ascii="Arial" w:cs="Arial" w:eastAsia="Arial" w:hAnsi="Arial"/>
                <w:sz w:val="18"/>
                <w:szCs w:val="18"/>
                <w:u w:val="single" w:color="auto"/>
                <w:color w:val="0000EE"/>
              </w:rPr>
            </w:pPr>
            <w:hyperlink r:id="rId30">
              <w:r>
                <w:rPr>
                  <w:rFonts w:ascii="Arial" w:cs="Arial" w:eastAsia="Arial" w:hAnsi="Arial"/>
                  <w:sz w:val="18"/>
                  <w:szCs w:val="18"/>
                  <w:u w:val="single" w:color="auto"/>
                  <w:color w:val="0000EE"/>
                </w:rPr>
                <w:t>Specimen Class A Common Stock Certificate.*</w:t>
              </w:r>
            </w:hyperlink>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4.3</w:t>
            </w:r>
          </w:p>
        </w:tc>
        <w:tc>
          <w:tcPr>
            <w:tcW w:w="220" w:type="dxa"/>
            <w:vAlign w:val="bottom"/>
            <w:shd w:val="clear" w:color="auto" w:fill="CCEEFF"/>
          </w:tcPr>
          <w:p>
            <w:pPr>
              <w:spacing w:after="0"/>
              <w:rPr>
                <w:sz w:val="18"/>
                <w:szCs w:val="18"/>
                <w:color w:val="auto"/>
              </w:rPr>
            </w:pPr>
          </w:p>
        </w:tc>
        <w:tc>
          <w:tcPr>
            <w:tcW w:w="9880" w:type="dxa"/>
            <w:vAlign w:val="bottom"/>
            <w:gridSpan w:val="5"/>
            <w:shd w:val="clear" w:color="auto" w:fill="CCEEFF"/>
          </w:tcPr>
          <w:p>
            <w:pPr>
              <w:spacing w:after="0"/>
              <w:rPr>
                <w:rFonts w:ascii="Arial" w:cs="Arial" w:eastAsia="Arial" w:hAnsi="Arial"/>
                <w:sz w:val="18"/>
                <w:szCs w:val="18"/>
                <w:u w:val="single" w:color="auto"/>
                <w:color w:val="0000EE"/>
              </w:rPr>
            </w:pPr>
            <w:hyperlink r:id="rId31">
              <w:r>
                <w:rPr>
                  <w:rFonts w:ascii="Arial" w:cs="Arial" w:eastAsia="Arial" w:hAnsi="Arial"/>
                  <w:sz w:val="18"/>
                  <w:szCs w:val="18"/>
                  <w:u w:val="single" w:color="auto"/>
                  <w:color w:val="0000EE"/>
                </w:rPr>
                <w:t>Specimen Warrant Certificate.*</w:t>
              </w:r>
            </w:hyperlink>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220" w:type="dxa"/>
            <w:vAlign w:val="bottom"/>
          </w:tcPr>
          <w:p>
            <w:pPr>
              <w:spacing w:after="0"/>
              <w:rPr>
                <w:sz w:val="18"/>
                <w:szCs w:val="18"/>
                <w:color w:val="auto"/>
              </w:rPr>
            </w:pPr>
          </w:p>
        </w:tc>
        <w:tc>
          <w:tcPr>
            <w:tcW w:w="9880" w:type="dxa"/>
            <w:vAlign w:val="bottom"/>
            <w:gridSpan w:val="5"/>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Form of Warrant Agreement between Continental Stock Transfer &amp; Trust Company and the Registrant.</w:t>
              </w:r>
            </w:hyperlink>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5.1</w:t>
            </w:r>
          </w:p>
        </w:tc>
        <w:tc>
          <w:tcPr>
            <w:tcW w:w="220" w:type="dxa"/>
            <w:vAlign w:val="bottom"/>
            <w:shd w:val="clear" w:color="auto" w:fill="CCEEFF"/>
          </w:tcPr>
          <w:p>
            <w:pPr>
              <w:spacing w:after="0"/>
              <w:rPr>
                <w:sz w:val="18"/>
                <w:szCs w:val="18"/>
                <w:color w:val="auto"/>
              </w:rPr>
            </w:pPr>
          </w:p>
        </w:tc>
        <w:tc>
          <w:tcPr>
            <w:tcW w:w="9880" w:type="dxa"/>
            <w:vAlign w:val="bottom"/>
            <w:gridSpan w:val="5"/>
            <w:shd w:val="clear" w:color="auto" w:fill="CCEEFF"/>
          </w:tcPr>
          <w:p>
            <w:pPr>
              <w:spacing w:after="0"/>
              <w:rPr>
                <w:rFonts w:ascii="Arial" w:cs="Arial" w:eastAsia="Arial" w:hAnsi="Arial"/>
                <w:sz w:val="18"/>
                <w:szCs w:val="18"/>
                <w:u w:val="single" w:color="auto"/>
                <w:color w:val="0000EE"/>
              </w:rPr>
            </w:pPr>
            <w:hyperlink r:id="rId32">
              <w:r>
                <w:rPr>
                  <w:rFonts w:ascii="Arial" w:cs="Arial" w:eastAsia="Arial" w:hAnsi="Arial"/>
                  <w:sz w:val="18"/>
                  <w:szCs w:val="18"/>
                  <w:u w:val="single" w:color="auto"/>
                  <w:color w:val="0000EE"/>
                </w:rPr>
                <w:t>Opinion of White &amp; Case LLP.*</w:t>
              </w:r>
            </w:hyperlink>
          </w:p>
        </w:tc>
      </w:tr>
      <w:tr>
        <w:trPr>
          <w:trHeight w:val="175"/>
        </w:trPr>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5"/>
                <w:szCs w:val="15"/>
                <w:color w:val="auto"/>
              </w:rPr>
            </w:pPr>
          </w:p>
        </w:tc>
        <w:tc>
          <w:tcPr>
            <w:tcW w:w="9060" w:type="dxa"/>
            <w:vAlign w:val="bottom"/>
            <w:tcBorders>
              <w:bottom w:val="single" w:sz="8" w:color="0000EE"/>
            </w:tcBorders>
            <w:gridSpan w:val="3"/>
          </w:tcPr>
          <w:p>
            <w:pPr>
              <w:spacing w:after="0" w:line="176" w:lineRule="exact"/>
              <w:rPr>
                <w:rFonts w:ascii="Arial" w:cs="Arial" w:eastAsia="Arial" w:hAnsi="Arial"/>
                <w:sz w:val="18"/>
                <w:szCs w:val="18"/>
                <w:color w:val="0000EE"/>
                <w:w w:val="91"/>
              </w:rPr>
            </w:pPr>
            <w:hyperlink r:id="rId33">
              <w:r>
                <w:rPr>
                  <w:rFonts w:ascii="Arial" w:cs="Arial" w:eastAsia="Arial" w:hAnsi="Arial"/>
                  <w:sz w:val="18"/>
                  <w:szCs w:val="18"/>
                  <w:color w:val="0000EE"/>
                  <w:w w:val="91"/>
                </w:rPr>
                <w:t>Form of Letter Agreement among the Registrant, CMLS Holdings LLC and each of the executive officers and directors of the</w:t>
              </w:r>
            </w:hyperlink>
          </w:p>
        </w:tc>
        <w:tc>
          <w:tcPr>
            <w:tcW w:w="820" w:type="dxa"/>
            <w:vAlign w:val="bottom"/>
            <w:gridSpan w:val="2"/>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5"/>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Registrant.*</w:t>
              </w:r>
            </w:hyperlink>
          </w:p>
        </w:tc>
      </w:tr>
      <w:tr>
        <w:trPr>
          <w:trHeight w:val="21"/>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10.2</w:t>
            </w:r>
          </w:p>
        </w:tc>
        <w:tc>
          <w:tcPr>
            <w:tcW w:w="220" w:type="dxa"/>
            <w:vAlign w:val="bottom"/>
            <w:shd w:val="clear" w:color="auto" w:fill="CCEEFF"/>
          </w:tcPr>
          <w:p>
            <w:pPr>
              <w:spacing w:after="0"/>
              <w:rPr>
                <w:sz w:val="18"/>
                <w:szCs w:val="18"/>
                <w:color w:val="auto"/>
              </w:rPr>
            </w:pPr>
          </w:p>
        </w:tc>
        <w:tc>
          <w:tcPr>
            <w:tcW w:w="9880" w:type="dxa"/>
            <w:vAlign w:val="bottom"/>
            <w:gridSpan w:val="5"/>
            <w:shd w:val="clear" w:color="auto" w:fill="CCEEFF"/>
          </w:tcPr>
          <w:p>
            <w:pPr>
              <w:spacing w:after="0"/>
              <w:rPr>
                <w:rFonts w:ascii="Arial" w:cs="Arial" w:eastAsia="Arial" w:hAnsi="Arial"/>
                <w:sz w:val="18"/>
                <w:szCs w:val="18"/>
                <w:u w:val="single" w:color="auto"/>
                <w:color w:val="0000EE"/>
                <w:w w:val="98"/>
              </w:rPr>
            </w:pPr>
            <w:hyperlink r:id="rId34">
              <w:r>
                <w:rPr>
                  <w:rFonts w:ascii="Arial" w:cs="Arial" w:eastAsia="Arial" w:hAnsi="Arial"/>
                  <w:sz w:val="18"/>
                  <w:szCs w:val="18"/>
                  <w:u w:val="single" w:color="auto"/>
                  <w:color w:val="0000EE"/>
                  <w:w w:val="98"/>
                </w:rPr>
                <w:t>Form of Investment Management Trust Agreement between Continental Stock Transfer &amp; Trust Company and the Registrant.*</w:t>
              </w:r>
            </w:hyperlink>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20" w:type="dxa"/>
            <w:vAlign w:val="bottom"/>
          </w:tcPr>
          <w:p>
            <w:pPr>
              <w:spacing w:after="0"/>
              <w:rPr>
                <w:sz w:val="18"/>
                <w:szCs w:val="18"/>
                <w:color w:val="auto"/>
              </w:rPr>
            </w:pPr>
          </w:p>
        </w:tc>
        <w:tc>
          <w:tcPr>
            <w:tcW w:w="9880" w:type="dxa"/>
            <w:vAlign w:val="bottom"/>
            <w:gridSpan w:val="5"/>
          </w:tcPr>
          <w:p>
            <w:pPr>
              <w:spacing w:after="0"/>
              <w:rPr>
                <w:rFonts w:ascii="Arial" w:cs="Arial" w:eastAsia="Arial" w:hAnsi="Arial"/>
                <w:sz w:val="18"/>
                <w:szCs w:val="18"/>
                <w:u w:val="single" w:color="auto"/>
                <w:color w:val="0000EE"/>
              </w:rPr>
            </w:pPr>
            <w:hyperlink r:id="rId35">
              <w:r>
                <w:rPr>
                  <w:rFonts w:ascii="Arial" w:cs="Arial" w:eastAsia="Arial" w:hAnsi="Arial"/>
                  <w:sz w:val="18"/>
                  <w:szCs w:val="18"/>
                  <w:u w:val="single" w:color="auto"/>
                  <w:color w:val="0000EE"/>
                </w:rPr>
                <w:t>Form of Registration Rights Agreement among the Registrant, CMLS Holdings LLC and the Holders signatory thereto.*</w:t>
              </w:r>
            </w:hyperlink>
          </w:p>
        </w:tc>
      </w:tr>
      <w:tr>
        <w:trPr>
          <w:trHeight w:val="176"/>
        </w:trPr>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10.4</w:t>
            </w:r>
          </w:p>
        </w:tc>
        <w:tc>
          <w:tcPr>
            <w:tcW w:w="220" w:type="dxa"/>
            <w:vAlign w:val="bottom"/>
            <w:shd w:val="clear" w:color="auto" w:fill="CCEEFF"/>
          </w:tcPr>
          <w:p>
            <w:pPr>
              <w:spacing w:after="0"/>
              <w:rPr>
                <w:sz w:val="15"/>
                <w:szCs w:val="15"/>
                <w:color w:val="auto"/>
              </w:rPr>
            </w:pPr>
          </w:p>
        </w:tc>
        <w:tc>
          <w:tcPr>
            <w:tcW w:w="9880" w:type="dxa"/>
            <w:vAlign w:val="bottom"/>
            <w:gridSpan w:val="5"/>
            <w:shd w:val="clear" w:color="auto" w:fill="CCEEFF"/>
          </w:tcPr>
          <w:p>
            <w:pPr>
              <w:spacing w:after="0" w:line="176" w:lineRule="exact"/>
              <w:rPr>
                <w:rFonts w:ascii="Arial" w:cs="Arial" w:eastAsia="Arial" w:hAnsi="Arial"/>
                <w:sz w:val="18"/>
                <w:szCs w:val="18"/>
                <w:color w:val="0000EE"/>
                <w:w w:val="92"/>
              </w:rPr>
            </w:pPr>
            <w:hyperlink r:id="rId36">
              <w:r>
                <w:rPr>
                  <w:rFonts w:ascii="Arial" w:cs="Arial" w:eastAsia="Arial" w:hAnsi="Arial"/>
                  <w:sz w:val="18"/>
                  <w:szCs w:val="18"/>
                  <w:color w:val="0000EE"/>
                  <w:w w:val="92"/>
                </w:rPr>
                <w:t>Form of Private Placement Warrants Purchase Agreement between the Registrant, CMLS Holdings LLC and the individuals named in</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640" w:type="dxa"/>
            <w:vAlign w:val="bottom"/>
            <w:tcBorders>
              <w:top w:val="single" w:sz="8" w:color="0000EE"/>
            </w:tcBorders>
            <w:gridSpan w:val="4"/>
            <w:shd w:val="clear" w:color="auto" w:fill="CCEEFF"/>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Exhibit A thereto.*</w:t>
              </w:r>
            </w:hyperlink>
          </w:p>
        </w:tc>
        <w:tc>
          <w:tcPr>
            <w:tcW w:w="240" w:type="dxa"/>
            <w:vAlign w:val="bottom"/>
            <w:tcBorders>
              <w:top w:val="single" w:sz="8" w:color="CCEEFF"/>
            </w:tcBorders>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6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220" w:type="dxa"/>
            <w:vAlign w:val="bottom"/>
          </w:tcPr>
          <w:p>
            <w:pPr>
              <w:spacing w:after="0"/>
              <w:rPr>
                <w:sz w:val="18"/>
                <w:szCs w:val="18"/>
                <w:color w:val="auto"/>
              </w:rPr>
            </w:pPr>
          </w:p>
        </w:tc>
        <w:tc>
          <w:tcPr>
            <w:tcW w:w="9880" w:type="dxa"/>
            <w:vAlign w:val="bottom"/>
            <w:gridSpan w:val="5"/>
          </w:tcPr>
          <w:p>
            <w:pPr>
              <w:spacing w:after="0"/>
              <w:rPr>
                <w:rFonts w:ascii="Arial" w:cs="Arial" w:eastAsia="Arial" w:hAnsi="Arial"/>
                <w:sz w:val="18"/>
                <w:szCs w:val="18"/>
                <w:u w:val="single" w:color="auto"/>
                <w:color w:val="0000EE"/>
              </w:rPr>
            </w:pPr>
            <w:hyperlink r:id="rId37">
              <w:r>
                <w:rPr>
                  <w:rFonts w:ascii="Arial" w:cs="Arial" w:eastAsia="Arial" w:hAnsi="Arial"/>
                  <w:sz w:val="18"/>
                  <w:szCs w:val="18"/>
                  <w:u w:val="single" w:color="auto"/>
                  <w:color w:val="0000EE"/>
                </w:rPr>
                <w:t>Form of Indemnity Agreement.*</w:t>
              </w:r>
            </w:hyperlink>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10.6</w:t>
            </w:r>
          </w:p>
        </w:tc>
        <w:tc>
          <w:tcPr>
            <w:tcW w:w="220" w:type="dxa"/>
            <w:vAlign w:val="bottom"/>
            <w:shd w:val="clear" w:color="auto" w:fill="CCEEFF"/>
          </w:tcPr>
          <w:p>
            <w:pPr>
              <w:spacing w:after="0"/>
              <w:rPr>
                <w:sz w:val="18"/>
                <w:szCs w:val="18"/>
                <w:color w:val="auto"/>
              </w:rPr>
            </w:pPr>
          </w:p>
        </w:tc>
        <w:tc>
          <w:tcPr>
            <w:tcW w:w="9880" w:type="dxa"/>
            <w:vAlign w:val="bottom"/>
            <w:gridSpan w:val="5"/>
            <w:shd w:val="clear" w:color="auto" w:fill="CCEEFF"/>
          </w:tcPr>
          <w:p>
            <w:pPr>
              <w:spacing w:after="0"/>
              <w:rPr>
                <w:rFonts w:ascii="Arial" w:cs="Arial" w:eastAsia="Arial" w:hAnsi="Arial"/>
                <w:sz w:val="18"/>
                <w:szCs w:val="18"/>
                <w:u w:val="single" w:color="auto"/>
                <w:color w:val="0000EE"/>
              </w:rPr>
            </w:pPr>
            <w:hyperlink r:id="rId38">
              <w:r>
                <w:rPr>
                  <w:rFonts w:ascii="Arial" w:cs="Arial" w:eastAsia="Arial" w:hAnsi="Arial"/>
                  <w:sz w:val="18"/>
                  <w:szCs w:val="18"/>
                  <w:u w:val="single" w:color="auto"/>
                  <w:color w:val="0000EE"/>
                </w:rPr>
                <w:t>Promissory Note issued to CMLS Holdings LLC.*</w:t>
              </w:r>
            </w:hyperlink>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220" w:type="dxa"/>
            <w:vAlign w:val="bottom"/>
          </w:tcPr>
          <w:p>
            <w:pPr>
              <w:spacing w:after="0"/>
              <w:rPr>
                <w:sz w:val="18"/>
                <w:szCs w:val="18"/>
                <w:color w:val="auto"/>
              </w:rPr>
            </w:pPr>
          </w:p>
        </w:tc>
        <w:tc>
          <w:tcPr>
            <w:tcW w:w="9880" w:type="dxa"/>
            <w:vAlign w:val="bottom"/>
            <w:gridSpan w:val="5"/>
          </w:tcPr>
          <w:p>
            <w:pPr>
              <w:spacing w:after="0"/>
              <w:rPr>
                <w:rFonts w:ascii="Arial" w:cs="Arial" w:eastAsia="Arial" w:hAnsi="Arial"/>
                <w:sz w:val="18"/>
                <w:szCs w:val="18"/>
                <w:u w:val="single" w:color="auto"/>
                <w:color w:val="0000EE"/>
              </w:rPr>
            </w:pPr>
            <w:hyperlink r:id="rId39">
              <w:r>
                <w:rPr>
                  <w:rFonts w:ascii="Arial" w:cs="Arial" w:eastAsia="Arial" w:hAnsi="Arial"/>
                  <w:sz w:val="18"/>
                  <w:szCs w:val="18"/>
                  <w:u w:val="single" w:color="auto"/>
                  <w:color w:val="0000EE"/>
                </w:rPr>
                <w:t>Securities Subscription Agreement between the Registrant and CMLS Holdings LLC.*</w:t>
              </w:r>
            </w:hyperlink>
          </w:p>
        </w:tc>
      </w:tr>
      <w:tr>
        <w:trPr>
          <w:trHeight w:val="216"/>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10.8</w:t>
            </w:r>
          </w:p>
        </w:tc>
        <w:tc>
          <w:tcPr>
            <w:tcW w:w="220" w:type="dxa"/>
            <w:vAlign w:val="bottom"/>
            <w:shd w:val="clear" w:color="auto" w:fill="CCEEFF"/>
          </w:tcPr>
          <w:p>
            <w:pPr>
              <w:spacing w:after="0"/>
              <w:rPr>
                <w:sz w:val="18"/>
                <w:szCs w:val="18"/>
                <w:color w:val="auto"/>
              </w:rPr>
            </w:pPr>
          </w:p>
        </w:tc>
        <w:tc>
          <w:tcPr>
            <w:tcW w:w="9880" w:type="dxa"/>
            <w:vAlign w:val="bottom"/>
            <w:gridSpan w:val="5"/>
            <w:shd w:val="clear" w:color="auto" w:fill="CCEEFF"/>
          </w:tcPr>
          <w:p>
            <w:pPr>
              <w:spacing w:after="0"/>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Form of Forward Purchase Agreement.*</w:t>
              </w:r>
            </w:hyperlink>
          </w:p>
        </w:tc>
      </w:tr>
    </w:tbl>
    <w:p>
      <w:pPr>
        <w:ind w:left="1360" w:hanging="875"/>
        <w:spacing w:after="0"/>
        <w:tabs>
          <w:tab w:leader="none" w:pos="1360" w:val="left"/>
        </w:tabs>
        <w:numPr>
          <w:ilvl w:val="0"/>
          <w:numId w:val="2"/>
        </w:numPr>
        <w:rPr>
          <w:rFonts w:ascii="Arial" w:cs="Arial" w:eastAsia="Arial" w:hAnsi="Arial"/>
          <w:sz w:val="18"/>
          <w:szCs w:val="18"/>
          <w:u w:val="single" w:color="auto"/>
          <w:color w:val="0000EE"/>
        </w:rPr>
      </w:pPr>
      <w:hyperlink r:id="rId41">
        <w:r>
          <w:rPr>
            <w:rFonts w:ascii="Arial" w:cs="Arial" w:eastAsia="Arial" w:hAnsi="Arial"/>
            <w:sz w:val="18"/>
            <w:szCs w:val="18"/>
            <w:u w:val="single" w:color="auto"/>
            <w:color w:val="0000EE"/>
          </w:rPr>
          <w:t>Form of Code of Ethics.*</w:t>
        </w:r>
      </w:hyperlink>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23.1</w:t>
            </w:r>
          </w:p>
        </w:tc>
        <w:tc>
          <w:tcPr>
            <w:tcW w:w="10200" w:type="dxa"/>
            <w:vAlign w:val="bottom"/>
            <w:shd w:val="clear" w:color="auto" w:fill="CCEEFF"/>
          </w:tcPr>
          <w:p>
            <w:pPr>
              <w:ind w:left="320"/>
              <w:spacing w:after="0"/>
              <w:rPr>
                <w:rFonts w:ascii="Arial" w:cs="Arial" w:eastAsia="Arial" w:hAnsi="Arial"/>
                <w:sz w:val="18"/>
                <w:szCs w:val="18"/>
                <w:u w:val="single" w:color="auto"/>
                <w:color w:val="0000EE"/>
              </w:rPr>
            </w:pPr>
            <w:hyperlink r:id="rId42">
              <w:r>
                <w:rPr>
                  <w:rFonts w:ascii="Arial" w:cs="Arial" w:eastAsia="Arial" w:hAnsi="Arial"/>
                  <w:sz w:val="18"/>
                  <w:szCs w:val="18"/>
                  <w:u w:val="single" w:color="auto"/>
                  <w:color w:val="0000EE"/>
                </w:rPr>
                <w:t>Consent of WithumSmith+Brown, PC.*</w:t>
              </w:r>
            </w:hyperlink>
          </w:p>
        </w:tc>
      </w:tr>
      <w:tr>
        <w:trPr>
          <w:trHeight w:val="218"/>
        </w:trPr>
        <w:tc>
          <w:tcPr>
            <w:tcW w:w="1040" w:type="dxa"/>
            <w:vAlign w:val="bottom"/>
          </w:tcPr>
          <w:p>
            <w:pPr>
              <w:jc w:val="right"/>
              <w:ind w:right="210"/>
              <w:spacing w:after="0"/>
              <w:rPr>
                <w:sz w:val="20"/>
                <w:szCs w:val="20"/>
                <w:color w:val="auto"/>
              </w:rPr>
            </w:pPr>
            <w:r>
              <w:rPr>
                <w:rFonts w:ascii="Arial" w:cs="Arial" w:eastAsia="Arial" w:hAnsi="Arial"/>
                <w:sz w:val="18"/>
                <w:szCs w:val="18"/>
                <w:color w:val="auto"/>
              </w:rPr>
              <w:t>23.2</w:t>
            </w:r>
          </w:p>
        </w:tc>
        <w:tc>
          <w:tcPr>
            <w:tcW w:w="10200" w:type="dxa"/>
            <w:vAlign w:val="bottom"/>
          </w:tcPr>
          <w:p>
            <w:pPr>
              <w:ind w:left="320"/>
              <w:spacing w:after="0"/>
              <w:rPr>
                <w:rFonts w:ascii="Arial" w:cs="Arial" w:eastAsia="Arial" w:hAnsi="Arial"/>
                <w:sz w:val="18"/>
                <w:szCs w:val="18"/>
                <w:u w:val="single" w:color="auto"/>
                <w:color w:val="0000EE"/>
              </w:rPr>
            </w:pPr>
            <w:hyperlink r:id="rId32">
              <w:r>
                <w:rPr>
                  <w:rFonts w:ascii="Arial" w:cs="Arial" w:eastAsia="Arial" w:hAnsi="Arial"/>
                  <w:sz w:val="18"/>
                  <w:szCs w:val="18"/>
                  <w:u w:val="single" w:color="auto"/>
                  <w:color w:val="0000EE"/>
                </w:rPr>
                <w:t>Consent of White &amp; Case LLP (included on Exhibit 5.1).*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360" w:hanging="875"/>
        <w:spacing w:after="0"/>
        <w:tabs>
          <w:tab w:leader="none" w:pos="1360" w:val="left"/>
        </w:tabs>
        <w:numPr>
          <w:ilvl w:val="0"/>
          <w:numId w:val="3"/>
        </w:numPr>
        <w:rPr>
          <w:rFonts w:ascii="Arial" w:cs="Arial" w:eastAsia="Arial" w:hAnsi="Arial"/>
          <w:sz w:val="18"/>
          <w:szCs w:val="18"/>
          <w:u w:val="single" w:color="auto"/>
          <w:color w:val="0000EE"/>
        </w:rPr>
      </w:pPr>
      <w:hyperlink r:id="rId44">
        <w:r>
          <w:rPr>
            <w:rFonts w:ascii="Arial" w:cs="Arial" w:eastAsia="Arial" w:hAnsi="Arial"/>
            <w:sz w:val="18"/>
            <w:szCs w:val="18"/>
            <w:u w:val="single" w:color="auto"/>
            <w:color w:val="0000EE"/>
          </w:rPr>
          <w:t>Power of Attorney (included on signature page)*</w:t>
        </w:r>
      </w:hyperlink>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jc w:val="right"/>
              <w:ind w:right="210"/>
              <w:spacing w:after="0"/>
              <w:rPr>
                <w:sz w:val="20"/>
                <w:szCs w:val="20"/>
                <w:color w:val="auto"/>
              </w:rPr>
            </w:pPr>
            <w:r>
              <w:rPr>
                <w:rFonts w:ascii="Arial" w:cs="Arial" w:eastAsia="Arial" w:hAnsi="Arial"/>
                <w:sz w:val="18"/>
                <w:szCs w:val="18"/>
                <w:color w:val="auto"/>
              </w:rPr>
              <w:t>99.1</w:t>
            </w:r>
          </w:p>
        </w:tc>
        <w:tc>
          <w:tcPr>
            <w:tcW w:w="10200" w:type="dxa"/>
            <w:vAlign w:val="bottom"/>
          </w:tcPr>
          <w:p>
            <w:pPr>
              <w:ind w:left="320"/>
              <w:spacing w:after="0"/>
              <w:rPr>
                <w:rFonts w:ascii="Arial" w:cs="Arial" w:eastAsia="Arial" w:hAnsi="Arial"/>
                <w:sz w:val="18"/>
                <w:szCs w:val="18"/>
                <w:u w:val="single" w:color="auto"/>
                <w:color w:val="0000EE"/>
              </w:rPr>
            </w:pPr>
            <w:hyperlink r:id="rId45">
              <w:r>
                <w:rPr>
                  <w:rFonts w:ascii="Arial" w:cs="Arial" w:eastAsia="Arial" w:hAnsi="Arial"/>
                  <w:sz w:val="18"/>
                  <w:szCs w:val="18"/>
                  <w:u w:val="single" w:color="auto"/>
                  <w:color w:val="0000EE"/>
                </w:rPr>
                <w:t>Form of Audit Committee Charter.*</w:t>
              </w:r>
            </w:hyperlink>
          </w:p>
        </w:tc>
      </w:tr>
      <w:tr>
        <w:trPr>
          <w:trHeight w:val="216"/>
        </w:trPr>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99.2</w:t>
            </w:r>
          </w:p>
        </w:tc>
        <w:tc>
          <w:tcPr>
            <w:tcW w:w="10200" w:type="dxa"/>
            <w:vAlign w:val="bottom"/>
            <w:shd w:val="clear" w:color="auto" w:fill="CCEEFF"/>
          </w:tcPr>
          <w:p>
            <w:pPr>
              <w:ind w:left="320"/>
              <w:spacing w:after="0"/>
              <w:rPr>
                <w:rFonts w:ascii="Arial" w:cs="Arial" w:eastAsia="Arial" w:hAnsi="Arial"/>
                <w:sz w:val="18"/>
                <w:szCs w:val="18"/>
                <w:u w:val="single" w:color="auto"/>
                <w:color w:val="0000EE"/>
              </w:rPr>
            </w:pPr>
            <w:hyperlink r:id="rId46">
              <w:r>
                <w:rPr>
                  <w:rFonts w:ascii="Arial" w:cs="Arial" w:eastAsia="Arial" w:hAnsi="Arial"/>
                  <w:sz w:val="18"/>
                  <w:szCs w:val="18"/>
                  <w:u w:val="single" w:color="auto"/>
                  <w:color w:val="0000EE"/>
                </w:rPr>
                <w:t>Form of Compensation Committee Charter.*</w:t>
              </w:r>
            </w:hyperlink>
          </w:p>
        </w:tc>
      </w:tr>
      <w:tr>
        <w:trPr>
          <w:trHeight w:val="216"/>
        </w:trPr>
        <w:tc>
          <w:tcPr>
            <w:tcW w:w="1040" w:type="dxa"/>
            <w:vAlign w:val="bottom"/>
          </w:tcPr>
          <w:p>
            <w:pPr>
              <w:jc w:val="right"/>
              <w:ind w:right="210"/>
              <w:spacing w:after="0"/>
              <w:rPr>
                <w:sz w:val="20"/>
                <w:szCs w:val="20"/>
                <w:color w:val="auto"/>
              </w:rPr>
            </w:pPr>
            <w:r>
              <w:rPr>
                <w:rFonts w:ascii="Arial" w:cs="Arial" w:eastAsia="Arial" w:hAnsi="Arial"/>
                <w:sz w:val="18"/>
                <w:szCs w:val="18"/>
                <w:color w:val="auto"/>
              </w:rPr>
              <w:t>99.3</w:t>
            </w:r>
          </w:p>
        </w:tc>
        <w:tc>
          <w:tcPr>
            <w:tcW w:w="10200" w:type="dxa"/>
            <w:vAlign w:val="bottom"/>
          </w:tcPr>
          <w:p>
            <w:pPr>
              <w:ind w:left="320"/>
              <w:spacing w:after="0"/>
              <w:rPr>
                <w:rFonts w:ascii="Arial" w:cs="Arial" w:eastAsia="Arial" w:hAnsi="Arial"/>
                <w:sz w:val="18"/>
                <w:szCs w:val="18"/>
                <w:u w:val="single" w:color="auto"/>
                <w:color w:val="0000EE"/>
              </w:rPr>
            </w:pPr>
            <w:hyperlink r:id="rId47">
              <w:r>
                <w:rPr>
                  <w:rFonts w:ascii="Arial" w:cs="Arial" w:eastAsia="Arial" w:hAnsi="Arial"/>
                  <w:sz w:val="18"/>
                  <w:szCs w:val="18"/>
                  <w:u w:val="single" w:color="auto"/>
                  <w:color w:val="0000EE"/>
                </w:rPr>
                <w:t>Form of Nominating &amp; Corporate Governance Committee Charter.*</w:t>
              </w:r>
            </w:hyperlink>
          </w:p>
        </w:tc>
      </w:tr>
      <w:tr>
        <w:trPr>
          <w:trHeight w:val="216"/>
        </w:trPr>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99.4</w:t>
            </w:r>
          </w:p>
        </w:tc>
        <w:tc>
          <w:tcPr>
            <w:tcW w:w="10200" w:type="dxa"/>
            <w:vAlign w:val="bottom"/>
            <w:shd w:val="clear" w:color="auto" w:fill="CCEEFF"/>
          </w:tcPr>
          <w:p>
            <w:pPr>
              <w:ind w:left="320"/>
              <w:spacing w:after="0"/>
              <w:rPr>
                <w:rFonts w:ascii="Arial" w:cs="Arial" w:eastAsia="Arial" w:hAnsi="Arial"/>
                <w:sz w:val="18"/>
                <w:szCs w:val="18"/>
                <w:u w:val="single" w:color="auto"/>
                <w:color w:val="0000EE"/>
              </w:rPr>
            </w:pPr>
            <w:hyperlink r:id="rId48">
              <w:r>
                <w:rPr>
                  <w:rFonts w:ascii="Arial" w:cs="Arial" w:eastAsia="Arial" w:hAnsi="Arial"/>
                  <w:sz w:val="18"/>
                  <w:szCs w:val="18"/>
                  <w:u w:val="single" w:color="auto"/>
                  <w:color w:val="0000EE"/>
                </w:rPr>
                <w:t>Consent of Munib Islam.*</w:t>
              </w:r>
            </w:hyperlink>
          </w:p>
        </w:tc>
      </w:tr>
      <w:tr>
        <w:trPr>
          <w:trHeight w:val="216"/>
        </w:trPr>
        <w:tc>
          <w:tcPr>
            <w:tcW w:w="1040" w:type="dxa"/>
            <w:vAlign w:val="bottom"/>
          </w:tcPr>
          <w:p>
            <w:pPr>
              <w:jc w:val="right"/>
              <w:ind w:right="210"/>
              <w:spacing w:after="0"/>
              <w:rPr>
                <w:sz w:val="20"/>
                <w:szCs w:val="20"/>
                <w:color w:val="auto"/>
              </w:rPr>
            </w:pPr>
            <w:r>
              <w:rPr>
                <w:rFonts w:ascii="Arial" w:cs="Arial" w:eastAsia="Arial" w:hAnsi="Arial"/>
                <w:sz w:val="18"/>
                <w:szCs w:val="18"/>
                <w:color w:val="auto"/>
              </w:rPr>
              <w:t>99.5</w:t>
            </w:r>
          </w:p>
        </w:tc>
        <w:tc>
          <w:tcPr>
            <w:tcW w:w="10200" w:type="dxa"/>
            <w:vAlign w:val="bottom"/>
          </w:tcPr>
          <w:p>
            <w:pPr>
              <w:ind w:left="320"/>
              <w:spacing w:after="0"/>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Consent of Sean George.*</w:t>
              </w:r>
            </w:hyperlink>
          </w:p>
        </w:tc>
      </w:tr>
      <w:tr>
        <w:trPr>
          <w:trHeight w:val="216"/>
        </w:trPr>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99.6</w:t>
            </w:r>
          </w:p>
        </w:tc>
        <w:tc>
          <w:tcPr>
            <w:tcW w:w="10200" w:type="dxa"/>
            <w:vAlign w:val="bottom"/>
            <w:shd w:val="clear" w:color="auto" w:fill="CCEEFF"/>
          </w:tcPr>
          <w:p>
            <w:pPr>
              <w:ind w:left="320"/>
              <w:spacing w:after="0"/>
              <w:rPr>
                <w:rFonts w:ascii="Arial" w:cs="Arial" w:eastAsia="Arial" w:hAnsi="Arial"/>
                <w:sz w:val="18"/>
                <w:szCs w:val="18"/>
                <w:u w:val="single" w:color="auto"/>
                <w:color w:val="0000EE"/>
              </w:rPr>
            </w:pPr>
            <w:hyperlink r:id="rId50">
              <w:r>
                <w:rPr>
                  <w:rFonts w:ascii="Arial" w:cs="Arial" w:eastAsia="Arial" w:hAnsi="Arial"/>
                  <w:sz w:val="18"/>
                  <w:szCs w:val="18"/>
                  <w:u w:val="single" w:color="auto"/>
                  <w:color w:val="0000EE"/>
                </w:rPr>
                <w:t>Consent of Emily Leproust.*</w:t>
              </w:r>
            </w:hyperlink>
          </w:p>
        </w:tc>
      </w:tr>
      <w:tr>
        <w:trPr>
          <w:trHeight w:val="230"/>
        </w:trPr>
        <w:tc>
          <w:tcPr>
            <w:tcW w:w="1040" w:type="dxa"/>
            <w:vAlign w:val="bottom"/>
          </w:tcPr>
          <w:p>
            <w:pPr>
              <w:jc w:val="right"/>
              <w:ind w:right="210"/>
              <w:spacing w:after="0"/>
              <w:rPr>
                <w:sz w:val="20"/>
                <w:szCs w:val="20"/>
                <w:color w:val="auto"/>
              </w:rPr>
            </w:pPr>
            <w:r>
              <w:rPr>
                <w:rFonts w:ascii="Arial" w:cs="Arial" w:eastAsia="Arial" w:hAnsi="Arial"/>
                <w:sz w:val="18"/>
                <w:szCs w:val="18"/>
                <w:color w:val="auto"/>
              </w:rPr>
              <w:t>99.7</w:t>
            </w:r>
          </w:p>
        </w:tc>
        <w:tc>
          <w:tcPr>
            <w:tcW w:w="10200" w:type="dxa"/>
            <w:vAlign w:val="bottom"/>
          </w:tcPr>
          <w:p>
            <w:pPr>
              <w:ind w:left="320"/>
              <w:spacing w:after="0"/>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Consent of Nat Turner.*</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New York, NY, on the 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August, 2020.</w:t>
      </w:r>
    </w:p>
    <w:p>
      <w:pPr>
        <w:spacing w:after="0" w:line="34"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CM LIFE SCIENCES,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Emes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 and Secretary</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80" w:lineRule="exact"/>
        <w:rPr>
          <w:sz w:val="20"/>
          <w:szCs w:val="20"/>
          <w:color w:val="auto"/>
        </w:rPr>
      </w:pPr>
    </w:p>
    <w:p>
      <w:pPr>
        <w:ind w:left="2000"/>
        <w:spacing w:after="0"/>
        <w:tabs>
          <w:tab w:leader="none" w:pos="6320" w:val="left"/>
          <w:tab w:leader="none" w:pos="98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Position</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Eli Casdin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Brian Emes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Keith Meister</w:t>
      </w:r>
    </w:p>
    <w:p>
      <w:pPr>
        <w:spacing w:after="0" w:line="2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tab/>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Brian Emes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tabs>
          <w:tab w:leader="none" w:pos="4760" w:val="left"/>
        </w:tabs>
        <w:rPr>
          <w:sz w:val="20"/>
          <w:szCs w:val="20"/>
          <w:color w:val="auto"/>
        </w:rPr>
      </w:pPr>
      <w:r>
        <w:rPr>
          <w:rFonts w:ascii="Arial" w:cs="Arial" w:eastAsia="Arial" w:hAnsi="Arial"/>
          <w:sz w:val="18"/>
          <w:szCs w:val="18"/>
          <w:color w:val="auto"/>
        </w:rPr>
        <w:t>Chief Executive Officer and Director</w:t>
      </w:r>
      <w:r>
        <w:rPr>
          <w:sz w:val="20"/>
          <w:szCs w:val="20"/>
          <w:color w:val="auto"/>
        </w:rPr>
        <w:tab/>
      </w:r>
      <w:r>
        <w:rPr>
          <w:rFonts w:ascii="Arial" w:cs="Arial" w:eastAsia="Arial" w:hAnsi="Arial"/>
          <w:sz w:val="16"/>
          <w:szCs w:val="16"/>
          <w:color w:val="auto"/>
        </w:rPr>
        <w:t>August 27, 2020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306" w:lineRule="exact"/>
        <w:rPr>
          <w:sz w:val="20"/>
          <w:szCs w:val="20"/>
          <w:color w:val="auto"/>
        </w:rPr>
      </w:pPr>
    </w:p>
    <w:p>
      <w:pPr>
        <w:spacing w:after="0"/>
        <w:tabs>
          <w:tab w:leader="none" w:pos="4760" w:val="left"/>
        </w:tabs>
        <w:rPr>
          <w:sz w:val="20"/>
          <w:szCs w:val="20"/>
          <w:color w:val="auto"/>
        </w:rPr>
      </w:pPr>
      <w:r>
        <w:rPr>
          <w:rFonts w:ascii="Arial" w:cs="Arial" w:eastAsia="Arial" w:hAnsi="Arial"/>
          <w:sz w:val="18"/>
          <w:szCs w:val="18"/>
          <w:color w:val="auto"/>
        </w:rPr>
        <w:t>Chief Financial Officer and Secretary</w:t>
      </w:r>
      <w:r>
        <w:rPr>
          <w:sz w:val="20"/>
          <w:szCs w:val="20"/>
          <w:color w:val="auto"/>
        </w:rPr>
        <w:tab/>
      </w:r>
      <w:r>
        <w:rPr>
          <w:rFonts w:ascii="Arial" w:cs="Arial" w:eastAsia="Arial" w:hAnsi="Arial"/>
          <w:sz w:val="16"/>
          <w:szCs w:val="16"/>
          <w:color w:val="auto"/>
        </w:rPr>
        <w:t>August 27, 2020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306" w:lineRule="exact"/>
        <w:rPr>
          <w:sz w:val="20"/>
          <w:szCs w:val="20"/>
          <w:color w:val="auto"/>
        </w:rPr>
      </w:pPr>
    </w:p>
    <w:p>
      <w:pPr>
        <w:spacing w:after="0"/>
        <w:tabs>
          <w:tab w:leader="none" w:pos="4760" w:val="left"/>
        </w:tabs>
        <w:rPr>
          <w:sz w:val="20"/>
          <w:szCs w:val="20"/>
          <w:color w:val="auto"/>
        </w:rPr>
      </w:pPr>
      <w:r>
        <w:rPr>
          <w:rFonts w:ascii="Arial" w:cs="Arial" w:eastAsia="Arial" w:hAnsi="Arial"/>
          <w:sz w:val="18"/>
          <w:szCs w:val="18"/>
          <w:color w:val="auto"/>
        </w:rPr>
        <w:t>Chairman of the Board</w:t>
      </w:r>
      <w:r>
        <w:rPr>
          <w:sz w:val="20"/>
          <w:szCs w:val="20"/>
          <w:color w:val="auto"/>
        </w:rPr>
        <w:tab/>
      </w:r>
      <w:r>
        <w:rPr>
          <w:rFonts w:ascii="Arial" w:cs="Arial" w:eastAsia="Arial" w:hAnsi="Arial"/>
          <w:sz w:val="16"/>
          <w:szCs w:val="16"/>
          <w:color w:val="auto"/>
        </w:rPr>
        <w:t>August 27, 2020</w:t>
      </w:r>
    </w:p>
    <w:p>
      <w:pPr>
        <w:spacing w:after="0" w:line="1365" w:lineRule="exact"/>
        <w:rPr>
          <w:sz w:val="20"/>
          <w:szCs w:val="20"/>
          <w:color w:val="auto"/>
        </w:rPr>
      </w:pPr>
    </w:p>
    <w:p>
      <w:pPr>
        <w:sectPr>
          <w:pgSz w:w="11900" w:h="16838" w:orient="portrait"/>
          <w:cols w:equalWidth="0" w:num="2">
            <w:col w:w="3900" w:space="720"/>
            <w:col w:w="6560"/>
          </w:cols>
          <w:pgMar w:left="320" w:top="904" w:right="399" w:bottom="1440" w:gutter="0" w:footer="0" w:header="0"/>
          <w:type w:val="continuous"/>
        </w:sect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CM LIFE SCIENCES,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CONTINENTAL STOCK TRANSFER &amp; TRUST COMPANY</w:t>
      </w:r>
    </w:p>
    <w:p>
      <w:pPr>
        <w:sectPr>
          <w:pgSz w:w="11900" w:h="16838" w:orient="portrait"/>
          <w:cols w:equalWidth="0" w:num="1">
            <w:col w:w="11240"/>
          </w:cols>
          <w:pgMar w:left="320" w:top="121" w:right="339" w:bottom="1440" w:gutter="0" w:footer="0" w:header="0"/>
        </w:sectPr>
      </w:pPr>
    </w:p>
    <w:p>
      <w:pPr>
        <w:spacing w:after="0" w:line="237" w:lineRule="exact"/>
        <w:rPr>
          <w:sz w:val="20"/>
          <w:szCs w:val="20"/>
          <w:color w:val="auto"/>
        </w:rPr>
      </w:pPr>
    </w:p>
    <w:p>
      <w:pPr>
        <w:ind w:left="4760"/>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 2020</w:t>
      </w:r>
    </w:p>
    <w:p>
      <w:pPr>
        <w:spacing w:after="0" w:line="200" w:lineRule="exact"/>
        <w:rPr>
          <w:sz w:val="20"/>
          <w:szCs w:val="20"/>
          <w:color w:val="auto"/>
        </w:rPr>
      </w:pPr>
    </w:p>
    <w:p>
      <w:pPr>
        <w:sectPr>
          <w:pgSz w:w="11900" w:h="16838" w:orient="portrait"/>
          <w:cols w:equalWidth="0" w:num="2">
            <w:col w:w="5320" w:space="720"/>
            <w:col w:w="5200"/>
          </w:cols>
          <w:pgMar w:left="320" w:top="121" w:right="339" w:bottom="1440" w:gutter="0" w:footer="0" w:header="0"/>
          <w:type w:val="continuous"/>
        </w:sectPr>
      </w:pPr>
    </w:p>
    <w:p>
      <w:pPr>
        <w:spacing w:after="0" w:line="48" w:lineRule="exact"/>
        <w:rPr>
          <w:sz w:val="20"/>
          <w:szCs w:val="20"/>
          <w:color w:val="auto"/>
        </w:rPr>
      </w:pPr>
    </w:p>
    <w:p>
      <w:pPr>
        <w:ind w:left="660"/>
        <w:spacing w:after="0"/>
        <w:tabs>
          <w:tab w:leader="none" w:pos="6660" w:val="left"/>
        </w:tabs>
        <w:rPr>
          <w:sz w:val="20"/>
          <w:szCs w:val="20"/>
          <w:color w:val="auto"/>
        </w:rPr>
      </w:pPr>
      <w:r>
        <w:rPr>
          <w:rFonts w:ascii="Arial" w:cs="Arial" w:eastAsia="Arial" w:hAnsi="Arial"/>
          <w:sz w:val="18"/>
          <w:szCs w:val="18"/>
          <w:color w:val="auto"/>
        </w:rPr>
        <w:t>THIS WARRANT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w:t>
      </w:r>
      <w:r>
        <w:rPr>
          <w:sz w:val="20"/>
          <w:szCs w:val="20"/>
          <w:color w:val="auto"/>
        </w:rPr>
        <w:tab/>
      </w:r>
      <w:r>
        <w:rPr>
          <w:rFonts w:ascii="Arial" w:cs="Arial" w:eastAsia="Arial" w:hAnsi="Arial"/>
          <w:sz w:val="16"/>
          <w:szCs w:val="16"/>
          <w:color w:val="auto"/>
        </w:rPr>
        <w:t>, 2020, is by and between CM Life Sciences, Inc., a Delaware</w:t>
      </w:r>
    </w:p>
    <w:p>
      <w:pPr>
        <w:sectPr>
          <w:pgSz w:w="11900" w:h="16838" w:orient="portrait"/>
          <w:cols w:equalWidth="0" w:num="1">
            <w:col w:w="11240"/>
          </w:cols>
          <w:pgMar w:left="320" w:top="121" w:right="339" w:bottom="1440" w:gutter="0" w:footer="0" w:header="0"/>
          <w:type w:val="continuous"/>
        </w:sectPr>
      </w:pP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Continental Stock Transfer &amp; Trust Company, a New York corporation, as warrant agent (in such capacity, the “</w:t>
      </w:r>
      <w:r>
        <w:rPr>
          <w:rFonts w:ascii="Arial" w:cs="Arial" w:eastAsia="Arial" w:hAnsi="Arial"/>
          <w:sz w:val="18"/>
          <w:szCs w:val="18"/>
          <w:b w:val="1"/>
          <w:bCs w:val="1"/>
          <w:i w:val="1"/>
          <w:iCs w:val="1"/>
          <w:color w:val="auto"/>
        </w:rPr>
        <w:t>Warrant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WHEREAS, it is proposed that the Company enter into that certain Private Placement Warrants Purchase Agreement, with CMLS Holdings LLC, a Delaware limited liability company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and those individuals named in Exhibit A thereto (together with the Sponsor, the “</w:t>
      </w:r>
      <w:r>
        <w:rPr>
          <w:rFonts w:ascii="Arial" w:cs="Arial" w:eastAsia="Arial" w:hAnsi="Arial"/>
          <w:sz w:val="17"/>
          <w:szCs w:val="17"/>
          <w:b w:val="1"/>
          <w:bCs w:val="1"/>
          <w:i w:val="1"/>
          <w:iCs w:val="1"/>
          <w:color w:val="auto"/>
        </w:rPr>
        <w:t>Purchasers</w:t>
      </w:r>
      <w:r>
        <w:rPr>
          <w:rFonts w:ascii="Arial" w:cs="Arial" w:eastAsia="Arial" w:hAnsi="Arial"/>
          <w:sz w:val="17"/>
          <w:szCs w:val="17"/>
          <w:color w:val="auto"/>
        </w:rPr>
        <w:t xml:space="preserve">”) pursuant to which the Purchasers will purchase an aggregate of 6,000,000 warrants (or up to 6,700,000 warrants if the underwriters in the Offering (defined below) exercise their Over-allotment Option (as defined below) in full) simultaneously with the closing of the Offering (and the closing of the Over-allotment Option, if applicable), bearing the legend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(the “</w:t>
      </w:r>
      <w:r>
        <w:rPr>
          <w:rFonts w:ascii="Arial" w:cs="Arial" w:eastAsia="Arial" w:hAnsi="Arial"/>
          <w:sz w:val="17"/>
          <w:szCs w:val="17"/>
          <w:b w:val="1"/>
          <w:bCs w:val="1"/>
          <w:i w:val="1"/>
          <w:iCs w:val="1"/>
          <w:color w:val="auto"/>
        </w:rPr>
        <w:t>Private Placement Warrants</w:t>
      </w:r>
      <w:r>
        <w:rPr>
          <w:rFonts w:ascii="Arial" w:cs="Arial" w:eastAsia="Arial" w:hAnsi="Arial"/>
          <w:sz w:val="17"/>
          <w:szCs w:val="17"/>
          <w:color w:val="auto"/>
        </w:rPr>
        <w:t>”) at a purchase price of $1.50 per Private Placement Warrant. Each Private Placement Warrant entitles the holder thereof to purchase one share of Common Stock (as defined below) at a price of $11.50 per share, subject to adjustment as described herein; and</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in order to finance the Company’s transaction costs in connection with an intended initial merger, capital stock exchange, asset acquisition, stock purchase, reorganization or similar business combination, involving the Company and one or more businesses (a “</w:t>
      </w:r>
      <w:r>
        <w:rPr>
          <w:rFonts w:ascii="Arial" w:cs="Arial" w:eastAsia="Arial" w:hAnsi="Arial"/>
          <w:sz w:val="18"/>
          <w:szCs w:val="18"/>
          <w:b w:val="1"/>
          <w:bCs w:val="1"/>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Combination</w:t>
      </w:r>
      <w:r>
        <w:rPr>
          <w:rFonts w:ascii="Arial" w:cs="Arial" w:eastAsia="Arial" w:hAnsi="Arial"/>
          <w:sz w:val="18"/>
          <w:szCs w:val="18"/>
          <w:color w:val="auto"/>
        </w:rPr>
        <w:t>”), the Sponsor or an affiliate of the Sponsor or certain of the Company’s officers and directors may, but are not obligated to, loan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funds as the Company may require, of which up to $1,500,000 of such loans may be convertible into up to an additional 1,000,000 Private Placement Warrants at a price of $1.50 per Private Placement Warrant; and</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WHEREAS, the Company is engaged in an initial public offering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of units of the Company’s equity securities, each such unit comprised of one share of Class A common stock of the Company, par value $0.0001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one-third of one Public Warrant (as defined below) (the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and, in connection therewith, has determined to issue and deliver up to 13,416,667 redeemable warrants (including up to 1,750,000 redeemable warrants subject to the Over-allotment Option) to public investors in the Offering (the “</w:t>
      </w:r>
      <w:r>
        <w:rPr>
          <w:rFonts w:ascii="Arial" w:cs="Arial" w:eastAsia="Arial" w:hAnsi="Arial"/>
          <w:sz w:val="18"/>
          <w:szCs w:val="18"/>
          <w:b w:val="1"/>
          <w:bCs w:val="1"/>
          <w:i w:val="1"/>
          <w:iCs w:val="1"/>
          <w:color w:val="auto"/>
        </w:rPr>
        <w:t>Public Warrants</w:t>
      </w:r>
      <w:r>
        <w:rPr>
          <w:rFonts w:ascii="Arial" w:cs="Arial" w:eastAsia="Arial" w:hAnsi="Arial"/>
          <w:sz w:val="18"/>
          <w:szCs w:val="18"/>
          <w:color w:val="auto"/>
        </w:rPr>
        <w:t>” and, together with the Private Placement Warrants,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Each whole Warrant entitles the holder thereof to purchase one share of Common Stock for $11.50 per share, subject to adjustment as described herein. Only whole Warrants are exercisable. A holder of the Public Warrants will not be able to exercise any fraction of a Warrant; and</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Company has filed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a registration statement on Form S-1, File No. 333-246251 and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the Units, the Public Warrants and the Common Stock included in the Units; and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jc w:val="both"/>
        <w:ind w:firstLine="648"/>
        <w:spacing w:after="0" w:line="308" w:lineRule="auto"/>
        <w:rPr>
          <w:sz w:val="20"/>
          <w:szCs w:val="20"/>
          <w:color w:val="auto"/>
        </w:rPr>
      </w:pPr>
      <w:r>
        <w:rPr>
          <w:rFonts w:ascii="Arial" w:cs="Arial" w:eastAsia="Arial" w:hAnsi="Arial"/>
          <w:sz w:val="17"/>
          <w:szCs w:val="17"/>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(if a physical certificate is issued), as provided herein, the valid, binding and legal obligations of the Company, and to authorize the execution and delivery of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firstLine="656"/>
        <w:spacing w:after="0" w:line="342" w:lineRule="auto"/>
        <w:tabs>
          <w:tab w:leader="none" w:pos="841"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Appointment of Warrant Agent</w:t>
      </w:r>
      <w:r>
        <w:rPr>
          <w:rFonts w:ascii="Arial" w:cs="Arial" w:eastAsia="Arial" w:hAnsi="Arial"/>
          <w:sz w:val="16"/>
          <w:szCs w:val="16"/>
          <w:color w:val="auto"/>
        </w:rPr>
        <w:t>.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23" w:lineRule="exact"/>
        <w:rPr>
          <w:rFonts w:ascii="Arial" w:cs="Arial" w:eastAsia="Arial" w:hAnsi="Arial"/>
          <w:sz w:val="16"/>
          <w:szCs w:val="16"/>
          <w:color w:val="auto"/>
        </w:rPr>
      </w:pPr>
    </w:p>
    <w:p>
      <w:pPr>
        <w:ind w:left="840" w:hanging="18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Warrant</w:t>
      </w:r>
      <w:r>
        <w:rPr>
          <w:rFonts w:ascii="Arial" w:cs="Arial" w:eastAsia="Arial" w:hAnsi="Arial"/>
          <w:sz w:val="18"/>
          <w:szCs w:val="18"/>
          <w:color w:val="auto"/>
        </w:rPr>
        <w:t>. Each Warrant shall initially be issued in registered form only.</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If a physical certificate is issued, unless and until countersigned by the Warrant Agent pursuant to this Agreement, a certificated Warrant shall be invalid and of no effect and may not be exercised by the holder thereof.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Warrant Register</w:t>
      </w:r>
      <w:r>
        <w:rPr>
          <w:rFonts w:ascii="Arial" w:cs="Arial" w:eastAsia="Arial" w:hAnsi="Arial"/>
          <w:sz w:val="18"/>
          <w:szCs w:val="18"/>
          <w:color w:val="auto"/>
        </w:rPr>
        <w:t>. The Warrant Agent shall maintain books (the “</w:t>
      </w:r>
      <w:r>
        <w:rPr>
          <w:rFonts w:ascii="Arial" w:cs="Arial" w:eastAsia="Arial" w:hAnsi="Arial"/>
          <w:sz w:val="18"/>
          <w:szCs w:val="18"/>
          <w:b w:val="1"/>
          <w:bCs w:val="1"/>
          <w:i w:val="1"/>
          <w:iCs w:val="1"/>
          <w:color w:val="auto"/>
        </w:rPr>
        <w:t>Warrant Register</w:t>
      </w:r>
      <w:r>
        <w:rPr>
          <w:rFonts w:ascii="Arial" w:cs="Arial" w:eastAsia="Arial" w:hAnsi="Arial"/>
          <w:sz w:val="18"/>
          <w:szCs w:val="18"/>
          <w:color w:val="auto"/>
        </w:rPr>
        <w:t>”), for the registration of original issuance and the registration of transfer of the Warrants. Upon the initial issuance of the Warrants in book-entry form, the Warrant Agent shall issue and register the Warrants in the names of the respective holders thereof in such denominations and otherwise in accordance with instructions delivered to the Warrant Agent by the Company. Ownership of beneficial interests in the Public Warrants shall be shown on, and the transfer of such ownership shall be effected through, records maintained by institutions that have accounts with The Depository Trust Company (the “</w:t>
      </w:r>
      <w:r>
        <w:rPr>
          <w:rFonts w:ascii="Arial" w:cs="Arial" w:eastAsia="Arial" w:hAnsi="Arial"/>
          <w:sz w:val="18"/>
          <w:szCs w:val="18"/>
          <w:b w:val="1"/>
          <w:bCs w:val="1"/>
          <w:i w:val="1"/>
          <w:iCs w:val="1"/>
          <w:color w:val="auto"/>
        </w:rPr>
        <w:t>Depositary</w:t>
      </w:r>
      <w:r>
        <w:rPr>
          <w:rFonts w:ascii="Arial" w:cs="Arial" w:eastAsia="Arial" w:hAnsi="Arial"/>
          <w:sz w:val="18"/>
          <w:szCs w:val="18"/>
          <w:color w:val="auto"/>
        </w:rPr>
        <w:t>”) (such institution, with respect to a Warrant in its account, a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the Depositary subsequently ceases to make its book-entry settlement system available for the Public Warrants, the Company may instruct the Warrant Agent regarding making other arrangements for book-entry settlement. In the event that the Public Warrants are not eligible for, or it is no longer necessary to have the Public Warrants available in, book-entry form, the Warrant Agent shall provide written instructions to the Depositary to deliver to the Warrant Agent for cancellation each book-entry Public Warrant, and the Company shall instruct the Warrant Agent to deliver to the Depositary definitive certificates in physical form evidencing such Warrants (“</w:t>
      </w:r>
      <w:r>
        <w:rPr>
          <w:rFonts w:ascii="Arial" w:cs="Arial" w:eastAsia="Arial" w:hAnsi="Arial"/>
          <w:sz w:val="16"/>
          <w:szCs w:val="16"/>
          <w:b w:val="1"/>
          <w:bCs w:val="1"/>
          <w:i w:val="1"/>
          <w:iCs w:val="1"/>
          <w:color w:val="auto"/>
        </w:rPr>
        <w:t>Definitive Warrant Certificates</w:t>
      </w:r>
      <w:r>
        <w:rPr>
          <w:rFonts w:ascii="Arial" w:cs="Arial" w:eastAsia="Arial" w:hAnsi="Arial"/>
          <w:sz w:val="16"/>
          <w:szCs w:val="16"/>
          <w:color w:val="auto"/>
        </w:rPr>
        <w:t xml:space="preserve">”) which shall be in the form annexed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Physical certificates, if issued, shall be signed by, or bear the facsimile signature of, the Chairman of the Board, Chief Executive Officer or other principal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87" w:lineRule="exact"/>
        <w:rPr>
          <w:sz w:val="20"/>
          <w:szCs w:val="20"/>
          <w:color w:val="auto"/>
        </w:rPr>
      </w:pPr>
    </w:p>
    <w:p>
      <w:pPr>
        <w:jc w:val="both"/>
        <w:ind w:right="20" w:firstLine="1944"/>
        <w:spacing w:after="0" w:line="259"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is registered in the Warrant Register (the “</w:t>
      </w:r>
      <w:r>
        <w:rPr>
          <w:rFonts w:ascii="Arial" w:cs="Arial" w:eastAsia="Arial" w:hAnsi="Arial"/>
          <w:sz w:val="18"/>
          <w:szCs w:val="18"/>
          <w:b w:val="1"/>
          <w:bCs w:val="1"/>
          <w:i w:val="1"/>
          <w:iCs w:val="1"/>
          <w:color w:val="auto"/>
        </w:rPr>
        <w:t>Registered Holder</w:t>
      </w:r>
      <w:r>
        <w:rPr>
          <w:rFonts w:ascii="Arial" w:cs="Arial" w:eastAsia="Arial" w:hAnsi="Arial"/>
          <w:sz w:val="18"/>
          <w:szCs w:val="18"/>
          <w:color w:val="auto"/>
        </w:rPr>
        <w:t>”) as the absolute owner of such Warrant and of each Warrant represented thereby, for the purpose of any exercise thereof, and for all other purposes, and neither the Company nor the Warrant Agent shall be affected by any notice to the contrary.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both"/>
        <w:ind w:firstLine="1296"/>
        <w:spacing w:after="0" w:line="290"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Detachability of Warrants</w:t>
      </w:r>
      <w:r>
        <w:rPr>
          <w:rFonts w:ascii="Arial" w:cs="Arial" w:eastAsia="Arial" w:hAnsi="Arial"/>
          <w:sz w:val="16"/>
          <w:szCs w:val="16"/>
          <w:color w:val="auto"/>
        </w:rPr>
        <w:t>. The shares of Common Stock and Public Warrants comprising the Units shall begin separate trading on the 52nd day following the date of the Prospectus or, if such 52nd day is not on a day, other than a Saturday, Sunday or federal holiday, on which banks in New York City are generally open for normal business (a “</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then on the immediately succeeding Business Day following such date, or earlier (the “</w:t>
      </w:r>
      <w:r>
        <w:rPr>
          <w:rFonts w:ascii="Arial" w:cs="Arial" w:eastAsia="Arial" w:hAnsi="Arial"/>
          <w:sz w:val="16"/>
          <w:szCs w:val="16"/>
          <w:b w:val="1"/>
          <w:bCs w:val="1"/>
          <w:i w:val="1"/>
          <w:iCs w:val="1"/>
          <w:color w:val="auto"/>
        </w:rPr>
        <w:t>Detachment Date</w:t>
      </w:r>
      <w:r>
        <w:rPr>
          <w:rFonts w:ascii="Arial" w:cs="Arial" w:eastAsia="Arial" w:hAnsi="Arial"/>
          <w:sz w:val="16"/>
          <w:szCs w:val="16"/>
          <w:color w:val="auto"/>
        </w:rPr>
        <w:t>”) with the consent of Jefferies LLC, but in no event shall the shares of Common Stock and the Public Warrants comprising the Units be separately traded until (A) the Company has filed a Current Report on Form 8-K with the Commission containing an audited balance sheet reflecting the receipt by the Company of the gross proceeds of the Offering, including the proceeds then received by the Company from the exercise by the underwriters of their right to purchase additional Units in the Offering (the “</w:t>
      </w:r>
      <w:r>
        <w:rPr>
          <w:rFonts w:ascii="Arial" w:cs="Arial" w:eastAsia="Arial" w:hAnsi="Arial"/>
          <w:sz w:val="16"/>
          <w:szCs w:val="16"/>
          <w:b w:val="1"/>
          <w:bCs w:val="1"/>
          <w:i w:val="1"/>
          <w:iCs w:val="1"/>
          <w:color w:val="auto"/>
        </w:rPr>
        <w:t>Over-allotment Option</w:t>
      </w:r>
      <w:r>
        <w:rPr>
          <w:rFonts w:ascii="Arial" w:cs="Arial" w:eastAsia="Arial" w:hAnsi="Arial"/>
          <w:sz w:val="16"/>
          <w:szCs w:val="16"/>
          <w:color w:val="auto"/>
        </w:rPr>
        <w:t>”), if the Over-allotment Option is exercised prior to the filing of the Current Report on Form 8-K, and (B) the Company issues a press release announcing when such separate trading shall begin.</w:t>
      </w:r>
    </w:p>
    <w:p>
      <w:pPr>
        <w:spacing w:after="0" w:line="16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Company shall not issue fractional Warrants other than as part of the Units, each of which is comprised of one share of Common Stock and one-third of one whole Public Warrant. If, upon the detachment of Public Warrants from the Units or otherwise, a holder of Warrants would be entitled to receive a fractional Warrant, the Company shall round down to the nearest whole number the number of Warrants to be issued to such holder.</w:t>
      </w:r>
    </w:p>
    <w:p>
      <w:pPr>
        <w:spacing w:after="0" w:line="18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Private Placement Warrants</w:t>
      </w:r>
      <w:r>
        <w:rPr>
          <w:rFonts w:ascii="Arial" w:cs="Arial" w:eastAsia="Arial" w:hAnsi="Arial"/>
          <w:sz w:val="18"/>
          <w:szCs w:val="18"/>
          <w:color w:val="auto"/>
        </w:rPr>
        <w:t xml:space="preserve">. The Private Placement Warrants shall be identical to the Public Warrants, except that so long as they are held by a Purchaser or any of its Permitted Transferees (as defined below) the Private Placement Warrants: (i) may be exercised for cash or on a “cashless basis,” pursuant to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hereof, (ii) including the shares of Common Stock issuable upon exercise of the Private Placement Warrants, may not be transferred, assigned or sold until thirty (30) days after the completion by the Company of an initial Business Combination, (iii) shall not be redeemable by the Company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hereof and (iv) shall only be redeemable by the Company pursuant to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if the Reference Value (as defined below) is less than $18.00 per share (subject to adjustment in compliance with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(ii), the Private Placement Warrants and any shares of Common Stock issued upon exercise of the Private Placement Warrants may be transferred by the holders thereof:</w:t>
      </w:r>
    </w:p>
    <w:p>
      <w:pPr>
        <w:spacing w:after="0" w:line="192" w:lineRule="exact"/>
        <w:rPr>
          <w:sz w:val="20"/>
          <w:szCs w:val="20"/>
          <w:color w:val="auto"/>
        </w:rPr>
      </w:pPr>
    </w:p>
    <w:p>
      <w:pPr>
        <w:jc w:val="both"/>
        <w:ind w:firstLine="1952"/>
        <w:spacing w:after="0" w:line="263" w:lineRule="auto"/>
        <w:tabs>
          <w:tab w:leader="none" w:pos="2201"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the Company’s officers or directors, any affiliates or family members of any of the Company’s officers or directors, any members or partners of the Sponsor or their affiliates (including members of the Sponsor’s members), any affiliates of the Sponsor, or any employees of such affiliates;</w:t>
      </w:r>
    </w:p>
    <w:p>
      <w:pPr>
        <w:spacing w:after="0" w:line="183" w:lineRule="exact"/>
        <w:rPr>
          <w:rFonts w:ascii="Arial" w:cs="Arial" w:eastAsia="Arial" w:hAnsi="Arial"/>
          <w:sz w:val="18"/>
          <w:szCs w:val="18"/>
          <w:color w:val="auto"/>
        </w:rPr>
      </w:pPr>
    </w:p>
    <w:p>
      <w:pPr>
        <w:ind w:firstLine="1952"/>
        <w:spacing w:after="0" w:line="277" w:lineRule="auto"/>
        <w:tabs>
          <w:tab w:leader="none" w:pos="2206"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case of an individual, by gift to a member of one of the individual’s immediate family or to a trust, the beneficiary of which is a member of the individual’s immediate family, an affiliate of such person or to a charitable organization;</w:t>
      </w:r>
    </w:p>
    <w:p>
      <w:pPr>
        <w:spacing w:after="0" w:line="170" w:lineRule="exact"/>
        <w:rPr>
          <w:rFonts w:ascii="Arial" w:cs="Arial" w:eastAsia="Arial" w:hAnsi="Arial"/>
          <w:sz w:val="18"/>
          <w:szCs w:val="18"/>
          <w:color w:val="auto"/>
        </w:rPr>
      </w:pPr>
    </w:p>
    <w:p>
      <w:pPr>
        <w:ind w:left="2200" w:hanging="248"/>
        <w:spacing w:after="0"/>
        <w:tabs>
          <w:tab w:leader="none" w:pos="2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case of an individual, by virtue of laws of descent and distribution upon death of the individual;</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case of an individual, pursuant to a qualified domestic relations order;</w:t>
      </w:r>
    </w:p>
    <w:p>
      <w:pPr>
        <w:spacing w:after="0" w:line="225" w:lineRule="exact"/>
        <w:rPr>
          <w:rFonts w:ascii="Arial" w:cs="Arial" w:eastAsia="Arial" w:hAnsi="Arial"/>
          <w:sz w:val="18"/>
          <w:szCs w:val="18"/>
          <w:color w:val="auto"/>
        </w:rPr>
      </w:pPr>
    </w:p>
    <w:p>
      <w:pPr>
        <w:ind w:firstLine="1952"/>
        <w:spacing w:after="0" w:line="277" w:lineRule="auto"/>
        <w:tabs>
          <w:tab w:leader="none" w:pos="2189"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private sales or transfers made in connection with the consummation of the Company’s Business Combination at prices no greater than the price at which the Private Placement Warrants or Common Stock, as applicable, were originally purchased;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ind w:left="1960"/>
        <w:spacing w:after="0"/>
        <w:rPr>
          <w:sz w:val="20"/>
          <w:szCs w:val="20"/>
          <w:color w:val="auto"/>
        </w:rPr>
      </w:pPr>
      <w:r>
        <w:rPr>
          <w:rFonts w:ascii="Arial" w:cs="Arial" w:eastAsia="Arial" w:hAnsi="Arial"/>
          <w:sz w:val="16"/>
          <w:szCs w:val="16"/>
          <w:color w:val="auto"/>
        </w:rPr>
        <w:t>(f) by virtue of the laws of the State of Delaware or the Sponsor’s organizational documents upon liquidation or dissolution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Sponsor;</w:t>
      </w:r>
    </w:p>
    <w:p>
      <w:pPr>
        <w:spacing w:after="0" w:line="211" w:lineRule="exact"/>
        <w:rPr>
          <w:sz w:val="20"/>
          <w:szCs w:val="20"/>
          <w:color w:val="auto"/>
        </w:rPr>
      </w:pPr>
    </w:p>
    <w:p>
      <w:pPr>
        <w:ind w:left="2200" w:hanging="248"/>
        <w:spacing w:after="0"/>
        <w:tabs>
          <w:tab w:leader="none" w:pos="2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the Company for no value for cancellation in connection with the consummation of its initial Business Combination;</w:t>
      </w:r>
    </w:p>
    <w:p>
      <w:pPr>
        <w:spacing w:after="0" w:line="236" w:lineRule="exact"/>
        <w:rPr>
          <w:rFonts w:ascii="Arial" w:cs="Arial" w:eastAsia="Arial" w:hAnsi="Arial"/>
          <w:sz w:val="17"/>
          <w:szCs w:val="17"/>
          <w:color w:val="auto"/>
        </w:rPr>
      </w:pPr>
    </w:p>
    <w:p>
      <w:pPr>
        <w:ind w:left="2200" w:hanging="248"/>
        <w:spacing w:after="0"/>
        <w:tabs>
          <w:tab w:leader="none" w:pos="2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event of the Company’s liquidation prior to the completion of its initial Business Combination; or</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16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event of the Company’s completion of a liquidation, merger, capital stock exchange or other similar transaction which results in all of the Company’s stockholders having the right to exchange their Common Stock for cash, securities or other property subsequent to the completion of the Company’s initial Business Combination;</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clauses (a) through (f), these permitted transferees (the “</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must enter into a written agreement with the Company agreeing to be bound by the transfer restrictions in this Agreement.</w:t>
      </w:r>
    </w:p>
    <w:p>
      <w:pPr>
        <w:spacing w:after="0" w:line="170" w:lineRule="exact"/>
        <w:rPr>
          <w:sz w:val="20"/>
          <w:szCs w:val="20"/>
          <w:color w:val="auto"/>
        </w:rPr>
      </w:pPr>
    </w:p>
    <w:p>
      <w:pPr>
        <w:ind w:left="840" w:hanging="184"/>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Warrant Price</w:t>
      </w:r>
      <w:r>
        <w:rPr>
          <w:rFonts w:ascii="Arial" w:cs="Arial" w:eastAsia="Arial" w:hAnsi="Arial"/>
          <w:sz w:val="18"/>
          <w:szCs w:val="18"/>
          <w:color w:val="auto"/>
        </w:rPr>
        <w:t xml:space="preserve">. Each whole Warrant shall entitle the Registered Holder thereof, subject to the provisions of such Warrant and of this Agreement, to purchase from the Company the number of shares of Common Stock stated therein, at the price of $11.50 per share, subject to the adjustments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and in the last sentence of this </w:t>
      </w:r>
      <w:r>
        <w:rPr>
          <w:rFonts w:ascii="Arial" w:cs="Arial" w:eastAsia="Arial" w:hAnsi="Arial"/>
          <w:sz w:val="18"/>
          <w:szCs w:val="18"/>
          <w:u w:val="single" w:color="auto"/>
          <w:color w:val="auto"/>
        </w:rPr>
        <w:t>Section 3.1</w:t>
      </w:r>
      <w:r>
        <w:rPr>
          <w:rFonts w:ascii="Arial" w:cs="Arial" w:eastAsia="Arial" w:hAnsi="Arial"/>
          <w:sz w:val="18"/>
          <w:szCs w:val="18"/>
          <w:color w:val="auto"/>
        </w:rPr>
        <w:t>. The term “</w:t>
      </w:r>
      <w:r>
        <w:rPr>
          <w:rFonts w:ascii="Arial" w:cs="Arial" w:eastAsia="Arial" w:hAnsi="Arial"/>
          <w:sz w:val="18"/>
          <w:szCs w:val="18"/>
          <w:b w:val="1"/>
          <w:bCs w:val="1"/>
          <w:i w:val="1"/>
          <w:iCs w:val="1"/>
          <w:color w:val="auto"/>
        </w:rPr>
        <w:t>Warrant Price</w:t>
      </w:r>
      <w:r>
        <w:rPr>
          <w:rFonts w:ascii="Arial" w:cs="Arial" w:eastAsia="Arial" w:hAnsi="Arial"/>
          <w:sz w:val="18"/>
          <w:szCs w:val="18"/>
          <w:color w:val="auto"/>
        </w:rPr>
        <w:t>” as used in this Agreement shall mean the price per share (including in cash or by payment of Warrants pursuant to a “cashless exercise,” to the extent permitted hereunder) described in the prior sentence at which shares of Common Stock may be purchased at the time a Warrant is exercised. The Company in its sole discretion may lower the Warrant Price at any time prior to the Expiration Date (as defined below) for a period of not less than fifteen Business Days (unless otherwise required by the Commission, any national securities exchange on which the Warrants are listed or applicable law); provided that the Company shall provide at least five days’ prior written notice of such reduction to Registered Holders of the Warrants; and provided further, that any such reduction shall be identical among all of the Warrants.</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Duration of Warrants</w:t>
      </w:r>
      <w:r>
        <w:rPr>
          <w:rFonts w:ascii="Arial" w:cs="Arial" w:eastAsia="Arial" w:hAnsi="Arial"/>
          <w:sz w:val="16"/>
          <w:szCs w:val="16"/>
          <w:color w:val="auto"/>
        </w:rPr>
        <w:t>. A Warrant may be exercised only during the period (the “</w:t>
      </w:r>
      <w:r>
        <w:rPr>
          <w:rFonts w:ascii="Arial" w:cs="Arial" w:eastAsia="Arial" w:hAnsi="Arial"/>
          <w:sz w:val="16"/>
          <w:szCs w:val="16"/>
          <w:b w:val="1"/>
          <w:bCs w:val="1"/>
          <w:i w:val="1"/>
          <w:iCs w:val="1"/>
          <w:color w:val="auto"/>
        </w:rPr>
        <w:t>Exercise Period</w:t>
      </w:r>
      <w:r>
        <w:rPr>
          <w:rFonts w:ascii="Arial" w:cs="Arial" w:eastAsia="Arial" w:hAnsi="Arial"/>
          <w:sz w:val="16"/>
          <w:szCs w:val="16"/>
          <w:color w:val="auto"/>
        </w:rPr>
        <w:t>”) (A) commencing on the later of:</w:t>
      </w:r>
    </w:p>
    <w:p>
      <w:pPr>
        <w:spacing w:after="0" w:line="46" w:lineRule="exact"/>
        <w:rPr>
          <w:sz w:val="20"/>
          <w:szCs w:val="20"/>
          <w:color w:val="auto"/>
        </w:rPr>
      </w:pPr>
    </w:p>
    <w:p>
      <w:pPr>
        <w:jc w:val="both"/>
        <w:ind w:firstLine="8"/>
        <w:spacing w:after="0" w:line="284" w:lineRule="auto"/>
        <w:tabs>
          <w:tab w:leader="none" w:pos="217"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date that is thirty (30) days after the first date on which the Company completes a Business Combination, and (ii) the date that is twelve (12) months from the date of the closing of the Offering, and (B) terminating at the earliest to occur of (x) 5:00 p.m., New York City time on the date that is five (5) years after the date on which the Company completes its initial Business Combination, (y) the liquidation of the Company in accordance with the Company’s amended and restated certificate of incorporation (as amended from time to time, the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 xml:space="preserve">”), if the Company fails to complete a Business Combination, and (z) other than with respect to the Private Placement Warrants then held by a Purchaser or its Permitted Transferees with respect to a redemption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hereof or, if the Reference Value equals or exceeds $18.00 per share (subject to adjustment in compliance with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hereof, 5:00 p.m., New York City time on the Redemption Date (as defined below) as provided in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exercise of any Warrant shall be subject to the satisfaction of any applicable conditions, as set forth in </w:t>
      </w:r>
      <w:r>
        <w:rPr>
          <w:rFonts w:ascii="Arial" w:cs="Arial" w:eastAsia="Arial" w:hAnsi="Arial"/>
          <w:sz w:val="16"/>
          <w:szCs w:val="16"/>
          <w:u w:val="single" w:color="auto"/>
          <w:color w:val="auto"/>
        </w:rPr>
        <w:t>subsection 3.3.2</w:t>
      </w:r>
      <w:r>
        <w:rPr>
          <w:rFonts w:ascii="Arial" w:cs="Arial" w:eastAsia="Arial" w:hAnsi="Arial"/>
          <w:sz w:val="16"/>
          <w:szCs w:val="16"/>
          <w:color w:val="auto"/>
        </w:rPr>
        <w:t xml:space="preserve"> below, with respect to an effective registration statement or a valid exemption therefrom being available. Except with respect to the right to receive the Redemption Price (as defined below) (other than with respect to a Private Placement Warrant then held by a Purchaser or its Permitted Transferees in connection with a redemption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hereof or, if the Reference Value equals or exceeds $18.00 per share (subject to adjustment in compliance with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hereof) in the event of a redemption (as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each Warrant (other than a Private Placement Warrant then held by a Purchaser or its Permitted Transferees in the event of a redemption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hereof or, if the Reference Value equals or exceeds $18.00 per share (subject to adjustment in compliance with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hereof) not exercised on or before the Redemption Date shall become void, and all rights thereunder and all rights in respect thereof under this Agreement shall cease at 5:00 p.m. New York City time on the Redemption Date. The Company in its sole discretion may extend the duration of the Warrants by delaying the Redemption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provide at least twenty (20) days prior written notice of any such extension to Registered Holders of the Warrants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extension shall be identical in duration among all the Warrants.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ind w:left="130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70" w:lineRule="auto"/>
        <w:rPr>
          <w:sz w:val="20"/>
          <w:szCs w:val="20"/>
          <w:color w:val="auto"/>
        </w:rPr>
      </w:pPr>
      <w:r>
        <w:rPr>
          <w:rFonts w:ascii="Arial" w:cs="Arial" w:eastAsia="Arial" w:hAnsi="Arial"/>
          <w:sz w:val="17"/>
          <w:szCs w:val="17"/>
          <w:color w:val="auto"/>
        </w:rPr>
        <w:t xml:space="preserve">3.3.1. </w:t>
      </w:r>
      <w:r>
        <w:rPr>
          <w:rFonts w:ascii="Arial" w:cs="Arial" w:eastAsia="Arial" w:hAnsi="Arial"/>
          <w:sz w:val="17"/>
          <w:szCs w:val="17"/>
          <w:u w:val="single" w:color="auto"/>
          <w:color w:val="auto"/>
        </w:rPr>
        <w:t>Payment</w:t>
      </w:r>
      <w:r>
        <w:rPr>
          <w:rFonts w:ascii="Arial" w:cs="Arial" w:eastAsia="Arial" w:hAnsi="Arial"/>
          <w:sz w:val="17"/>
          <w:szCs w:val="17"/>
          <w:color w:val="auto"/>
        </w:rPr>
        <w:t>. Subject to the provisions of the Warrant and this Agreement, a Warrant may be exercised by the Registered Holder thereof by delivering to the Warrant Agent at its corporate trust department (i) the Definitive Warrant Certificate evidencing the Warrants to be exercised, or, in the case of a Warrant represented by a book-entry, the Warrants to be exercised (the “</w:t>
      </w:r>
      <w:r>
        <w:rPr>
          <w:rFonts w:ascii="Arial" w:cs="Arial" w:eastAsia="Arial" w:hAnsi="Arial"/>
          <w:sz w:val="17"/>
          <w:szCs w:val="17"/>
          <w:b w:val="1"/>
          <w:bCs w:val="1"/>
          <w:i w:val="1"/>
          <w:iCs w:val="1"/>
          <w:color w:val="auto"/>
        </w:rPr>
        <w:t>Book-Entry Warrants</w:t>
      </w:r>
      <w:r>
        <w:rPr>
          <w:rFonts w:ascii="Arial" w:cs="Arial" w:eastAsia="Arial" w:hAnsi="Arial"/>
          <w:sz w:val="17"/>
          <w:szCs w:val="17"/>
          <w:color w:val="auto"/>
        </w:rPr>
        <w:t>”) on the records of the Depositary to an account of the Warrant Agent at the Depositary designated for such purposes in writing by the Warrant Agent to the Depositary from time to time, (ii) an election to purchase (“</w:t>
      </w:r>
      <w:r>
        <w:rPr>
          <w:rFonts w:ascii="Arial" w:cs="Arial" w:eastAsia="Arial" w:hAnsi="Arial"/>
          <w:sz w:val="17"/>
          <w:szCs w:val="17"/>
          <w:b w:val="1"/>
          <w:bCs w:val="1"/>
          <w:i w:val="1"/>
          <w:iCs w:val="1"/>
          <w:color w:val="auto"/>
        </w:rPr>
        <w:t>Election to Purchase</w:t>
      </w:r>
      <w:r>
        <w:rPr>
          <w:rFonts w:ascii="Arial" w:cs="Arial" w:eastAsia="Arial" w:hAnsi="Arial"/>
          <w:sz w:val="17"/>
          <w:szCs w:val="17"/>
          <w:color w:val="auto"/>
        </w:rPr>
        <w:t>”) any shares of Common Stock pursuant to the exercise of a Warrant, properly completed and executed by the Registered Holder on the reverse of the Definitive Warrant Certificate or, in the case of a Book-Entry Warrant, properly delivered by the Participant in accordance with the Depositary’s procedures, and (iii) the payment in full of the Warrant Price for each share of Common Stock as to which the Warrant is exercised and any and all applicable taxes due in connection with the exercise of the Warrant, the exchange of the Warrant for the shares of Common Stock and the issuance of such shares of Common Stock, as follows:</w:t>
      </w:r>
    </w:p>
    <w:p>
      <w:pPr>
        <w:spacing w:after="0" w:line="181" w:lineRule="exact"/>
        <w:rPr>
          <w:sz w:val="20"/>
          <w:szCs w:val="20"/>
          <w:color w:val="auto"/>
        </w:rPr>
      </w:pPr>
    </w:p>
    <w:p>
      <w:pPr>
        <w:ind w:left="2200" w:hanging="248"/>
        <w:spacing w:after="0"/>
        <w:tabs>
          <w:tab w:leader="none" w:pos="22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lawful money of the United States, in good certified check or good bank draft payable to the order of the Warrant Agent;</w:t>
      </w:r>
    </w:p>
    <w:p>
      <w:pPr>
        <w:spacing w:after="0" w:line="248" w:lineRule="exact"/>
        <w:rPr>
          <w:rFonts w:ascii="Arial" w:cs="Arial" w:eastAsia="Arial" w:hAnsi="Arial"/>
          <w:sz w:val="16"/>
          <w:szCs w:val="16"/>
          <w:color w:val="auto"/>
        </w:rPr>
      </w:pPr>
    </w:p>
    <w:p>
      <w:pPr>
        <w:ind w:left="2200" w:hanging="248"/>
        <w:spacing w:after="0"/>
        <w:tabs>
          <w:tab w:leader="none" w:pos="2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952"/>
        <w:spacing w:after="0" w:line="271" w:lineRule="auto"/>
        <w:tabs>
          <w:tab w:leader="none" w:pos="2218"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with respect to any Private Placement Warrant, so long as such Private Placement Warrant is held by a Purchaser or a Permitted Transferee, by surrendering the Warrants for that number of shares of Common Stock equal to (i) if in connection with a redemption of Private Placement Warrants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as provided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with respect to a Make-Whole Exercise (as defined below) and (ii) in all other scenarios, the quotient obtained by dividing (x) the product of the number of shares of Common Stock underlying the Warrants, multiplied by the excess of the “</w:t>
      </w:r>
      <w:r>
        <w:rPr>
          <w:rFonts w:ascii="Arial" w:cs="Arial" w:eastAsia="Arial" w:hAnsi="Arial"/>
          <w:sz w:val="17"/>
          <w:szCs w:val="17"/>
          <w:b w:val="1"/>
          <w:bCs w:val="1"/>
          <w:i w:val="1"/>
          <w:iCs w:val="1"/>
          <w:color w:val="auto"/>
        </w:rPr>
        <w:t>Purchaser Exercise Fair Market Value</w:t>
      </w:r>
      <w:r>
        <w:rPr>
          <w:rFonts w:ascii="Arial" w:cs="Arial" w:eastAsia="Arial" w:hAnsi="Arial"/>
          <w:sz w:val="17"/>
          <w:szCs w:val="17"/>
          <w:color w:val="auto"/>
        </w:rPr>
        <w:t xml:space="preserve">” (as defined in this </w:t>
      </w:r>
      <w:r>
        <w:rPr>
          <w:rFonts w:ascii="Arial" w:cs="Arial" w:eastAsia="Arial" w:hAnsi="Arial"/>
          <w:sz w:val="17"/>
          <w:szCs w:val="17"/>
          <w:u w:val="single" w:color="auto"/>
          <w:color w:val="auto"/>
        </w:rPr>
        <w:t>subsection 3.3.1(c)</w:t>
      </w:r>
      <w:r>
        <w:rPr>
          <w:rFonts w:ascii="Arial" w:cs="Arial" w:eastAsia="Arial" w:hAnsi="Arial"/>
          <w:sz w:val="17"/>
          <w:szCs w:val="17"/>
          <w:color w:val="auto"/>
        </w:rPr>
        <w:t xml:space="preserve">) less the Warrant Price by (y) the Purchaser Exercise Fair Market Value. Solely for purposes of this </w:t>
      </w:r>
      <w:r>
        <w:rPr>
          <w:rFonts w:ascii="Arial" w:cs="Arial" w:eastAsia="Arial" w:hAnsi="Arial"/>
          <w:sz w:val="17"/>
          <w:szCs w:val="17"/>
          <w:u w:val="single" w:color="auto"/>
          <w:color w:val="auto"/>
        </w:rPr>
        <w:t>subsection 3.3.1(c)</w:t>
      </w:r>
      <w:r>
        <w:rPr>
          <w:rFonts w:ascii="Arial" w:cs="Arial" w:eastAsia="Arial" w:hAnsi="Arial"/>
          <w:sz w:val="17"/>
          <w:szCs w:val="17"/>
          <w:color w:val="auto"/>
        </w:rPr>
        <w:t>, the “</w:t>
      </w:r>
      <w:r>
        <w:rPr>
          <w:rFonts w:ascii="Arial" w:cs="Arial" w:eastAsia="Arial" w:hAnsi="Arial"/>
          <w:sz w:val="17"/>
          <w:szCs w:val="17"/>
          <w:b w:val="1"/>
          <w:bCs w:val="1"/>
          <w:i w:val="1"/>
          <w:iCs w:val="1"/>
          <w:color w:val="auto"/>
        </w:rPr>
        <w:t>Purchaser Exercise Fair Market Value</w:t>
      </w:r>
      <w:r>
        <w:rPr>
          <w:rFonts w:ascii="Arial" w:cs="Arial" w:eastAsia="Arial" w:hAnsi="Arial"/>
          <w:sz w:val="17"/>
          <w:szCs w:val="17"/>
          <w:color w:val="auto"/>
        </w:rPr>
        <w:t>” shall mean the average last reported sale price of the Common Stock for the ten (10) trading days ending on the third (3rd) trading day prior to the date on which notice of exercise of the Private Placement Warrant is sent to the Warrant Agent;</w:t>
      </w:r>
    </w:p>
    <w:p>
      <w:pPr>
        <w:spacing w:after="0" w:line="178" w:lineRule="exact"/>
        <w:rPr>
          <w:rFonts w:ascii="Arial" w:cs="Arial" w:eastAsia="Arial" w:hAnsi="Arial"/>
          <w:sz w:val="17"/>
          <w:szCs w:val="17"/>
          <w:color w:val="auto"/>
        </w:rPr>
      </w:pPr>
    </w:p>
    <w:p>
      <w:pPr>
        <w:ind w:left="2200" w:hanging="248"/>
        <w:spacing w:after="0"/>
        <w:tabs>
          <w:tab w:leader="none" w:pos="2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as provided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hereof with respect to a Make-Whole Exercise; or</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as provided in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hereof.</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jc w:val="both"/>
        <w:ind w:firstLine="1944"/>
        <w:spacing w:after="0" w:line="268" w:lineRule="auto"/>
        <w:rPr>
          <w:sz w:val="20"/>
          <w:szCs w:val="20"/>
          <w:color w:val="auto"/>
        </w:rPr>
      </w:pPr>
      <w:r>
        <w:rPr>
          <w:rFonts w:ascii="Arial" w:cs="Arial" w:eastAsia="Arial" w:hAnsi="Arial"/>
          <w:sz w:val="17"/>
          <w:szCs w:val="17"/>
          <w:color w:val="auto"/>
        </w:rPr>
        <w:t xml:space="preserve">3.3.2. </w:t>
      </w:r>
      <w:r>
        <w:rPr>
          <w:rFonts w:ascii="Arial" w:cs="Arial" w:eastAsia="Arial" w:hAnsi="Arial"/>
          <w:sz w:val="17"/>
          <w:szCs w:val="17"/>
          <w:u w:val="single" w:color="auto"/>
          <w:color w:val="auto"/>
        </w:rPr>
        <w:t>Issuance of Common Stock on Exercise</w:t>
      </w:r>
      <w:r>
        <w:rPr>
          <w:rFonts w:ascii="Arial" w:cs="Arial" w:eastAsia="Arial" w:hAnsi="Arial"/>
          <w:sz w:val="17"/>
          <w:szCs w:val="17"/>
          <w:color w:val="auto"/>
        </w:rPr>
        <w:t xml:space="preserve">. As soon as practicable after the exercise of any Warrant and the clearance of the funds in payment of the Warrant Price (if payment is pursuant to </w:t>
      </w:r>
      <w:r>
        <w:rPr>
          <w:rFonts w:ascii="Arial" w:cs="Arial" w:eastAsia="Arial" w:hAnsi="Arial"/>
          <w:sz w:val="17"/>
          <w:szCs w:val="17"/>
          <w:u w:val="single" w:color="auto"/>
          <w:color w:val="auto"/>
        </w:rPr>
        <w:t>subsection 3.3.1(a)</w:t>
      </w:r>
      <w:r>
        <w:rPr>
          <w:rFonts w:ascii="Arial" w:cs="Arial" w:eastAsia="Arial" w:hAnsi="Arial"/>
          <w:sz w:val="17"/>
          <w:szCs w:val="17"/>
          <w:color w:val="auto"/>
        </w:rPr>
        <w:t xml:space="preserve">), the Company shall issue to the Registered Holder of such Warrant a book-entry position or certificate, as applicable, for the number of whole shares of Common Stock to which he, she or it is entitled, registered in such name or names as may be directed by him, her or it on the register of members of the Company, and if such Warrant shall not have been exercised in full, a new book-entry position or countersigned Warrant, as applicable, for the number of shares as to which such Warrant shall not have been exercised. Notwithstanding the foregoing, the Company shall not be obligated to deliver any shares of Common Stock pursuant to the exercise of a Warrant and shall have no obligation to settle such Warrant exercise unless a registration statement under the Securities Act with respect to the shares of Common Stock underlying the Public Warrants is then effective and a prospectus relating thereto is current, subject to the Company’s satisfying its obligations under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hereof or a valid exemption from registration is available. No Warrant shall be exercisable and the Company shall not be obligated to issue shares of Common Stock upon exercise of a Warrant unless the shares of Common Stock issuable upon such Warrant exercise have been registered, qualified or deemed to be exempt from registration or qualification under the securities laws of the state of residence of the Registered Holder of the Warrants. Subject to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of this Agreement, a Registered Holder of Warrants may exercise its Warrants only for a whole number of shares of Common Stock. The Company may require holders of Public Warrants to settle the Warrant on a “cashless basis” pursuant to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hereof. If, by reason of any exercise of Warrants on a “cashless basis”, the holder of any Warrant would be entitled, upon the exercise of such Warrant, to receive a fractional interest in a share of Common Stock, the Company shall round down to the nearest whole number, the number of shares of Common Stock to be issued to such holder.</w:t>
      </w:r>
    </w:p>
    <w:p>
      <w:pPr>
        <w:spacing w:after="0" w:line="180" w:lineRule="exact"/>
        <w:rPr>
          <w:sz w:val="20"/>
          <w:szCs w:val="20"/>
          <w:color w:val="auto"/>
        </w:rPr>
      </w:pPr>
    </w:p>
    <w:p>
      <w:pPr>
        <w:jc w:val="both"/>
        <w:ind w:right="20" w:firstLine="1944"/>
        <w:spacing w:after="0" w:line="277"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of a Warrant in conformity with this Agreement shall be validly issued, fully paid and nonassessable.</w:t>
      </w:r>
    </w:p>
    <w:p>
      <w:pPr>
        <w:spacing w:after="0" w:line="170"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 xml:space="preserve">3.3.4.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in whose name any book-entry position or certificate, as applicable, for shares of Common Stock is issued and who is registered in the register of members of the Company shall for all purposes be deemed to have become the holder of record of such shares of Common Stock on the date on which the Warrant, or book-entry position representing such Warrant, was surrendered and payment of the Warrant Price was made, irrespective of the date of delivery of such certificate in the case of a certificated Warrant, except that, if the date of such surrender and payment is a date when the register of members of the Company or book-entry system of the Warrant Agent are closed, such person shall be deemed to have become the holder of such shares at the close of business on the next succeeding date on which the share transfer books or book-entry system are open.</w:t>
      </w:r>
    </w:p>
    <w:p>
      <w:pPr>
        <w:spacing w:after="0" w:line="195" w:lineRule="exact"/>
        <w:rPr>
          <w:sz w:val="20"/>
          <w:szCs w:val="20"/>
          <w:color w:val="auto"/>
        </w:rPr>
      </w:pPr>
    </w:p>
    <w:p>
      <w:pPr>
        <w:jc w:val="both"/>
        <w:ind w:firstLine="1944"/>
        <w:spacing w:after="0" w:line="284" w:lineRule="auto"/>
        <w:rPr>
          <w:sz w:val="20"/>
          <w:szCs w:val="20"/>
          <w:color w:val="auto"/>
        </w:rPr>
      </w:pPr>
      <w:r>
        <w:rPr>
          <w:rFonts w:ascii="Arial" w:cs="Arial" w:eastAsia="Arial" w:hAnsi="Arial"/>
          <w:sz w:val="16"/>
          <w:szCs w:val="16"/>
          <w:color w:val="auto"/>
        </w:rPr>
        <w:t xml:space="preserve">3.3.5. </w:t>
      </w:r>
      <w:r>
        <w:rPr>
          <w:rFonts w:ascii="Arial" w:cs="Arial" w:eastAsia="Arial" w:hAnsi="Arial"/>
          <w:sz w:val="16"/>
          <w:szCs w:val="16"/>
          <w:u w:val="single" w:color="auto"/>
          <w:color w:val="auto"/>
        </w:rPr>
        <w:t>Maximum Percentage</w:t>
      </w:r>
      <w:r>
        <w:rPr>
          <w:rFonts w:ascii="Arial" w:cs="Arial" w:eastAsia="Arial" w:hAnsi="Arial"/>
          <w:sz w:val="16"/>
          <w:szCs w:val="16"/>
          <w:color w:val="auto"/>
        </w:rPr>
        <w:t xml:space="preserve">. A holder of a Warrant may notify the Company in writing in the event it elects to be subject to the provisions contained in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xml:space="preserve">; however, no holder of a Warrant shall be subject to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xml:space="preserve">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4.9% or 9.8% (as specified by the holder) (the “</w:t>
      </w:r>
      <w:r>
        <w:rPr>
          <w:rFonts w:ascii="Arial" w:cs="Arial" w:eastAsia="Arial" w:hAnsi="Arial"/>
          <w:sz w:val="16"/>
          <w:szCs w:val="16"/>
          <w:b w:val="1"/>
          <w:bCs w:val="1"/>
          <w:i w:val="1"/>
          <w:iCs w:val="1"/>
          <w:color w:val="auto"/>
        </w:rPr>
        <w:t>Maximum 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stock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Commission as the case may be, (2) a more recent public announcement by the Company or (3) any other notice by the Company or Continental Stock Transfer &amp; Trust Company, as transfer agent (in such capacity, the “</w:t>
      </w:r>
      <w:r>
        <w:rPr>
          <w:rFonts w:ascii="Arial" w:cs="Arial" w:eastAsia="Arial" w:hAnsi="Arial"/>
          <w:sz w:val="16"/>
          <w:szCs w:val="16"/>
          <w:b w:val="1"/>
          <w:bCs w:val="1"/>
          <w:i w:val="1"/>
          <w:iCs w:val="1"/>
          <w:color w:val="auto"/>
        </w:rPr>
        <w:t>Transfer Agent</w:t>
      </w:r>
      <w:r>
        <w:rPr>
          <w:rFonts w:ascii="Arial" w:cs="Arial" w:eastAsia="Arial" w:hAnsi="Arial"/>
          <w:sz w:val="16"/>
          <w:szCs w:val="16"/>
          <w:color w:val="auto"/>
        </w:rPr>
        <w:t xml:space="preserve">”),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issued and outstanding shares of Common Stock shall be determined after giving effect to the conversion or exercise of equity securities of the Company by the holder and its affiliates since the date as of which such number of issued and outstanding shares of Common Stock was reported. By written notice to the Company, the holder of a Warrant may from time to time increase or decrease the Maximum Percentage applicable to such holder to any other percentage specified in such notice;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any such increase shall not be effective until the sixty-first (61st) day after such notice is delivered to the Company.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ind w:left="840" w:hanging="184"/>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Stock Dividends</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68"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Split-Ups</w:t>
      </w:r>
      <w:r>
        <w:rPr>
          <w:rFonts w:ascii="Arial" w:cs="Arial" w:eastAsia="Arial" w:hAnsi="Arial"/>
          <w:sz w:val="17"/>
          <w:szCs w:val="17"/>
          <w:color w:val="auto"/>
        </w:rPr>
        <w:t xml:space="preserve">. If after the date hereof, and subject to the provisions of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below, the number of issued and outstanding shares of Common Stock is increased by a stock dividend of Common Stock, or by a split-up of shares of Common Stock or other similar event, then, on the effective date of such share split-ups or similar event, the number of shares of Common Stock issuable on exercise of each Warrant shall be increased in proportion to such increase in the issued and outstanding shares of Common Stock. A rights offering made to all or substantially all holders of the Common Stock entitling holders to purchase shares of Common Stock at a price less than the “Historical Fair Market Value” (as defined below)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shares of Common Stock) multiplied by (ii) one (1) minus the quotient of (x) the price per share of Common Stock paid in such rights offering divided by (y) the Historical Fair Market Value. For purposes of this </w:t>
      </w:r>
      <w:r>
        <w:rPr>
          <w:rFonts w:ascii="Arial" w:cs="Arial" w:eastAsia="Arial" w:hAnsi="Arial"/>
          <w:sz w:val="17"/>
          <w:szCs w:val="17"/>
          <w:u w:val="single" w:color="auto"/>
          <w:color w:val="auto"/>
        </w:rPr>
        <w:t>subsection 4.1.1</w:t>
      </w:r>
      <w:r>
        <w:rPr>
          <w:rFonts w:ascii="Arial" w:cs="Arial" w:eastAsia="Arial" w:hAnsi="Arial"/>
          <w:sz w:val="17"/>
          <w:szCs w:val="17"/>
          <w:color w:val="auto"/>
        </w:rPr>
        <w:t>, (i) if the rights offering is for securities convertible into or exercisable for shares of Common Stock, in determining the price payable for shares of Common Stock, there shall be taken into account any consideration received for such rights, as well as any additional amount payable upon exercise or conversion and (ii) “</w:t>
      </w:r>
      <w:r>
        <w:rPr>
          <w:rFonts w:ascii="Arial" w:cs="Arial" w:eastAsia="Arial" w:hAnsi="Arial"/>
          <w:sz w:val="17"/>
          <w:szCs w:val="17"/>
          <w:b w:val="1"/>
          <w:bCs w:val="1"/>
          <w:i w:val="1"/>
          <w:iCs w:val="1"/>
          <w:color w:val="auto"/>
        </w:rPr>
        <w:t>Historical Fair Market Value</w:t>
      </w:r>
      <w:r>
        <w:rPr>
          <w:rFonts w:ascii="Arial" w:cs="Arial" w:eastAsia="Arial" w:hAnsi="Arial"/>
          <w:sz w:val="17"/>
          <w:szCs w:val="17"/>
          <w:color w:val="auto"/>
        </w:rPr>
        <w:t>” means the volume weighted average price of the Common Stock during the ten (10) trading day period ending on the trading day prior to the first date on which the shares of Common Stock trade on the applicable exchange or in the applicable market, regular way, without the right to receive such rights. No shares of Common Stock shall be issued at less than their par value.</w:t>
      </w:r>
    </w:p>
    <w:p>
      <w:pPr>
        <w:spacing w:after="0" w:line="184" w:lineRule="exact"/>
        <w:rPr>
          <w:sz w:val="20"/>
          <w:szCs w:val="20"/>
          <w:color w:val="auto"/>
        </w:rPr>
      </w:pPr>
    </w:p>
    <w:p>
      <w:pPr>
        <w:jc w:val="both"/>
        <w:ind w:firstLine="1944"/>
        <w:spacing w:after="0" w:line="267"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Extraordinary Dividends</w:t>
      </w:r>
      <w:r>
        <w:rPr>
          <w:rFonts w:ascii="Arial" w:cs="Arial" w:eastAsia="Arial" w:hAnsi="Arial"/>
          <w:sz w:val="17"/>
          <w:szCs w:val="17"/>
          <w:color w:val="auto"/>
        </w:rPr>
        <w:t xml:space="preserve">. If the Company, at any time while the Warrants are outstanding and unexpired, pays to all or substantially all of the holders of the Common Stock a dividend or makes a distribution in cash, securities or other assets on account of such shares of Common Stock (or other shares into which the Warrants are convertible), other than (a) as described in </w:t>
      </w:r>
      <w:r>
        <w:rPr>
          <w:rFonts w:ascii="Arial" w:cs="Arial" w:eastAsia="Arial" w:hAnsi="Arial"/>
          <w:sz w:val="17"/>
          <w:szCs w:val="17"/>
          <w:u w:val="single" w:color="auto"/>
          <w:color w:val="auto"/>
        </w:rPr>
        <w:t>subsection 4.1.1</w:t>
      </w:r>
      <w:r>
        <w:rPr>
          <w:rFonts w:ascii="Arial" w:cs="Arial" w:eastAsia="Arial" w:hAnsi="Arial"/>
          <w:sz w:val="17"/>
          <w:szCs w:val="17"/>
          <w:color w:val="auto"/>
        </w:rPr>
        <w:t xml:space="preserve"> above, (b) Ordinary Cash Dividends (as defined below), (c) to satisfy the redemption rights of the holders of the Common Stock in connection with a proposed initial Business Combination, (d) to satisfy the redemption rights of the holders of the Common Stock in connection with a stockholder vote to amend the Charter (i) to modify the substance or timing of the Company’s obligation to redeem 100% of the Company’s public shares if it does not complete its initial Business Combination within the period set forth in the Charter, or (ii) with respect to any other material provision relating to the rights of holders of Common Stock or pre-initial Business Combination activity or (e) in connection with the redemption of public shares upon the failure of the Company to complete its initial Business Combination and any subsequent distribution of its assets upon its liquidation (any such non-excluded event being referred to herein as an “</w:t>
      </w:r>
      <w:r>
        <w:rPr>
          <w:rFonts w:ascii="Arial" w:cs="Arial" w:eastAsia="Arial" w:hAnsi="Arial"/>
          <w:sz w:val="17"/>
          <w:szCs w:val="17"/>
          <w:b w:val="1"/>
          <w:bCs w:val="1"/>
          <w:i w:val="1"/>
          <w:iCs w:val="1"/>
          <w:color w:val="auto"/>
        </w:rPr>
        <w:t>Extraordinary Dividend</w:t>
      </w:r>
      <w:r>
        <w:rPr>
          <w:rFonts w:ascii="Arial" w:cs="Arial" w:eastAsia="Arial" w:hAnsi="Arial"/>
          <w:sz w:val="17"/>
          <w:szCs w:val="17"/>
          <w:color w:val="auto"/>
        </w:rPr>
        <w:t>”), then the Warrant Price shall be decreased, effective immediately after the effective date of such Extraordinary Dividend, by the amount of cash and/or the fair market value (as determined by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xml:space="preserve">”), in good faith) of any securities or other assets paid on each share of Common Stock in respect of such Extraordinary Dividend. For purposes of this </w:t>
      </w:r>
      <w:r>
        <w:rPr>
          <w:rFonts w:ascii="Arial" w:cs="Arial" w:eastAsia="Arial" w:hAnsi="Arial"/>
          <w:sz w:val="17"/>
          <w:szCs w:val="17"/>
          <w:u w:val="single" w:color="auto"/>
          <w:color w:val="auto"/>
        </w:rPr>
        <w:t>subsection 4.1.2</w:t>
      </w:r>
      <w:r>
        <w:rPr>
          <w:rFonts w:ascii="Arial" w:cs="Arial" w:eastAsia="Arial" w:hAnsi="Arial"/>
          <w:sz w:val="17"/>
          <w:szCs w:val="17"/>
          <w:color w:val="auto"/>
        </w:rPr>
        <w:t>, “</w:t>
      </w:r>
      <w:r>
        <w:rPr>
          <w:rFonts w:ascii="Arial" w:cs="Arial" w:eastAsia="Arial" w:hAnsi="Arial"/>
          <w:sz w:val="17"/>
          <w:szCs w:val="17"/>
          <w:b w:val="1"/>
          <w:bCs w:val="1"/>
          <w:i w:val="1"/>
          <w:iCs w:val="1"/>
          <w:color w:val="auto"/>
        </w:rPr>
        <w:t>Ordinary Cash Dividends</w:t>
      </w:r>
      <w:r>
        <w:rPr>
          <w:rFonts w:ascii="Arial" w:cs="Arial" w:eastAsia="Arial" w:hAnsi="Arial"/>
          <w:sz w:val="17"/>
          <w:szCs w:val="17"/>
          <w:color w:val="auto"/>
        </w:rPr>
        <w:t xml:space="preserve">” means any cash dividend or cash distribution which, when combined on a per share basis, with the per share amounts of all other cash dividends and cash distributions paid on the shares of Common Stock during the 365-day period ending on the date of declaration of such dividend or distribution to the extent it does not exceed $0.50 (which amount shall be adjusted to appropriately reflect any of the events referred to in other subsections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excluding cash dividends or cash distributions that resulted in an adjustment to the Warrant Price or to the number of shares of Common Stock issuable on exercise of each Warrant).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both"/>
        <w:ind w:firstLine="1296"/>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xml:space="preserve">. If after the date hereof, and subject to the provisions of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hereof, the number of issued and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shall be decreased in proportion to such decrease in issued and outstanding shares of Common Stock.</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xml:space="preserve">. Whenever the number of shares of Common Stock purchasable upon the exercise of the Warrants is adjusted, as provided in </w:t>
      </w:r>
      <w:r>
        <w:rPr>
          <w:rFonts w:ascii="Arial" w:cs="Arial" w:eastAsia="Arial" w:hAnsi="Arial"/>
          <w:sz w:val="18"/>
          <w:szCs w:val="18"/>
          <w:u w:val="single" w:color="auto"/>
          <w:color w:val="auto"/>
        </w:rPr>
        <w:t>subsection 4.1.1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above, the Warrant Price shall be adjusted (to the nearest cent) by multiplying such Warrant Price immediately prior to such adjustment by a fraction (x) the numerator of which shall be the number of shares of Common Stock purchasable upon the exercise of the Warrants immediately prior to such adjustment, and (y) the denominator of which shall be the number of shares of Common Stock so purchasable immediately thereafter.</w:t>
      </w:r>
    </w:p>
    <w:p>
      <w:pPr>
        <w:spacing w:after="0" w:line="18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Raising of the Capital in Connection with the Initial Business Combination</w:t>
      </w:r>
      <w:r>
        <w:rPr>
          <w:rFonts w:ascii="Arial" w:cs="Arial" w:eastAsia="Arial" w:hAnsi="Arial"/>
          <w:sz w:val="17"/>
          <w:szCs w:val="17"/>
          <w:color w:val="auto"/>
        </w:rPr>
        <w:t>. If (x) the Company issues additional shares of Common Stock or equity-linked securities for capital raising purposes in connection with the closing of its initial Business Combination at an issue price or effective issue price of less than $9.20 per share of Common Stock (with such issue price or effective issue price to be determined in good faith by the Board and, in the case of any such issuance to the Sponsor or its affiliates, without taking into account any shares of Class B Common Stock (as defined below), par value $0.0001 per share, of the Company held by the Sponsor or such affiliates, as applicable, prior to such issuance) (the “</w:t>
      </w:r>
      <w:r>
        <w:rPr>
          <w:rFonts w:ascii="Arial" w:cs="Arial" w:eastAsia="Arial" w:hAnsi="Arial"/>
          <w:sz w:val="17"/>
          <w:szCs w:val="17"/>
          <w:b w:val="1"/>
          <w:bCs w:val="1"/>
          <w:i w:val="1"/>
          <w:iCs w:val="1"/>
          <w:color w:val="auto"/>
        </w:rPr>
        <w:t>Newly Issued Price</w:t>
      </w:r>
      <w:r>
        <w:rPr>
          <w:rFonts w:ascii="Arial" w:cs="Arial" w:eastAsia="Arial" w:hAnsi="Arial"/>
          <w:sz w:val="17"/>
          <w:szCs w:val="17"/>
          <w:color w:val="auto"/>
        </w:rPr>
        <w:t>”), (y) the aggregate gross proceeds from such issuances represent more than 60% of the total equity proceeds, and interest thereon, available for the funding of the Company’s initial Business Combination on the date of the completion of the Company’s initial Business Combination (net of redemptions), and (z) the volume-weighted average trading price of the Common Stock during the twenty (20) trading day period starting on the trading day prior to the day on which the Company consummates its initial Business Combination (such price, the “</w:t>
      </w:r>
      <w:r>
        <w:rPr>
          <w:rFonts w:ascii="Arial" w:cs="Arial" w:eastAsia="Arial" w:hAnsi="Arial"/>
          <w:sz w:val="17"/>
          <w:szCs w:val="17"/>
          <w:b w:val="1"/>
          <w:bCs w:val="1"/>
          <w:i w:val="1"/>
          <w:iCs w:val="1"/>
          <w:color w:val="auto"/>
        </w:rPr>
        <w:t>Market Value</w:t>
      </w:r>
      <w:r>
        <w:rPr>
          <w:rFonts w:ascii="Arial" w:cs="Arial" w:eastAsia="Arial" w:hAnsi="Arial"/>
          <w:sz w:val="17"/>
          <w:szCs w:val="17"/>
          <w:color w:val="auto"/>
        </w:rPr>
        <w:t xml:space="preserve">”) is below $9.20 per share, the Warrant Price shall be adjusted (to the nearest cent) to be equal to 115% of the higher of the Market Value and the Newly Issued Price, the $18.00 per share redemption trigger price described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shall be adjusted (to the nearest cent) to be equal to 180% of the higher of the Market Value and the Newly Issued Price and the $10.00 per share redemption trigger price described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shall be adjusted (to the nearest cent) to be equal to the higher of the Market Value and the Newly Issued Price.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jc w:val="both"/>
        <w:ind w:firstLine="1296"/>
        <w:spacing w:after="0" w:line="28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xml:space="preserve">. In case of any reclassification or reorganization of the issued and outstanding shares of Common Stock (other than a change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or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issued and outstanding shares of Common Stock), or in the case of any sale or conveyance to another corporation or entity of the assets or other property of the Company as an entirety or substantially as an entirety in connection with which the Company is dissolved, the holders of the Warrants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or stock or other securities or property (including cash) receivable upon such reclassification, reorganization, merger or consolidation, or upon a dissolution following any such sale or transfer, that the holder of the Warrants would have received if such holder had exercised his, her or its Warrant(s) immediately prior to such event (the “</w:t>
      </w:r>
      <w:r>
        <w:rPr>
          <w:rFonts w:ascii="Arial" w:cs="Arial" w:eastAsia="Arial" w:hAnsi="Arial"/>
          <w:sz w:val="16"/>
          <w:szCs w:val="16"/>
          <w:b w:val="1"/>
          <w:bCs w:val="1"/>
          <w:i w:val="1"/>
          <w:iCs w:val="1"/>
          <w:color w:val="auto"/>
        </w:rPr>
        <w:t>Alternative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Issuance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if the holders of the Common Stock were entitled to exercise a right of election as to the kind or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securities, cash or other assets receivable upon such consolidation or merger, then the kind and amount of securities, cash or other assets constituting the Alternative Issuance for which each Warrant shall become exercisable shall be deemed to be the weighted average of the kind and amount received per share by the holders of the Common Stock in such consolidation or merger that affirmatively make such election, and (ii) if a tender, exchange or redemption offer shall have been made to and accepted by the holders of the Common Stock (other than a tender, exchange or redemption offer made by the Company in connection with redemption rights held by stockholders of the Company as provided for in the Charter or as a result of the redemption of shares of Common Stock by the Company if a proposed initial Business Combination is presented to the stockholders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Common Stock, the holder of a Warrant shall be entitled to receive as the Alternative Issuance, the highest amount of cash, securities or other property to which such holder would actually have been entitled as a stockholder if such Warrant holder had exercised the Warrant prior to the expiration of such tender or exchange offer, accepted such offer and all of the Common Stock held by such holder had been purchased pursuant to such tender or exchange offer, subject to adjustments (from and after the consummation of such tender or exchange offer) as nearly equivalent as possible to the adjustments provided for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less than 70% of the consideration receivable by the holders of the Common Stock in the applicable event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properly exercises the Warrant within thirty (30) days following the public disclosure of the consummation of such applicable event by the Company pursuant to a Current Report on Form 8-K filed with the Commission, the Warrant Price shall be reduced by an amount (in dollars) equal to the difference of (i) the Warrant Price in effect prior to such reduction minus (ii) (A) the Per Share Consideration (as defined below) (but in no event less than zero) minus (B) the Black-Scholes Warrant Value (as defined below). The “</w:t>
      </w:r>
      <w:r>
        <w:rPr>
          <w:rFonts w:ascii="Arial" w:cs="Arial" w:eastAsia="Arial" w:hAnsi="Arial"/>
          <w:sz w:val="16"/>
          <w:szCs w:val="16"/>
          <w:b w:val="1"/>
          <w:bCs w:val="1"/>
          <w:i w:val="1"/>
          <w:iCs w:val="1"/>
          <w:color w:val="auto"/>
        </w:rPr>
        <w:t>Black-Scholes Warrant Value</w:t>
      </w:r>
      <w:r>
        <w:rPr>
          <w:rFonts w:ascii="Arial" w:cs="Arial" w:eastAsia="Arial" w:hAnsi="Arial"/>
          <w:sz w:val="16"/>
          <w:szCs w:val="16"/>
          <w:color w:val="auto"/>
        </w:rPr>
        <w:t>” means the value of a Warrant immediately prior to the consummation of the applicable event based on the Black-Scholes Warrant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Model for a Capped American Call on Bloomberg Financial Markets (assuming zero dividends) (“</w:t>
      </w:r>
      <w:r>
        <w:rPr>
          <w:rFonts w:ascii="Arial" w:cs="Arial" w:eastAsia="Arial" w:hAnsi="Arial"/>
          <w:sz w:val="16"/>
          <w:szCs w:val="16"/>
          <w:b w:val="1"/>
          <w:bCs w:val="1"/>
          <w:i w:val="1"/>
          <w:iCs w:val="1"/>
          <w:color w:val="auto"/>
        </w:rPr>
        <w:t>Bloomberg</w:t>
      </w:r>
      <w:r>
        <w:rPr>
          <w:rFonts w:ascii="Arial" w:cs="Arial" w:eastAsia="Arial" w:hAnsi="Arial"/>
          <w:sz w:val="16"/>
          <w:szCs w:val="16"/>
          <w:color w:val="auto"/>
        </w:rPr>
        <w:t>”). For purposes of calculating such amount,</w:t>
      </w:r>
    </w:p>
    <w:p>
      <w:pPr>
        <w:spacing w:after="0" w:line="8" w:lineRule="exact"/>
        <w:rPr>
          <w:sz w:val="20"/>
          <w:szCs w:val="20"/>
          <w:color w:val="auto"/>
        </w:rPr>
      </w:pPr>
    </w:p>
    <w:p>
      <w:pPr>
        <w:jc w:val="both"/>
        <w:ind w:firstLine="8"/>
        <w:spacing w:after="0" w:line="267" w:lineRule="auto"/>
        <w:tabs>
          <w:tab w:leader="none" w:pos="215"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Agreement shall be taken into account, (ii) the price of each share of Common Stock shall be the volume weighted average price of the Common Stock during the ten (10) trading day period ending on the trading day prior to the effective date of the applicable event, (iii) the assumed volatility shall be the 90 day volatility obtained from the HVT function on Bloomberg determined as of the trading day immediately prior to the day of the announcement of the applicable event and (iv) the assumed risk-free interest rate shall correspond to the U.S. Treasury rate for a period equal to the remaining term of the Warrant. “</w:t>
      </w:r>
      <w:r>
        <w:rPr>
          <w:rFonts w:ascii="Arial" w:cs="Arial" w:eastAsia="Arial" w:hAnsi="Arial"/>
          <w:sz w:val="17"/>
          <w:szCs w:val="17"/>
          <w:b w:val="1"/>
          <w:bCs w:val="1"/>
          <w:i w:val="1"/>
          <w:iCs w:val="1"/>
          <w:color w:val="auto"/>
        </w:rPr>
        <w:t>Per Share Consideration</w:t>
      </w:r>
      <w:r>
        <w:rPr>
          <w:rFonts w:ascii="Arial" w:cs="Arial" w:eastAsia="Arial" w:hAnsi="Arial"/>
          <w:sz w:val="17"/>
          <w:szCs w:val="17"/>
          <w:color w:val="auto"/>
        </w:rPr>
        <w:t xml:space="preserve">” means (i) if the consideration paid to holders of the Common Stock consists exclusively of cash, the amount of such cash per share of Common Stock, and (ii) in all other cases, the volume weighted average price of the Common Stock as reported during the ten (10) trading day period ending on the trading day prior to the effective date of the applicable event. If any reclassification or reorganization also results in a change in shares of Common Stock covered by </w:t>
      </w:r>
      <w:r>
        <w:rPr>
          <w:rFonts w:ascii="Arial" w:cs="Arial" w:eastAsia="Arial" w:hAnsi="Arial"/>
          <w:sz w:val="17"/>
          <w:szCs w:val="17"/>
          <w:u w:val="single" w:color="auto"/>
          <w:color w:val="auto"/>
        </w:rPr>
        <w:t>subsection 4.1.1</w:t>
      </w:r>
      <w:r>
        <w:rPr>
          <w:rFonts w:ascii="Arial" w:cs="Arial" w:eastAsia="Arial" w:hAnsi="Arial"/>
          <w:sz w:val="17"/>
          <w:szCs w:val="17"/>
          <w:color w:val="auto"/>
        </w:rPr>
        <w:t xml:space="preserve">, then such adjustment shall be made pursuant to </w:t>
      </w:r>
      <w:r>
        <w:rPr>
          <w:rFonts w:ascii="Arial" w:cs="Arial" w:eastAsia="Arial" w:hAnsi="Arial"/>
          <w:sz w:val="17"/>
          <w:szCs w:val="17"/>
          <w:u w:val="single" w:color="auto"/>
          <w:color w:val="auto"/>
        </w:rPr>
        <w:t>subsection 4.1.1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Sections 4.2</w:t>
      </w:r>
      <w:r>
        <w:rPr>
          <w:rFonts w:ascii="Arial" w:cs="Arial" w:eastAsia="Arial" w:hAnsi="Arial"/>
          <w:sz w:val="17"/>
          <w:szCs w:val="17"/>
          <w:color w:val="auto"/>
        </w:rPr>
        <w:t xml:space="preserve">, </w:t>
      </w:r>
      <w:r>
        <w:rPr>
          <w:rFonts w:ascii="Arial" w:cs="Arial" w:eastAsia="Arial" w:hAnsi="Arial"/>
          <w:sz w:val="17"/>
          <w:szCs w:val="17"/>
          <w:u w:val="single" w:color="auto"/>
          <w:color w:val="auto"/>
        </w:rPr>
        <w:t>4.3</w:t>
      </w:r>
      <w:r>
        <w:rPr>
          <w:rFonts w:ascii="Arial" w:cs="Arial" w:eastAsia="Arial" w:hAnsi="Arial"/>
          <w:sz w:val="17"/>
          <w:szCs w:val="17"/>
          <w:color w:val="auto"/>
        </w:rPr>
        <w:t xml:space="preserve">, </w:t>
      </w:r>
      <w:r>
        <w:rPr>
          <w:rFonts w:ascii="Arial" w:cs="Arial" w:eastAsia="Arial" w:hAnsi="Arial"/>
          <w:sz w:val="17"/>
          <w:szCs w:val="17"/>
          <w:u w:val="single" w:color="auto"/>
          <w:color w:val="auto"/>
        </w:rPr>
        <w:t>4.4</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shall similarly apply to successive reclassifications, reorganizations, mergers or consolidations, sales or other transfers. In no event shall the Warrant Price be reduced to less than the par value per share issuable upon exercise of such Warrant.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both"/>
        <w:ind w:firstLine="1296"/>
        <w:spacing w:after="0" w:line="25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Notices of Changes in Warrant</w:t>
      </w:r>
      <w:r>
        <w:rPr>
          <w:rFonts w:ascii="Arial" w:cs="Arial" w:eastAsia="Arial" w:hAnsi="Arial"/>
          <w:sz w:val="18"/>
          <w:szCs w:val="18"/>
          <w:color w:val="auto"/>
        </w:rPr>
        <w:t xml:space="preserve">. Upon every adjustment of the Warrant Price or the number of shares of Common Stock issuable upon exercise of a Warrant, the Company shall give written notice thereof to the Warrant Agent, which notice shall state the Warrant Price resulting from such adjustment and the increase or decrease, if any, in the number of shares of Common Stock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w:t>
      </w:r>
      <w:r>
        <w:rPr>
          <w:rFonts w:ascii="Arial" w:cs="Arial" w:eastAsia="Arial" w:hAnsi="Arial"/>
          <w:sz w:val="18"/>
          <w:szCs w:val="18"/>
          <w:u w:val="single" w:color="auto"/>
          <w:color w:val="auto"/>
        </w:rPr>
        <w:t>4.4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4.5</w:t>
      </w:r>
      <w:r>
        <w:rPr>
          <w:rFonts w:ascii="Arial" w:cs="Arial" w:eastAsia="Arial" w:hAnsi="Arial"/>
          <w:sz w:val="18"/>
          <w:szCs w:val="18"/>
          <w:color w:val="auto"/>
        </w:rPr>
        <w:t>, the Company shall give written notice of the occurrence of such event to each holder of a Warrant, at the last address set forth for such holder in the Warrant Register, of the record date or the effective date of the event. Failure to give such notice, or any defect therein, shall not affect the legality or validity of such event.</w:t>
      </w:r>
    </w:p>
    <w:p>
      <w:pPr>
        <w:spacing w:after="0" w:line="19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xml:space="preserve">. Notwithstanding any provision contained in this Agreement to the contrary, the Company shall not issue fractional shares of Common Stock upon the exercise of Warrants. If, by reason of any adjustment made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holder of any Warrant would be entitled, upon the exercise of such Warrant, to receive a fractional interest in a share, the Company shall, upon such exercise, round down to the nearest whole number the number of shares of Common Stock to be issued to such holder.</w:t>
      </w:r>
    </w:p>
    <w:p>
      <w:pPr>
        <w:spacing w:after="0" w:line="187"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Form of Warrant</w:t>
      </w:r>
      <w:r>
        <w:rPr>
          <w:rFonts w:ascii="Arial" w:cs="Arial" w:eastAsia="Arial" w:hAnsi="Arial"/>
          <w:sz w:val="17"/>
          <w:szCs w:val="17"/>
          <w:color w:val="auto"/>
        </w:rPr>
        <w:t xml:space="preserve">. The form of Warrant need not be changed because of any adjustment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 and Warrants issued after such adjustment may state the same Warrant Price and the same number of shares of Common Stock as is stated in the Warrants initially issued pursuant to this Agreement; provided, however, that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76" w:lineRule="exact"/>
        <w:rPr>
          <w:sz w:val="20"/>
          <w:szCs w:val="20"/>
          <w:color w:val="auto"/>
        </w:rPr>
      </w:pPr>
    </w:p>
    <w:p>
      <w:pPr>
        <w:ind w:left="840" w:hanging="184"/>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Registration of Transfer</w:t>
      </w:r>
      <w:r>
        <w:rPr>
          <w:rFonts w:ascii="Arial" w:cs="Arial" w:eastAsia="Arial" w:hAnsi="Arial"/>
          <w:sz w:val="18"/>
          <w:szCs w:val="18"/>
          <w:color w:val="auto"/>
        </w:rPr>
        <w:t>. The Warrant Agent shall register the transfer, from time to time, of any outstanding Warrant upon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188"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Procedure for Surrender of Warrants</w:t>
      </w:r>
      <w:r>
        <w:rPr>
          <w:rFonts w:ascii="Arial" w:cs="Arial" w:eastAsia="Arial" w:hAnsi="Arial"/>
          <w:sz w:val="17"/>
          <w:szCs w:val="17"/>
          <w:color w:val="auto"/>
        </w:rPr>
        <w:t xml:space="preserve">.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except as otherwise provided herein or with respect to any Book-Entry Warrant, each Book-Entry Warrant may be transferred only in whole and only to the Depositary, to another nominee of the Depositary, to a successor depository, or to a nominee of a successor depository;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that a Warrant surrendered for transfer bears a restrictive legend (as in the case of the Private Placement Warrants), the Warrant Agent shall not cancel such Warrant and issue new Warrants in exchange thereof until the Warrant Agent has received an opinion of counsel for the Company stating that such transfer may be made and indicating whether the new Warrants must also bear a restrictive legend.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jc w:val="both"/>
        <w:ind w:firstLine="1296"/>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which shall result in the issuance of a warrant certificate or book-entry position for a fraction of a warrant, except as part of the Units.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Service Charges</w:t>
      </w:r>
      <w:r>
        <w:rPr>
          <w:rFonts w:ascii="Arial" w:cs="Arial" w:eastAsia="Arial" w:hAnsi="Arial"/>
          <w:sz w:val="18"/>
          <w:szCs w:val="18"/>
          <w:color w:val="auto"/>
        </w:rPr>
        <w:t>. No service charge shall be made for any exchange or registration of transfer of Warrants.</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xml:space="preserve">. The Warrant Agent is hereby authorized to countersign and to deliver, in accordance with the terms of this Agreement, the Warrants required to be issued pursuant to the provisions of this </w:t>
      </w:r>
      <w:r>
        <w:rPr>
          <w:rFonts w:ascii="Arial" w:cs="Arial" w:eastAsia="Arial" w:hAnsi="Arial"/>
          <w:sz w:val="17"/>
          <w:szCs w:val="17"/>
          <w:u w:val="single" w:color="auto"/>
          <w:color w:val="auto"/>
        </w:rPr>
        <w:t>Section 5</w:t>
      </w:r>
      <w:r>
        <w:rPr>
          <w:rFonts w:ascii="Arial" w:cs="Arial" w:eastAsia="Arial" w:hAnsi="Arial"/>
          <w:sz w:val="17"/>
          <w:szCs w:val="17"/>
          <w:color w:val="auto"/>
        </w:rPr>
        <w:t>, and the Company, whenever required by the Warrant Agent, shall supply the Warrant Agent with Warrants duly executed on behalf of the Company for such purpose.</w:t>
      </w:r>
    </w:p>
    <w:p>
      <w:pPr>
        <w:spacing w:after="0" w:line="16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Transfer of Warrants</w:t>
      </w:r>
      <w:r>
        <w:rPr>
          <w:rFonts w:ascii="Arial" w:cs="Arial" w:eastAsia="Arial" w:hAnsi="Arial"/>
          <w:sz w:val="17"/>
          <w:szCs w:val="17"/>
          <w:color w:val="auto"/>
        </w:rPr>
        <w:t xml:space="preserve">. Prior to the Detachment Date, the Public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Notwithstanding the foregoing, the provisions of this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shall have no effect on any transfer of Warrants on and after the Detachment Date.</w:t>
      </w:r>
    </w:p>
    <w:p>
      <w:pPr>
        <w:spacing w:after="0" w:line="171" w:lineRule="exact"/>
        <w:rPr>
          <w:sz w:val="20"/>
          <w:szCs w:val="20"/>
          <w:color w:val="auto"/>
        </w:rPr>
      </w:pPr>
    </w:p>
    <w:p>
      <w:pPr>
        <w:ind w:left="840" w:hanging="18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Redemption of Warrants for Cash</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hereof, not less than all of the outstanding Warrants may be redeemed, at the option of the Company, at any time during the Exercise Period, at the office of the Warrant Agent, upon notice to the Registered Holders of the Warrants, as described in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below, at a Redemption Price of $0.01 per Warrant, provided that (a) the Reference Value equals or exceeds $18.00 per share (subject to adjustment in compliance with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and (b) there is an effective registration statement covering the issuance of the shares of Common Stock issuable upon exercise of the Warrants, and a current prospectus relating thereto, available throughout the 30-day Redemption Period (as defined in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below).</w:t>
      </w:r>
    </w:p>
    <w:p>
      <w:pPr>
        <w:spacing w:after="0" w:line="19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Redemption of Warrants for Shares of Common Stock</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hereof, not less than all of the outstanding Warrants may be redeemed, at the option of the Company, at any time during the Exercise Period, at the office of the Warrant Agent, upon notice to the Registered Holders of the Warrants, as described in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below, at a Redemption Price of $0.10 per Warrant,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Reference Value equals or exceeds $10.00 per share (subject to adjustment in compliance with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and (ii) if the Reference Value is less than $18.00 per share (subject to adjustment in compliance with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the Private Placement Warrants are also concurrently called for redemption on the same terms as the outstanding Public Warrants. During the 30-day Redemption Period in connection with a redemption pursuant to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Registered Holders of the Warrants may elect to exercise their Warrants on a “cashless basis” pursuant to </w:t>
      </w:r>
      <w:r>
        <w:rPr>
          <w:rFonts w:ascii="Arial" w:cs="Arial" w:eastAsia="Arial" w:hAnsi="Arial"/>
          <w:sz w:val="16"/>
          <w:szCs w:val="16"/>
          <w:u w:val="single" w:color="auto"/>
          <w:color w:val="auto"/>
        </w:rPr>
        <w:t>subsection 3.3.1</w:t>
      </w:r>
      <w:r>
        <w:rPr>
          <w:rFonts w:ascii="Arial" w:cs="Arial" w:eastAsia="Arial" w:hAnsi="Arial"/>
          <w:sz w:val="16"/>
          <w:szCs w:val="16"/>
          <w:color w:val="auto"/>
        </w:rPr>
        <w:t xml:space="preserve"> and receive a number of shares of Common Stock determined by reference to the table below, based on the Redemption Date (calculated for purposes of the table as the period to expiration of the Warrants) and the “Redemption Fair Market Value” (as such term is defined in this </w:t>
      </w:r>
      <w:r>
        <w:rPr>
          <w:rFonts w:ascii="Arial" w:cs="Arial" w:eastAsia="Arial" w:hAnsi="Arial"/>
          <w:sz w:val="16"/>
          <w:szCs w:val="16"/>
          <w:u w:val="single" w:color="auto"/>
          <w:color w:val="auto"/>
        </w:rPr>
        <w:t>Section 6.2</w:t>
      </w:r>
      <w:r>
        <w:rPr>
          <w:rFonts w:ascii="Arial" w:cs="Arial" w:eastAsia="Arial" w:hAnsi="Arial"/>
          <w:sz w:val="16"/>
          <w:szCs w:val="16"/>
          <w:color w:val="auto"/>
        </w:rPr>
        <w:t>) (a “</w:t>
      </w:r>
      <w:r>
        <w:rPr>
          <w:rFonts w:ascii="Arial" w:cs="Arial" w:eastAsia="Arial" w:hAnsi="Arial"/>
          <w:sz w:val="16"/>
          <w:szCs w:val="16"/>
          <w:b w:val="1"/>
          <w:bCs w:val="1"/>
          <w:i w:val="1"/>
          <w:iCs w:val="1"/>
          <w:color w:val="auto"/>
        </w:rPr>
        <w:t>Make-Whole Exercise</w:t>
      </w:r>
      <w:r>
        <w:rPr>
          <w:rFonts w:ascii="Arial" w:cs="Arial" w:eastAsia="Arial" w:hAnsi="Arial"/>
          <w:sz w:val="16"/>
          <w:szCs w:val="16"/>
          <w:color w:val="auto"/>
        </w:rPr>
        <w:t xml:space="preserve">”). Solely for purposes of this </w:t>
      </w:r>
      <w:r>
        <w:rPr>
          <w:rFonts w:ascii="Arial" w:cs="Arial" w:eastAsia="Arial" w:hAnsi="Arial"/>
          <w:sz w:val="16"/>
          <w:szCs w:val="16"/>
          <w:u w:val="single" w:color="auto"/>
          <w:color w:val="auto"/>
        </w:rPr>
        <w:t>Section 6.2</w:t>
      </w:r>
      <w:r>
        <w:rPr>
          <w:rFonts w:ascii="Arial" w:cs="Arial" w:eastAsia="Arial" w:hAnsi="Arial"/>
          <w:sz w:val="16"/>
          <w:szCs w:val="16"/>
          <w:color w:val="auto"/>
        </w:rPr>
        <w:t>, the “</w:t>
      </w:r>
      <w:r>
        <w:rPr>
          <w:rFonts w:ascii="Arial" w:cs="Arial" w:eastAsia="Arial" w:hAnsi="Arial"/>
          <w:sz w:val="16"/>
          <w:szCs w:val="16"/>
          <w:b w:val="1"/>
          <w:bCs w:val="1"/>
          <w:i w:val="1"/>
          <w:iCs w:val="1"/>
          <w:color w:val="auto"/>
        </w:rPr>
        <w:t>Redemption Fair Market Value</w:t>
      </w:r>
      <w:r>
        <w:rPr>
          <w:rFonts w:ascii="Arial" w:cs="Arial" w:eastAsia="Arial" w:hAnsi="Arial"/>
          <w:sz w:val="16"/>
          <w:szCs w:val="16"/>
          <w:color w:val="auto"/>
        </w:rPr>
        <w:t xml:space="preserve">” shall mean the volume weighted average price of the shares of Common Stock for the ten (10) trading days immediately following the date on which notice of redemption pursuant to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is sent to the Registered Holders. In connection with any redemption pursuant to this </w:t>
      </w:r>
      <w:r>
        <w:rPr>
          <w:rFonts w:ascii="Arial" w:cs="Arial" w:eastAsia="Arial" w:hAnsi="Arial"/>
          <w:sz w:val="16"/>
          <w:szCs w:val="16"/>
          <w:u w:val="single" w:color="auto"/>
          <w:color w:val="auto"/>
        </w:rPr>
        <w:t>Section 6.2</w:t>
      </w:r>
      <w:r>
        <w:rPr>
          <w:rFonts w:ascii="Arial" w:cs="Arial" w:eastAsia="Arial" w:hAnsi="Arial"/>
          <w:sz w:val="16"/>
          <w:szCs w:val="16"/>
          <w:color w:val="auto"/>
        </w:rPr>
        <w:t>, the Company shall provide the Registered Holders with the Redemption Fair Market Value no later than one (1) Business Day after the ten (10) trading day period described above ends.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240" w:type="dxa"/>
            <w:vAlign w:val="bottom"/>
            <w:tcBorders>
              <w:bottom w:val="single" w:sz="8" w:color="auto"/>
            </w:tcBorders>
            <w:gridSpan w:val="15"/>
          </w:tcPr>
          <w:p>
            <w:pPr>
              <w:jc w:val="right"/>
              <w:ind w:right="100"/>
              <w:spacing w:after="0"/>
              <w:rPr>
                <w:sz w:val="20"/>
                <w:szCs w:val="20"/>
                <w:color w:val="auto"/>
              </w:rPr>
            </w:pPr>
            <w:r>
              <w:rPr>
                <w:rFonts w:ascii="Arial" w:cs="Arial" w:eastAsia="Arial" w:hAnsi="Arial"/>
                <w:sz w:val="18"/>
                <w:szCs w:val="18"/>
                <w:b w:val="1"/>
                <w:bCs w:val="1"/>
                <w:color w:val="auto"/>
                <w:w w:val="91"/>
              </w:rPr>
              <w:t>Redemption Fair Market Value of Class A Common Stock (period to expiration of warrants)</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2280" w:type="dxa"/>
            <w:vAlign w:val="bottom"/>
          </w:tcPr>
          <w:p>
            <w:pPr>
              <w:spacing w:after="0"/>
              <w:rPr>
                <w:sz w:val="20"/>
                <w:szCs w:val="20"/>
                <w:color w:val="auto"/>
              </w:rPr>
            </w:pPr>
            <w:r>
              <w:rPr>
                <w:rFonts w:ascii="Arial" w:cs="Arial" w:eastAsia="Arial" w:hAnsi="Arial"/>
                <w:sz w:val="18"/>
                <w:szCs w:val="18"/>
                <w:b w:val="1"/>
                <w:bCs w:val="1"/>
                <w:color w:val="auto"/>
              </w:rPr>
              <w:t>Redemption Date</w:t>
            </w:r>
          </w:p>
        </w:tc>
        <w:tc>
          <w:tcPr>
            <w:tcW w:w="840" w:type="dxa"/>
            <w:vAlign w:val="bottom"/>
            <w:gridSpan w:val="2"/>
          </w:tcPr>
          <w:p>
            <w:pPr>
              <w:ind w:left="140"/>
              <w:spacing w:after="0"/>
              <w:rPr>
                <w:sz w:val="20"/>
                <w:szCs w:val="20"/>
                <w:color w:val="auto"/>
              </w:rPr>
            </w:pPr>
            <w:r>
              <w:rPr>
                <w:rFonts w:ascii="Arial" w:cs="Arial" w:eastAsia="Arial" w:hAnsi="Arial"/>
                <w:sz w:val="18"/>
                <w:szCs w:val="18"/>
                <w:b w:val="1"/>
                <w:bCs w:val="1"/>
                <w:color w:val="auto"/>
              </w:rPr>
              <w:t>≤10.00</w:t>
            </w:r>
          </w:p>
        </w:tc>
        <w:tc>
          <w:tcPr>
            <w:tcW w:w="10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11.00</w:t>
            </w:r>
          </w:p>
        </w:tc>
        <w:tc>
          <w:tcPr>
            <w:tcW w:w="24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rPr>
              <w:t>12.00</w:t>
            </w:r>
          </w:p>
        </w:tc>
        <w:tc>
          <w:tcPr>
            <w:tcW w:w="24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rPr>
              <w:t>13.00</w:t>
            </w:r>
          </w:p>
        </w:tc>
        <w:tc>
          <w:tcPr>
            <w:tcW w:w="220" w:type="dxa"/>
            <w:vAlign w:val="bottom"/>
          </w:tcPr>
          <w:p>
            <w:pPr>
              <w:spacing w:after="0"/>
              <w:rPr>
                <w:sz w:val="20"/>
                <w:szCs w:val="20"/>
                <w:color w:val="auto"/>
              </w:rPr>
            </w:pPr>
          </w:p>
        </w:tc>
        <w:tc>
          <w:tcPr>
            <w:tcW w:w="760" w:type="dxa"/>
            <w:vAlign w:val="bottom"/>
          </w:tcPr>
          <w:p>
            <w:pPr>
              <w:ind w:left="180"/>
              <w:spacing w:after="0"/>
              <w:rPr>
                <w:sz w:val="20"/>
                <w:szCs w:val="20"/>
                <w:color w:val="auto"/>
              </w:rPr>
            </w:pPr>
            <w:r>
              <w:rPr>
                <w:rFonts w:ascii="Arial" w:cs="Arial" w:eastAsia="Arial" w:hAnsi="Arial"/>
                <w:sz w:val="18"/>
                <w:szCs w:val="18"/>
                <w:b w:val="1"/>
                <w:bCs w:val="1"/>
                <w:color w:val="auto"/>
              </w:rPr>
              <w:t>14.00</w:t>
            </w:r>
          </w:p>
        </w:tc>
        <w:tc>
          <w:tcPr>
            <w:tcW w:w="22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rPr>
              <w:t>15.00</w:t>
            </w:r>
          </w:p>
        </w:tc>
        <w:tc>
          <w:tcPr>
            <w:tcW w:w="22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rPr>
              <w:t>16.00</w:t>
            </w:r>
          </w:p>
        </w:tc>
        <w:tc>
          <w:tcPr>
            <w:tcW w:w="22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rPr>
              <w:t>17.00</w:t>
            </w:r>
          </w:p>
        </w:tc>
        <w:tc>
          <w:tcPr>
            <w:tcW w:w="2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≥18.00</w:t>
            </w:r>
          </w:p>
        </w:tc>
        <w:tc>
          <w:tcPr>
            <w:tcW w:w="100" w:type="dxa"/>
            <w:vAlign w:val="bottom"/>
          </w:tcPr>
          <w:p>
            <w:pPr>
              <w:spacing w:after="0"/>
              <w:rPr>
                <w:sz w:val="20"/>
                <w:szCs w:val="20"/>
                <w:color w:val="auto"/>
              </w:rPr>
            </w:pPr>
          </w:p>
        </w:tc>
      </w:tr>
      <w:tr>
        <w:trPr>
          <w:trHeight w:val="216"/>
        </w:trPr>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60 months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0.261</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0.281</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0.297</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0.311</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4"/>
              </w:rPr>
              <w:t>0.324</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0.337</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0.348</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0.358</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57 months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0.257</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0.277</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0.294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0.310</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0.324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0.337</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0.348</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0.358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54 months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0.252</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0.272</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0.291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0.307</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0.322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51 months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0.246</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0.268</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0.287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0.304</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0.320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0.333</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0.346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0.357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48 months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0.241</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0.263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0.283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0.301</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0.317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45 months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0.235</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0.258</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0.279</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0.298</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0.315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0.330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0.343</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0.356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42 months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0.228</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0.252</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0.274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0.294</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0.312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0.328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39 months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0.221</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0.246</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0.269</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0.290</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0.309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0.325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0.340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0.354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36 months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0.213</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0.239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0.263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0.285</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0.305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0.323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33 months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0.205</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0.232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0.257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0.280</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0.301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0.320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0.337</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0.352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30 months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0.196</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0.224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0.274</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0.297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0.316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27 months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0.185</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0.214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0.242</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0.268</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0.291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0.313</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0.332</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0.350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24 months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0.173</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0.204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0.233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0.260</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0.285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0.329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21 months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0.161</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0.193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0.223</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0.252</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0.279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0.304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0.326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0.347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18 months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0.146</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0.179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0.211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0.242</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0.271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0.322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15 months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0.130</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0.164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0.197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0.230</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0.262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0.291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0.317</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0.342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12 months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0.111</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0.146</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0.181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0.216</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0.250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0.312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9 months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0.090</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0.125</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0.162</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0.199</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0.237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0.272</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0.305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0.336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6 months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0.065</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0.099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0.137</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0.178</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0.219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3 months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0.034</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0.065</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0.104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0.150</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0.197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0.243</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0.286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0.326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0 months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0.042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0.115</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0.179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0.233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0.323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exact Redemption Fair Market Value and Redemption Date may not be set forth in the table above, in which case, if the Redemption Fair Market Value is between two values in the table or the Redemption Date is between two redemption dates in the table, the number of shares of Common Stock to be issued for each Warrant exercised in a Make-Whole Exercise shall be determined by a straight-line interpolation between the number of shares set forth for the higher and lower Redemption Fair Market Values and the earlier and later redemption dates, as applicable, based on a 365- or 366-day year, as applicable.</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share prices set forth in the column headings of the table above shall be adjusted as of any date on which the number of shares issuable upon exercise of a Warrant or the Exercise Price is adjusted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If the number of shares issuable upon exercise of a Warrant is adjusted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the adjusted share prices in the column headings shall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above shall be adjusted in the same manner and at the same time as the number of shares issuable upon exercise of a Warrant. If the Exercise Price of a warrant is adjusted, (a) in the case of an adjustment pursuant to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hereof, the adjusted share prices in the column headings shall equal the share prices immediately prior to such adjustment multiplied by a fraction, the numerator of which is the higher of the Market Value and the Newly Issued Price and the denominator of which is $10.00 and (b) in the case of an adjustment pursuant to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hereof, the adjusted share prices in the column headings shall equal the share prices immediately prior to such adjustment less the decrease in the Exercise Price pursuant to such Exercise Price adjustment. In no event shall the number of shares issued in connection with a Make-Whole Exercise exceed 0.361 shares of Common Stock per Warrant (subject to adjustment)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7" w:name="page18"/>
    <w:bookmarkEnd w:id="17"/>
    <w:p>
      <w:pPr>
        <w:jc w:val="both"/>
        <w:ind w:firstLine="1296"/>
        <w:spacing w:after="0" w:line="290"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Date Fixed for, and Notice of, Redemption; Redemption Price; Reference Value</w:t>
      </w:r>
      <w:r>
        <w:rPr>
          <w:rFonts w:ascii="Arial" w:cs="Arial" w:eastAsia="Arial" w:hAnsi="Arial"/>
          <w:sz w:val="16"/>
          <w:szCs w:val="16"/>
          <w:color w:val="auto"/>
        </w:rPr>
        <w:t xml:space="preserve">. In the event that the Company elects to redeem the Warrants pursuant to </w:t>
      </w:r>
      <w:r>
        <w:rPr>
          <w:rFonts w:ascii="Arial" w:cs="Arial" w:eastAsia="Arial" w:hAnsi="Arial"/>
          <w:sz w:val="16"/>
          <w:szCs w:val="16"/>
          <w:u w:val="single" w:color="auto"/>
          <w:color w:val="auto"/>
        </w:rPr>
        <w:t>Sections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6.2</w:t>
      </w:r>
      <w:r>
        <w:rPr>
          <w:rFonts w:ascii="Arial" w:cs="Arial" w:eastAsia="Arial" w:hAnsi="Arial"/>
          <w:sz w:val="16"/>
          <w:szCs w:val="16"/>
          <w:color w:val="auto"/>
        </w:rPr>
        <w:t xml:space="preserve"> above, the Company shall fix a date for the redemption (the “</w:t>
      </w:r>
      <w:r>
        <w:rPr>
          <w:rFonts w:ascii="Arial" w:cs="Arial" w:eastAsia="Arial" w:hAnsi="Arial"/>
          <w:sz w:val="16"/>
          <w:szCs w:val="16"/>
          <w:b w:val="1"/>
          <w:bCs w:val="1"/>
          <w:i w:val="1"/>
          <w:iCs w:val="1"/>
          <w:color w:val="auto"/>
        </w:rPr>
        <w:t>Redemption Date</w:t>
      </w:r>
      <w:r>
        <w:rPr>
          <w:rFonts w:ascii="Arial" w:cs="Arial" w:eastAsia="Arial" w:hAnsi="Arial"/>
          <w:sz w:val="16"/>
          <w:szCs w:val="16"/>
          <w:color w:val="auto"/>
        </w:rPr>
        <w:t>”). Notice of redemption shall be mailed by first class mail, postage prepaid, by the Company not less than thirty (30) days prior to the Redemption Date (the “</w:t>
      </w:r>
      <w:r>
        <w:rPr>
          <w:rFonts w:ascii="Arial" w:cs="Arial" w:eastAsia="Arial" w:hAnsi="Arial"/>
          <w:sz w:val="16"/>
          <w:szCs w:val="16"/>
          <w:b w:val="1"/>
          <w:bCs w:val="1"/>
          <w:i w:val="1"/>
          <w:iCs w:val="1"/>
          <w:color w:val="auto"/>
        </w:rPr>
        <w:t>30-day Redemption Period</w:t>
      </w:r>
      <w:r>
        <w:rPr>
          <w:rFonts w:ascii="Arial" w:cs="Arial" w:eastAsia="Arial" w:hAnsi="Arial"/>
          <w:sz w:val="16"/>
          <w:szCs w:val="16"/>
          <w:color w:val="auto"/>
        </w:rPr>
        <w:t>”) to the Registered Holders of the Warrants to be redeemed at their last addresses as they shall appear on the registration books. Any notice mailed in the manner herein provided shall be conclusively presumed to have been duly given whether or not the Registered Holder received such notice. As used in this Agreement, (a) “</w:t>
      </w:r>
      <w:r>
        <w:rPr>
          <w:rFonts w:ascii="Arial" w:cs="Arial" w:eastAsia="Arial" w:hAnsi="Arial"/>
          <w:sz w:val="16"/>
          <w:szCs w:val="16"/>
          <w:b w:val="1"/>
          <w:bCs w:val="1"/>
          <w:i w:val="1"/>
          <w:iCs w:val="1"/>
          <w:color w:val="auto"/>
        </w:rPr>
        <w:t>Redemption Price</w:t>
      </w:r>
      <w:r>
        <w:rPr>
          <w:rFonts w:ascii="Arial" w:cs="Arial" w:eastAsia="Arial" w:hAnsi="Arial"/>
          <w:sz w:val="16"/>
          <w:szCs w:val="16"/>
          <w:color w:val="auto"/>
        </w:rPr>
        <w:t xml:space="preserve">” shall mean the price per Warrant at which any Warrants are redeemed pursuant to </w:t>
      </w:r>
      <w:r>
        <w:rPr>
          <w:rFonts w:ascii="Arial" w:cs="Arial" w:eastAsia="Arial" w:hAnsi="Arial"/>
          <w:sz w:val="16"/>
          <w:szCs w:val="16"/>
          <w:u w:val="single" w:color="auto"/>
          <w:color w:val="auto"/>
        </w:rPr>
        <w:t>Sections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6.2</w:t>
      </w:r>
      <w:r>
        <w:rPr>
          <w:rFonts w:ascii="Arial" w:cs="Arial" w:eastAsia="Arial" w:hAnsi="Arial"/>
          <w:sz w:val="16"/>
          <w:szCs w:val="16"/>
          <w:color w:val="auto"/>
        </w:rPr>
        <w:t xml:space="preserve"> and (b) “</w:t>
      </w:r>
      <w:r>
        <w:rPr>
          <w:rFonts w:ascii="Arial" w:cs="Arial" w:eastAsia="Arial" w:hAnsi="Arial"/>
          <w:sz w:val="16"/>
          <w:szCs w:val="16"/>
          <w:b w:val="1"/>
          <w:bCs w:val="1"/>
          <w:i w:val="1"/>
          <w:iCs w:val="1"/>
          <w:color w:val="auto"/>
        </w:rPr>
        <w:t>Reference Value</w:t>
      </w:r>
      <w:r>
        <w:rPr>
          <w:rFonts w:ascii="Arial" w:cs="Arial" w:eastAsia="Arial" w:hAnsi="Arial"/>
          <w:sz w:val="16"/>
          <w:szCs w:val="16"/>
          <w:color w:val="auto"/>
        </w:rPr>
        <w:t>” shall mean the last reported sales price of the shares of Common Stock for any twenty (20) trading days within the thirty (30) trading-day period ending on the third trading day prior to the date on which notice of the redemption is given.</w:t>
      </w:r>
    </w:p>
    <w:p>
      <w:pPr>
        <w:spacing w:after="0" w:line="16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Exercise After Notice of Redemption</w:t>
      </w:r>
      <w:r>
        <w:rPr>
          <w:rFonts w:ascii="Arial" w:cs="Arial" w:eastAsia="Arial" w:hAnsi="Arial"/>
          <w:sz w:val="18"/>
          <w:szCs w:val="18"/>
          <w:color w:val="auto"/>
        </w:rPr>
        <w:t xml:space="preserve">. The Warrants may be exercised, for cash (or on a “cashless basis”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6.2</w:t>
      </w:r>
      <w:r>
        <w:rPr>
          <w:rFonts w:ascii="Arial" w:cs="Arial" w:eastAsia="Arial" w:hAnsi="Arial"/>
          <w:sz w:val="18"/>
          <w:szCs w:val="18"/>
          <w:color w:val="auto"/>
        </w:rPr>
        <w:t xml:space="preserve"> of this Agreement) at any time after notice of redemption shall have been given by the Company pursuant to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hereof and prior to the Redemption Date. On and after the Redemption Date, the record holder of the Warrants shall have no further rights except to receive, upon surrender of the Warrants, the Redemption Price.</w:t>
      </w:r>
    </w:p>
    <w:p>
      <w:pPr>
        <w:spacing w:after="0" w:line="18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Exclusion of Private Placement Warrants</w:t>
      </w:r>
      <w:r>
        <w:rPr>
          <w:rFonts w:ascii="Arial" w:cs="Arial" w:eastAsia="Arial" w:hAnsi="Arial"/>
          <w:sz w:val="17"/>
          <w:szCs w:val="17"/>
          <w:color w:val="auto"/>
        </w:rPr>
        <w:t xml:space="preserve">. The Company agrees that (a) the redemption rights provided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hereof shall not apply to the Private Placement Warrants if at the time of the redemption such Private Placement Warrants continue to be held by a Purchaser or its Permitted Transferees and (b) if the Reference Value equals or exceeds $18.00 per share (subject to adjustment in compliance with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the redemption rights provided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shall not apply to the Private Placement Warrants if at the time of the redemption such Private Placement Warrants continue to be held by either Purchaser or its Permitted Transferees, as applicable. However, once such Private Placement Warrants are transferred (other than to Permitted Transferees in accordance with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hereof), the Company may redeem the Private Placement Warrants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6.2</w:t>
      </w:r>
      <w:r>
        <w:rPr>
          <w:rFonts w:ascii="Arial" w:cs="Arial" w:eastAsia="Arial" w:hAnsi="Arial"/>
          <w:sz w:val="17"/>
          <w:szCs w:val="17"/>
          <w:color w:val="auto"/>
        </w:rPr>
        <w:t xml:space="preserve"> hereof, provided that the criteria for redemption are met, including the opportunity of the holder of such Private Placement Warrants to exercise the Private Placement Warrants prior to redemption pursuant to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hereof. Private Placement Warrants that are transferred to persons other than Permitted Transferees shall upon such transfer cease to be Private Placement Warrants and shall become Public Warrants under this Agreement, including for purposes of </w:t>
      </w:r>
      <w:r>
        <w:rPr>
          <w:rFonts w:ascii="Arial" w:cs="Arial" w:eastAsia="Arial" w:hAnsi="Arial"/>
          <w:sz w:val="17"/>
          <w:szCs w:val="17"/>
          <w:u w:val="single" w:color="auto"/>
          <w:color w:val="auto"/>
        </w:rPr>
        <w:t>Section 9.8</w:t>
      </w:r>
      <w:r>
        <w:rPr>
          <w:rFonts w:ascii="Arial" w:cs="Arial" w:eastAsia="Arial" w:hAnsi="Arial"/>
          <w:sz w:val="17"/>
          <w:szCs w:val="17"/>
          <w:color w:val="auto"/>
        </w:rPr>
        <w:t xml:space="preserve"> hereof.</w:t>
      </w:r>
    </w:p>
    <w:p>
      <w:pPr>
        <w:spacing w:after="0" w:line="185" w:lineRule="exact"/>
        <w:rPr>
          <w:sz w:val="20"/>
          <w:szCs w:val="20"/>
          <w:color w:val="auto"/>
        </w:rPr>
      </w:pPr>
    </w:p>
    <w:p>
      <w:pPr>
        <w:ind w:left="840" w:hanging="184"/>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Holders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6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8"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Reservation of Common Stock</w:t>
      </w:r>
      <w:r>
        <w:rPr>
          <w:rFonts w:ascii="Arial" w:cs="Arial" w:eastAsia="Arial" w:hAnsi="Arial"/>
          <w:sz w:val="17"/>
          <w:szCs w:val="17"/>
          <w:color w:val="auto"/>
        </w:rPr>
        <w:t>. The Company shall at all times reserve and keep available a number of its authorized but unissued shares of Common Stock that shall be sufficient to permit the exercise in full of all outstanding Warrants issued pursuant to this Agreement.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ind w:left="130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Registration of Common Stock; Cashless Exercise at Company’s Option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67" w:lineRule="auto"/>
        <w:rPr>
          <w:sz w:val="20"/>
          <w:szCs w:val="20"/>
          <w:color w:val="auto"/>
        </w:rPr>
      </w:pPr>
      <w:r>
        <w:rPr>
          <w:rFonts w:ascii="Arial" w:cs="Arial" w:eastAsia="Arial" w:hAnsi="Arial"/>
          <w:sz w:val="17"/>
          <w:szCs w:val="17"/>
          <w:color w:val="auto"/>
        </w:rPr>
        <w:t xml:space="preserve">7.4.1. </w:t>
      </w:r>
      <w:r>
        <w:rPr>
          <w:rFonts w:ascii="Arial" w:cs="Arial" w:eastAsia="Arial" w:hAnsi="Arial"/>
          <w:sz w:val="17"/>
          <w:szCs w:val="17"/>
          <w:u w:val="single" w:color="auto"/>
          <w:color w:val="auto"/>
        </w:rPr>
        <w:t>Registration of the Common Stock</w:t>
      </w:r>
      <w:r>
        <w:rPr>
          <w:rFonts w:ascii="Arial" w:cs="Arial" w:eastAsia="Arial" w:hAnsi="Arial"/>
          <w:sz w:val="17"/>
          <w:szCs w:val="17"/>
          <w:color w:val="auto"/>
        </w:rPr>
        <w:t xml:space="preserve">. The Company agrees that as soon as practicable, but in no event later than fifteen (15) Business Days after the closing of its initial Business Combination, it shall use its best efforts to file with the Commission a registration statement for the registration, under the Securities Act, of the shares of Common Stock issuable upon exercise of the Warrants. The Company shall use its best efforts to cause the same to become effective within sixty (60) Business Days following the closing of its initial Business Combination and to maintain the effectiveness of such registration statement, and a current prospectus relating thereto, until the expiration or redemption of the Warrants in accordance with the provisions of this Agreement. If any such registration statement has not been declared effective by the sixtieth (60th) Business Day following the closing of the Business Combination, holders of the Warrants shall have the right, during the period beginning on the sixty-first (61st) Business Day after the closing of the Business Combination and ending upon such registration statement being declared effective by the Commission, and during any other period when the Company shall fail to have maintained an effective registration statement covering the issuance of the shares of Common Stock issuable upon exercise of the Warrants, to exercise such Warrants on a “cashless basis,” by exchanging the Warrants (in accordance with Section 3(a)(9) of the Securities Act or another exemption) for that number of shares of Common Stock equal to the lesser of (A) the quotient obtained by dividing (x) the product of the number of shares of Common Stock underlying the Warrants, multiplied by the excess of the “Fair Market Value” (as defined below) less the Warrant Price by (y) the Fair Market Value and (B) 0.361. Solely for purposes of this </w:t>
      </w:r>
      <w:r>
        <w:rPr>
          <w:rFonts w:ascii="Arial" w:cs="Arial" w:eastAsia="Arial" w:hAnsi="Arial"/>
          <w:sz w:val="17"/>
          <w:szCs w:val="17"/>
          <w:u w:val="single" w:color="auto"/>
          <w:color w:val="auto"/>
        </w:rPr>
        <w:t>subsection 7.4.1</w:t>
      </w:r>
      <w:r>
        <w:rPr>
          <w:rFonts w:ascii="Arial" w:cs="Arial" w:eastAsia="Arial" w:hAnsi="Arial"/>
          <w:sz w:val="17"/>
          <w:szCs w:val="17"/>
          <w:color w:val="auto"/>
        </w:rPr>
        <w:t>, “</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xml:space="preserve">” shall mean the volume-weighted average price of the Common Stock as reported during the ten (10) trading day period ending on the trading day prior to the date that notice of exercise is received by the Warrant Agent from the holder of such Warrants or its securities broker or intermediary. The date that notice of “cashless exercise” is received by the Warrant Agent shall be conclusively determined by the Warrant Agent. In connection with the “cashless exercise” of a Public Warrant, the Company shall, upon request, provide the Warrant Agent with an opinion of counsel for the Company (which shall be an outside law firm with securities law experience) stating that (i) the exercise of the Warrants on a “cashless basis” in accordance with this </w:t>
      </w:r>
      <w:r>
        <w:rPr>
          <w:rFonts w:ascii="Arial" w:cs="Arial" w:eastAsia="Arial" w:hAnsi="Arial"/>
          <w:sz w:val="17"/>
          <w:szCs w:val="17"/>
          <w:u w:val="single" w:color="auto"/>
          <w:color w:val="auto"/>
        </w:rPr>
        <w:t>subsection 7.4.1</w:t>
      </w:r>
      <w:r>
        <w:rPr>
          <w:rFonts w:ascii="Arial" w:cs="Arial" w:eastAsia="Arial" w:hAnsi="Arial"/>
          <w:sz w:val="17"/>
          <w:szCs w:val="17"/>
          <w:color w:val="auto"/>
        </w:rPr>
        <w:t xml:space="preserve"> is not required to be registered under the Securities Act and (ii) the shares of Common Stock issued upon such exercise shall be freely tradable under United States federal securities laws by anyone who is not an affiliate (as such term is defined in Rule 144 under the Securities Act) of the Company and, accordingly, shall not be required to bear a restrictive legend. Except as provided in </w:t>
      </w:r>
      <w:r>
        <w:rPr>
          <w:rFonts w:ascii="Arial" w:cs="Arial" w:eastAsia="Arial" w:hAnsi="Arial"/>
          <w:sz w:val="17"/>
          <w:szCs w:val="17"/>
          <w:u w:val="single" w:color="auto"/>
          <w:color w:val="auto"/>
        </w:rPr>
        <w:t>subsection 7.4.2</w:t>
      </w:r>
      <w:r>
        <w:rPr>
          <w:rFonts w:ascii="Arial" w:cs="Arial" w:eastAsia="Arial" w:hAnsi="Arial"/>
          <w:sz w:val="17"/>
          <w:szCs w:val="17"/>
          <w:color w:val="auto"/>
        </w:rPr>
        <w:t xml:space="preserve">, for the avoidance of doubt, unless and until all of the Warrants have been exercised or have expired, the Company shall continue to be obligated to comply with its registration obligations under the first three sentences of this </w:t>
      </w:r>
      <w:r>
        <w:rPr>
          <w:rFonts w:ascii="Arial" w:cs="Arial" w:eastAsia="Arial" w:hAnsi="Arial"/>
          <w:sz w:val="17"/>
          <w:szCs w:val="17"/>
          <w:u w:val="single" w:color="auto"/>
          <w:color w:val="auto"/>
        </w:rPr>
        <w:t>subsection 7.4.1</w:t>
      </w:r>
      <w:r>
        <w:rPr>
          <w:rFonts w:ascii="Arial" w:cs="Arial" w:eastAsia="Arial" w:hAnsi="Arial"/>
          <w:sz w:val="17"/>
          <w:szCs w:val="17"/>
          <w:color w:val="auto"/>
        </w:rPr>
        <w:t>.</w:t>
      </w:r>
    </w:p>
    <w:p>
      <w:pPr>
        <w:spacing w:after="0" w:line="182"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 xml:space="preserve">7.4.2. </w:t>
      </w:r>
      <w:r>
        <w:rPr>
          <w:rFonts w:ascii="Arial" w:cs="Arial" w:eastAsia="Arial" w:hAnsi="Arial"/>
          <w:sz w:val="18"/>
          <w:szCs w:val="18"/>
          <w:u w:val="single" w:color="auto"/>
          <w:color w:val="auto"/>
        </w:rPr>
        <w:t>Cashless Exercise at Company’s Option</w:t>
      </w:r>
      <w:r>
        <w:rPr>
          <w:rFonts w:ascii="Arial" w:cs="Arial" w:eastAsia="Arial" w:hAnsi="Arial"/>
          <w:sz w:val="18"/>
          <w:szCs w:val="18"/>
          <w:color w:val="auto"/>
        </w:rPr>
        <w:t xml:space="preserve">. If the Common Stock is at the time of any exercise of a Public Warrant not listed on a national securities exchange such that they satisfy the definition of a “covered security” under Section 18(b)(1) of the Securities Act, the Company may, at its option, (i) require holders of Public Warrants who exercise Public Warrants to exercise such Public Warrants on a “cashless basis” in accordance with Section 3(a)(9) of the Securities Act as described in </w:t>
      </w:r>
      <w:r>
        <w:rPr>
          <w:rFonts w:ascii="Arial" w:cs="Arial" w:eastAsia="Arial" w:hAnsi="Arial"/>
          <w:sz w:val="18"/>
          <w:szCs w:val="18"/>
          <w:u w:val="single" w:color="auto"/>
          <w:color w:val="auto"/>
        </w:rPr>
        <w:t>subsection 7.4.1</w:t>
      </w:r>
      <w:r>
        <w:rPr>
          <w:rFonts w:ascii="Arial" w:cs="Arial" w:eastAsia="Arial" w:hAnsi="Arial"/>
          <w:sz w:val="18"/>
          <w:szCs w:val="18"/>
          <w:color w:val="auto"/>
        </w:rPr>
        <w:t xml:space="preserve"> above and (ii) in the event the Company so elects, the Company shall (x) not be required to file or maintain in effect a registration statement for the registration, under the Securities Act, of the shares of Common Stock issuable upon exercise of the Warrants, notwithstanding anything in this Agreement to the contrary, and (y) use its commercially reasonable efforts to register or qualify for sale the shares of Common Stock issuable upon exercise of the Public Warrant under applicable blue sky laws to the extent an exemption is not available.</w:t>
      </w:r>
    </w:p>
    <w:p>
      <w:pPr>
        <w:spacing w:after="0" w:line="192" w:lineRule="exact"/>
        <w:rPr>
          <w:sz w:val="20"/>
          <w:szCs w:val="20"/>
          <w:color w:val="auto"/>
        </w:rPr>
      </w:pPr>
    </w:p>
    <w:p>
      <w:pPr>
        <w:ind w:left="840" w:hanging="18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shall from time to time promptly pay all taxes and charges that may be imposed upon the Company or the Warrant Agent in respect of the issuance or delivery of shares of Common Stock upon the exercise of the Warrants, but the Company shall not be obligated to pay any transfer taxes in respect of the Warrants or such shares of Common Stock.</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ind w:left="130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 Consolidation, or Merger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a Warrant (who shall, with such notice, submit his, her or its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 other entity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67" w:lineRule="exact"/>
        <w:rPr>
          <w:sz w:val="20"/>
          <w:szCs w:val="20"/>
          <w:color w:val="auto"/>
        </w:rPr>
      </w:pPr>
    </w:p>
    <w:p>
      <w:pPr>
        <w:jc w:val="both"/>
        <w:ind w:firstLine="1944"/>
        <w:spacing w:after="0" w:line="342"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Common Stock not later than the effective date of any such appointment.</w:t>
      </w:r>
    </w:p>
    <w:p>
      <w:pPr>
        <w:spacing w:after="0" w:line="124"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entity into which the Warrant Agent may be merged or with which it may be consolidated or any entity resulting from any merger or consolidation to which the Warrant Agent shall be a party shall be the successor Warrant Agent under this Agreement without any further act.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Fees and Expenses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such Warrant Agent hereunder and shall, pursuant to its obligations under this Agreement, reimburse the Warrant Agent upon demand for all expenditures that the Warrant Agent may reasonably incur in the execution of its duties hereunder.</w:t>
      </w:r>
    </w:p>
    <w:p>
      <w:pPr>
        <w:spacing w:after="0" w:line="184"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Liability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75" w:lineRule="auto"/>
        <w:rPr>
          <w:sz w:val="20"/>
          <w:szCs w:val="20"/>
          <w:color w:val="auto"/>
        </w:rPr>
      </w:pPr>
      <w:r>
        <w:rPr>
          <w:rFonts w:ascii="Arial" w:cs="Arial" w:eastAsia="Arial" w:hAnsi="Arial"/>
          <w:sz w:val="17"/>
          <w:szCs w:val="17"/>
          <w:color w:val="auto"/>
        </w:rPr>
        <w:t xml:space="preserve">8.4.1. </w:t>
      </w:r>
      <w:r>
        <w:rPr>
          <w:rFonts w:ascii="Arial" w:cs="Arial" w:eastAsia="Arial" w:hAnsi="Arial"/>
          <w:sz w:val="17"/>
          <w:szCs w:val="17"/>
          <w:u w:val="single" w:color="auto"/>
          <w:color w:val="auto"/>
        </w:rPr>
        <w:t>Reliance on Company Statement</w:t>
      </w:r>
      <w:r>
        <w:rPr>
          <w:rFonts w:ascii="Arial" w:cs="Arial" w:eastAsia="Arial" w:hAnsi="Arial"/>
          <w:sz w:val="17"/>
          <w:szCs w:val="17"/>
          <w:color w:val="auto"/>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or Chairman of the Board of the Company and delivered to the Warrant Agent. The Warrant Agent may rely upon such statement for any action taken or suffered in good faith by it pursuant to the provisions of this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jc w:val="both"/>
        <w:ind w:firstLine="1944"/>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gross negligence, willful misconduct, fraud or bad faith. The Company agrees to indemnify the Warrant Agent and save it harmless against any and all liabilities, including judgments, out-of-pocket costs and reasonable outside counsel fees, for anything done or omitted by the Warrant Agent in the execution of this Agreement, except as a result of the Warrant Agent’s gross negligence, willful misconduct, fraud or bad faith.</w:t>
      </w:r>
    </w:p>
    <w:p>
      <w:pPr>
        <w:spacing w:after="0" w:line="187" w:lineRule="exact"/>
        <w:rPr>
          <w:sz w:val="20"/>
          <w:szCs w:val="20"/>
          <w:color w:val="auto"/>
        </w:rPr>
      </w:pPr>
    </w:p>
    <w:p>
      <w:pPr>
        <w:jc w:val="both"/>
        <w:ind w:firstLine="1944"/>
        <w:spacing w:after="0" w:line="272" w:lineRule="auto"/>
        <w:rPr>
          <w:sz w:val="20"/>
          <w:szCs w:val="20"/>
          <w:color w:val="auto"/>
        </w:rPr>
      </w:pPr>
      <w:r>
        <w:rPr>
          <w:rFonts w:ascii="Arial" w:cs="Arial" w:eastAsia="Arial" w:hAnsi="Arial"/>
          <w:sz w:val="17"/>
          <w:szCs w:val="17"/>
          <w:color w:val="auto"/>
        </w:rPr>
        <w:t xml:space="preserve">8.4.3. </w:t>
      </w:r>
      <w:r>
        <w:rPr>
          <w:rFonts w:ascii="Arial" w:cs="Arial" w:eastAsia="Arial" w:hAnsi="Arial"/>
          <w:sz w:val="17"/>
          <w:szCs w:val="17"/>
          <w:u w:val="single" w:color="auto"/>
          <w:color w:val="auto"/>
        </w:rPr>
        <w:t>Exclusions</w:t>
      </w:r>
      <w:r>
        <w:rPr>
          <w:rFonts w:ascii="Arial" w:cs="Arial" w:eastAsia="Arial" w:hAnsi="Arial"/>
          <w:sz w:val="17"/>
          <w:szCs w:val="17"/>
          <w:color w:val="auto"/>
        </w:rPr>
        <w:t xml:space="preserve">. The Warrant Agent shall have no responsibility with respect to the validity of this Agreement or with respect to the validity or execution of any Warrant (except its countersignature thereof). The Warrant Agent shall not be responsible for any breach by the Company of any covenant or condition contained in this Agreement or in any Warrant. The Warrant Agent shall not be responsible to make any adjustments required under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Agreement or any Warrant or as to whether any shares of Common Stock shall, when issued, be valid and fully paid and nonassessable.</w:t>
      </w:r>
    </w:p>
    <w:p>
      <w:pPr>
        <w:spacing w:after="0" w:line="17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shares of Common Stock through the exercise of the Warrants.</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The Warrant Agent has no right of set-off or any other right, title, interest or claim of any kind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distribution of, the Trust Account (as defined in that certain Investment Management Trust Agreement, dated as of the date hereof, by and between the Company and Continental Stock Transfer &amp; Trust Company as trustee thereunder) and hereby agrees not to seek recourse, reimbursement, payment or satisfaction for any Claim against the Trust Account for any reason whatsoever. The Warrant Agent hereby waives any and all Claims against the Trust Account and any and all rights to seek access to the Trust Account.</w:t>
      </w:r>
    </w:p>
    <w:p>
      <w:pPr>
        <w:spacing w:after="0" w:line="188" w:lineRule="exact"/>
        <w:rPr>
          <w:sz w:val="20"/>
          <w:szCs w:val="20"/>
          <w:color w:val="auto"/>
        </w:rPr>
      </w:pPr>
    </w:p>
    <w:p>
      <w:pPr>
        <w:ind w:left="840" w:hanging="184"/>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Warrant Agent shall bind and inure to the benefit of their respective successors and assigns.</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CM Life Sciences,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Corvex Management 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10065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Eli Casdin and Brian Emes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eli@casdincapital.com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bemes@corvexcap.com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Joel L. Rubinstein,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joel.rubinstein@whitecase.com</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(5) days after deposit of such notice, postage prepaid, addressed (until another address is filed in writing by the Warrant Agent with the Company), as follows:</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State Street, 30th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Compliance Department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each case, with copies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Joel L. Rubinstein,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joel.rubinstein@whitecase.com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525 University Avenue, Suite 1400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California 94301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Gregg Noel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gregg.noel@skadden.com</w:t>
      </w:r>
    </w:p>
    <w:p>
      <w:pPr>
        <w:spacing w:after="0" w:line="211"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Applicable Law and Exclusive Forum</w:t>
      </w:r>
      <w:r>
        <w:rPr>
          <w:rFonts w:ascii="Arial" w:cs="Arial" w:eastAsia="Arial" w:hAnsi="Arial"/>
          <w:sz w:val="17"/>
          <w:szCs w:val="17"/>
          <w:color w:val="auto"/>
        </w:rPr>
        <w:t xml:space="preserve">. The validity, interpretation, and performance of this Agreement and of the Warrants shall be governed in all respects by the laws of the State of New York. The Company hereby agrees that any action, proceeding or claim against it arising out of, or otherwise based on, this Agreement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hereby waives any objection to such exclusive jurisdiction and that such courts represent an inconvenient forum. Notwithstanding the foregoing,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will not apply to suits brought to enforce any liability or duty created by the Exchange Act or any other claim for which the federal district courts of the United States of America are the sole and exclusive forum.</w:t>
      </w:r>
    </w:p>
    <w:p>
      <w:pPr>
        <w:spacing w:after="0" w:line="17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Persons Having Rights under this Agreement</w:t>
      </w:r>
      <w:r>
        <w:rPr>
          <w:rFonts w:ascii="Arial" w:cs="Arial" w:eastAsia="Arial" w:hAnsi="Arial"/>
          <w:sz w:val="18"/>
          <w:szCs w:val="18"/>
          <w:color w:val="auto"/>
        </w:rPr>
        <w:t>. Nothing in this Agreement shall be construed to confer upon, or give to, any person, corporation or other entity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jc w:val="both"/>
        <w:ind w:firstLine="1296"/>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Agreement shall be available at all reasonable times at the office of the Warrant Agent in the Borough of Manhattan, City and State of New York, for inspection by the Registered Holder of any Warrant. The Warrant Agent may require any such holder to submit such holder’s Warrant for inspection by the Warrant Agent.</w:t>
      </w:r>
    </w:p>
    <w:p>
      <w:pPr>
        <w:spacing w:after="0" w:line="184"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Agreement and shall not affect the interpretation thereof.</w:t>
      </w:r>
    </w:p>
    <w:p>
      <w:pPr>
        <w:spacing w:after="0" w:line="17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This Agreement may be amended by the parties hereto without the consent of any Registered Holder for the purpose of (i) curing any ambiguity or to correct any mistake, including to conform the provisions hereof to the description of the terms of the Warrants and this Agreement set forth in the Prospectus, or defective provision contained herein or (ii) adding or changing any provisions with respect to matters or questions arising under this Agreement as the parties may deem necessary or desirable and that the parties deem shall not adversely affect the rights of the Registered Holders under this Agreement. All other modifications or amendments, including any modification or amendment to increase the Warrant Price or shorten the Exercise Period and any amendment to the terms of only the Private Placement Warrants, shall require the vote or written consent of the Registered Holders of 50% of the then-outstanding Public Warrants and, solely with respect to any amendment to the terms of the Private Placement Warrants or any provision of this Agreement with respect to the Private Placement Warrants, 50% of the then-outstanding Private Placement Warrants. Notwithstanding the foregoing, the Company may lower the Warrant Price or extend the duration of the Exercise Period pursuant to </w:t>
      </w:r>
      <w:r>
        <w:rPr>
          <w:rFonts w:ascii="Arial" w:cs="Arial" w:eastAsia="Arial" w:hAnsi="Arial"/>
          <w:sz w:val="17"/>
          <w:szCs w:val="17"/>
          <w:u w:val="single" w:color="auto"/>
          <w:color w:val="auto"/>
        </w:rPr>
        <w:t>Sections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3.2</w:t>
      </w:r>
      <w:r>
        <w:rPr>
          <w:rFonts w:ascii="Arial" w:cs="Arial" w:eastAsia="Arial" w:hAnsi="Arial"/>
          <w:sz w:val="17"/>
          <w:szCs w:val="17"/>
          <w:color w:val="auto"/>
        </w:rPr>
        <w:t>, respectively, without the consent of the Registered Holders.</w:t>
      </w:r>
    </w:p>
    <w:p>
      <w:pPr>
        <w:spacing w:after="0" w:line="18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date first above written.</w:t>
      </w:r>
    </w:p>
    <w:p>
      <w:pPr>
        <w:spacing w:after="0" w:line="221" w:lineRule="exact"/>
        <w:rPr>
          <w:sz w:val="20"/>
          <w:szCs w:val="20"/>
          <w:color w:val="auto"/>
        </w:rPr>
      </w:pPr>
    </w:p>
    <w:p>
      <w:pPr>
        <w:ind w:left="6760"/>
        <w:spacing w:after="0"/>
        <w:tabs>
          <w:tab w:leader="none" w:pos="8260" w:val="left"/>
          <w:tab w:leader="none" w:pos="9100" w:val="left"/>
          <w:tab w:leader="none" w:pos="10260" w:val="left"/>
          <w:tab w:leader="none" w:pos="10620" w:val="left"/>
        </w:tabs>
        <w:rPr>
          <w:sz w:val="20"/>
          <w:szCs w:val="20"/>
          <w:color w:val="auto"/>
        </w:rPr>
      </w:pPr>
      <w:r>
        <w:rPr>
          <w:rFonts w:ascii="Arial" w:cs="Arial" w:eastAsia="Arial" w:hAnsi="Arial"/>
          <w:sz w:val="18"/>
          <w:szCs w:val="18"/>
          <w:b w:val="1"/>
          <w:bCs w:val="1"/>
          <w:color w:val="auto"/>
        </w:rPr>
        <w:t>CONTINENTAL</w:t>
        <w:tab/>
        <w:t>STOCK</w:t>
        <w:tab/>
        <w:t>TRANSFER</w:t>
        <w:tab/>
        <w:t>&amp;</w:t>
        <w:tab/>
        <w:t>TRUST</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 as Warrant Agent</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CM LIFE SCIENCES,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Warrant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WARRANT SHALL BE VOID IF NOT EXERCISED PRIOR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EXPIRATION OF THE EXERCISE PERIOD PROVIDED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WARRANT AGREEMENT DESCRIBED BELOW</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Under the Laws of the State of Delaware</w:t>
      </w:r>
    </w:p>
    <w:p>
      <w:pPr>
        <w:spacing w:after="0" w:line="211"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CUSIP _______</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w:t>
      </w:r>
    </w:p>
    <w:p>
      <w:pPr>
        <w:spacing w:after="0" w:line="229" w:lineRule="exact"/>
        <w:rPr>
          <w:sz w:val="20"/>
          <w:szCs w:val="20"/>
          <w:color w:val="auto"/>
        </w:rPr>
      </w:pPr>
    </w:p>
    <w:p>
      <w:pPr>
        <w:ind w:left="660"/>
        <w:spacing w:after="0"/>
        <w:tabs>
          <w:tab w:leader="none" w:pos="5040" w:val="left"/>
          <w:tab w:leader="none" w:pos="10140" w:val="left"/>
        </w:tabs>
        <w:rPr>
          <w:sz w:val="20"/>
          <w:szCs w:val="20"/>
          <w:color w:val="auto"/>
        </w:rPr>
      </w:pPr>
      <w:r>
        <w:rPr>
          <w:rFonts w:ascii="Arial" w:cs="Arial" w:eastAsia="Arial" w:hAnsi="Arial"/>
          <w:sz w:val="18"/>
          <w:szCs w:val="18"/>
          <w:b w:val="1"/>
          <w:bCs w:val="1"/>
          <w:i w:val="1"/>
          <w:iCs w:val="1"/>
          <w:color w:val="auto"/>
        </w:rPr>
        <w:t>This Warrant Certificate certifies that</w:t>
      </w:r>
      <w:r>
        <w:rPr>
          <w:sz w:val="20"/>
          <w:szCs w:val="20"/>
          <w:color w:val="auto"/>
        </w:rPr>
        <w:tab/>
      </w:r>
      <w:r>
        <w:rPr>
          <w:rFonts w:ascii="Arial" w:cs="Arial" w:eastAsia="Arial" w:hAnsi="Arial"/>
          <w:sz w:val="18"/>
          <w:szCs w:val="18"/>
          <w:color w:val="auto"/>
        </w:rPr>
        <w:t>, or registered assigns, is the registered holder of</w:t>
      </w:r>
      <w:r>
        <w:rPr>
          <w:sz w:val="20"/>
          <w:szCs w:val="20"/>
          <w:color w:val="auto"/>
        </w:rPr>
        <w:tab/>
      </w:r>
      <w:r>
        <w:rPr>
          <w:rFonts w:ascii="Arial" w:cs="Arial" w:eastAsia="Arial" w:hAnsi="Arial"/>
          <w:sz w:val="16"/>
          <w:szCs w:val="16"/>
          <w:color w:val="auto"/>
        </w:rPr>
        <w:t>warrant(s) (the</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and each, a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to purchase shares of Class A common stock, $0.0001 par value (“</w:t>
      </w:r>
      <w:r>
        <w:rPr>
          <w:rFonts w:ascii="Arial" w:cs="Arial" w:eastAsia="Arial" w:hAnsi="Arial"/>
          <w:sz w:val="16"/>
          <w:szCs w:val="16"/>
          <w:b w:val="1"/>
          <w:bCs w:val="1"/>
          <w:i w:val="1"/>
          <w:iCs w:val="1"/>
          <w:color w:val="auto"/>
        </w:rPr>
        <w:t>Class A Common Stock</w:t>
      </w:r>
      <w:r>
        <w:rPr>
          <w:rFonts w:ascii="Arial" w:cs="Arial" w:eastAsia="Arial" w:hAnsi="Arial"/>
          <w:sz w:val="16"/>
          <w:szCs w:val="16"/>
          <w:color w:val="auto"/>
        </w:rPr>
        <w:t>”), of CM Life Sciences,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Each Warrant entitles the holder, upon exercise during the period set forth in the Warrant Agreement referred to below, to receive from the Company that number of fully paid and nonassessable shares of Class A Common Stock as set forth below, at the exercise price (the “</w:t>
      </w: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as determined pursuant to the Warrant Agreement, payable in lawful money (or through “</w:t>
      </w:r>
      <w:r>
        <w:rPr>
          <w:rFonts w:ascii="Arial" w:cs="Arial" w:eastAsia="Arial" w:hAnsi="Arial"/>
          <w:sz w:val="16"/>
          <w:szCs w:val="16"/>
          <w:b w:val="1"/>
          <w:bCs w:val="1"/>
          <w:i w:val="1"/>
          <w:iCs w:val="1"/>
          <w:color w:val="auto"/>
        </w:rPr>
        <w:t>cashless exercise</w:t>
      </w:r>
      <w:r>
        <w:rPr>
          <w:rFonts w:ascii="Arial" w:cs="Arial" w:eastAsia="Arial" w:hAnsi="Arial"/>
          <w:sz w:val="16"/>
          <w:szCs w:val="16"/>
          <w:color w:val="auto"/>
        </w:rPr>
        <w:t>” as provided for in the Warrant Agreement) of the United States of America upon surrender of this Warrant Certificate and payment of the Exercise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whole Warrant is initially exercisable for one fully paid and non-assessable share of Class A Common Stock. Fractional shares shall not be issued upon exercise of any Warrant. If, upon the exercise of Warrants, a holder would be entitled to receive a fractional interest in a share of Class A Common Stock, the Company shall, upon exercise, round down to the nearest whole number the number of shares of Class A Common Stock to be issued to the Warrant holder. The number of shares of Class A Common Stock issuable upon exercise of the Warrants is subject to adjustment upon the occurrence of certain events as set forth in the Warrant Agreement.</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initial Exercise Price per share of Class A Common Stock for any Warrant is equal to $11.50 per share. The Exercise Price is subject to adjustment upon the occurrence of certain events as set forth in the Warrant Agreement.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Subject to the conditions set forth in the Warrant Agreement, the Warrants may be exercised only during the Exercise Period and to the extent not exercised by the end of such Exercise Period, such Warrants shall become void. The Warrants may be redeemed, subject to certain conditions, as set forth in the Warrant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ind w:firstLine="648"/>
        <w:spacing w:after="0" w:line="277" w:lineRule="auto"/>
        <w:rPr>
          <w:sz w:val="20"/>
          <w:szCs w:val="20"/>
          <w:color w:val="auto"/>
        </w:rPr>
      </w:pPr>
      <w:r>
        <w:rPr>
          <w:rFonts w:ascii="Arial" w:cs="Arial" w:eastAsia="Arial" w:hAnsi="Arial"/>
          <w:sz w:val="18"/>
          <w:szCs w:val="18"/>
          <w:color w:val="auto"/>
        </w:rPr>
        <w:t>This Warrant Certificate shall not be valid unless countersigned by the Warrant Agent, as such term is used in the Warrant Agreement. This Warrant Certificate shall be governed by and construed in accordance with the internal laws of the State of New York.</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CM LIFE SCIENCES, INC.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CONTINENTAL STOCK TRANSFER &amp; TRUST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COMPANY, as Warrant Agent</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[Form of Warrant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[Reverse]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Warrants evidenced by this Warrant Certificate are part of a duly authorized issue of Warrants entitling the holder on exercise to receive shares</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of Class A Common Stock and are issued or to be issued pursuant to a Warrant Agreement dated as of , 2020 (the “</w:t>
      </w:r>
      <w:r>
        <w:rPr>
          <w:rFonts w:ascii="Arial" w:cs="Arial" w:eastAsia="Arial" w:hAnsi="Arial"/>
          <w:sz w:val="18"/>
          <w:szCs w:val="18"/>
          <w:b w:val="1"/>
          <w:bCs w:val="1"/>
          <w:i w:val="1"/>
          <w:iCs w:val="1"/>
          <w:color w:val="auto"/>
        </w:rPr>
        <w:t>Warrant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duly executed and delivered by the Company to Continental Stock Transfer &amp; Trust Company, a New York corporation, as warrant agent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or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meaning the Registered Holders or Registered Holder, respectively) of the Warrants. A copy of the Warrant Agreement may be obtained by the holder hereof upon written request to the Company. Defined terms used in this Warrant Certificate but not defined herein shall have the meanings given to them in the Warrant Agreement.</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Exercise Price as specified in the Warrant Agreement (or through “</w:t>
      </w:r>
      <w:r>
        <w:rPr>
          <w:rFonts w:ascii="Arial" w:cs="Arial" w:eastAsia="Arial" w:hAnsi="Arial"/>
          <w:sz w:val="17"/>
          <w:szCs w:val="17"/>
          <w:i w:val="1"/>
          <w:iCs w:val="1"/>
          <w:color w:val="auto"/>
        </w:rPr>
        <w:t>cashless exercise</w:t>
      </w:r>
      <w:r>
        <w:rPr>
          <w:rFonts w:ascii="Arial" w:cs="Arial" w:eastAsia="Arial" w:hAnsi="Arial"/>
          <w:sz w:val="17"/>
          <w:szCs w:val="17"/>
          <w:color w:val="auto"/>
        </w:rPr>
        <w:t>”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Notwithstanding anything else in this Warrant Certificate or the Warrant Agreement, no Warrant may be exercised unless at the time of exercise (i) a registration statement covering the issuance of the shares of Class A Common Stock to be issued upon exercise is effective under the Securities Act and</w:t>
      </w:r>
    </w:p>
    <w:p>
      <w:pPr>
        <w:ind w:firstLine="8"/>
        <w:spacing w:after="0" w:line="260" w:lineRule="auto"/>
        <w:tabs>
          <w:tab w:leader="none" w:pos="27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prospectus thereunder relating to the shares of Class A Common Stock is current, except through “</w:t>
      </w:r>
      <w:r>
        <w:rPr>
          <w:rFonts w:ascii="Arial" w:cs="Arial" w:eastAsia="Arial" w:hAnsi="Arial"/>
          <w:sz w:val="18"/>
          <w:szCs w:val="18"/>
          <w:i w:val="1"/>
          <w:iCs w:val="1"/>
          <w:color w:val="auto"/>
        </w:rPr>
        <w:t>cashless exercise</w:t>
      </w:r>
      <w:r>
        <w:rPr>
          <w:rFonts w:ascii="Arial" w:cs="Arial" w:eastAsia="Arial" w:hAnsi="Arial"/>
          <w:sz w:val="18"/>
          <w:szCs w:val="18"/>
          <w:color w:val="auto"/>
        </w:rPr>
        <w:t>” as provided for in the Warrant Agreement.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Warrant Agreement provides that upon the occurrence of certain events the number of shares of Class A Common Stock issuable upon exercise of the Warrants set forth on the face hereof may, subject to certain conditions, be adjusted. If, upon exercise of a Warrant, the holder thereof would be entitled to receive a fractional interest in a share of Class A Common Stock, the Company shall, upon exercise, round down to the nearest whole number of shares of Class A Common Stock to be issued to the holder of the Warrant.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stockholder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Election to Purchase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Upon Exercise of Warrant)</w:t>
      </w:r>
    </w:p>
    <w:p>
      <w:pPr>
        <w:spacing w:after="0" w:line="225" w:lineRule="exact"/>
        <w:rPr>
          <w:sz w:val="20"/>
          <w:szCs w:val="20"/>
          <w:color w:val="auto"/>
        </w:rPr>
      </w:pPr>
    </w:p>
    <w:p>
      <w:pPr>
        <w:ind w:left="660"/>
        <w:spacing w:after="0"/>
        <w:tabs>
          <w:tab w:leader="none" w:pos="9960" w:val="left"/>
        </w:tabs>
        <w:rPr>
          <w:sz w:val="20"/>
          <w:szCs w:val="20"/>
          <w:color w:val="auto"/>
        </w:rPr>
      </w:pPr>
      <w:r>
        <w:rPr>
          <w:rFonts w:ascii="Arial" w:cs="Arial" w:eastAsia="Arial" w:hAnsi="Arial"/>
          <w:sz w:val="18"/>
          <w:szCs w:val="18"/>
          <w:color w:val="auto"/>
        </w:rPr>
        <w:t>The undersigned hereby irrevocably elects to exercise the right, represented by this Warrant Certificate, to receive</w:t>
      </w:r>
      <w:r>
        <w:rPr>
          <w:sz w:val="20"/>
          <w:szCs w:val="20"/>
          <w:color w:val="auto"/>
        </w:rPr>
        <w:tab/>
      </w:r>
      <w:r>
        <w:rPr>
          <w:rFonts w:ascii="Arial" w:cs="Arial" w:eastAsia="Arial" w:hAnsi="Arial"/>
          <w:sz w:val="16"/>
          <w:szCs w:val="16"/>
          <w:color w:val="auto"/>
        </w:rPr>
        <w:t>shares of Class 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Common Stock and herewith tenders payment for such shares of Class A Common Stock to the order of CM Life Sciences,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the</w:t>
      </w:r>
    </w:p>
    <w:p>
      <w:pPr>
        <w:spacing w:after="0" w:line="32"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amount of $</w:t>
      </w:r>
      <w:r>
        <w:rPr>
          <w:sz w:val="20"/>
          <w:szCs w:val="20"/>
          <w:color w:val="auto"/>
        </w:rPr>
        <w:tab/>
      </w:r>
      <w:r>
        <w:rPr>
          <w:rFonts w:ascii="Arial" w:cs="Arial" w:eastAsia="Arial" w:hAnsi="Arial"/>
          <w:sz w:val="16"/>
          <w:szCs w:val="16"/>
          <w:color w:val="auto"/>
        </w:rPr>
        <w:t>in accordance with the terms hereof. The undersigned requests that a certificate for such shares of Class A Common Stock be</w:t>
      </w:r>
    </w:p>
    <w:p>
      <w:pPr>
        <w:spacing w:after="0" w:line="9" w:lineRule="exact"/>
        <w:rPr>
          <w:sz w:val="20"/>
          <w:szCs w:val="20"/>
          <w:color w:val="auto"/>
        </w:rPr>
      </w:pPr>
    </w:p>
    <w:p>
      <w:pPr>
        <w:spacing w:after="0"/>
        <w:tabs>
          <w:tab w:leader="none" w:pos="2880" w:val="left"/>
          <w:tab w:leader="none" w:pos="5600" w:val="left"/>
        </w:tabs>
        <w:rPr>
          <w:sz w:val="20"/>
          <w:szCs w:val="20"/>
          <w:color w:val="auto"/>
        </w:rPr>
      </w:pPr>
      <w:r>
        <w:rPr>
          <w:rFonts w:ascii="Arial" w:cs="Arial" w:eastAsia="Arial" w:hAnsi="Arial"/>
          <w:sz w:val="18"/>
          <w:szCs w:val="18"/>
          <w:color w:val="auto"/>
        </w:rPr>
        <w:t>registered in the name of</w:t>
      </w:r>
      <w:r>
        <w:rPr>
          <w:sz w:val="20"/>
          <w:szCs w:val="20"/>
          <w:color w:val="auto"/>
        </w:rPr>
        <w:tab/>
      </w:r>
      <w:r>
        <w:rPr>
          <w:rFonts w:ascii="Arial" w:cs="Arial" w:eastAsia="Arial" w:hAnsi="Arial"/>
          <w:sz w:val="18"/>
          <w:szCs w:val="18"/>
          <w:color w:val="auto"/>
        </w:rPr>
        <w:t>, whose address is</w:t>
      </w:r>
      <w:r>
        <w:rPr>
          <w:sz w:val="20"/>
          <w:szCs w:val="20"/>
          <w:color w:val="auto"/>
        </w:rPr>
        <w:tab/>
      </w:r>
      <w:r>
        <w:rPr>
          <w:rFonts w:ascii="Arial" w:cs="Arial" w:eastAsia="Arial" w:hAnsi="Arial"/>
          <w:sz w:val="16"/>
          <w:szCs w:val="16"/>
          <w:color w:val="auto"/>
        </w:rPr>
        <w:t>and that such shares of Class A Common Stock be delivered to</w:t>
      </w:r>
    </w:p>
    <w:p>
      <w:pPr>
        <w:spacing w:after="0" w:line="9" w:lineRule="exact"/>
        <w:rPr>
          <w:sz w:val="20"/>
          <w:szCs w:val="20"/>
          <w:color w:val="auto"/>
        </w:rPr>
      </w:pPr>
    </w:p>
    <w:p>
      <w:pPr>
        <w:spacing w:after="0"/>
        <w:tabs>
          <w:tab w:leader="none" w:pos="2480" w:val="left"/>
        </w:tabs>
        <w:rPr>
          <w:sz w:val="20"/>
          <w:szCs w:val="20"/>
          <w:color w:val="auto"/>
        </w:rPr>
      </w:pPr>
      <w:r>
        <w:rPr>
          <w:rFonts w:ascii="Arial" w:cs="Arial" w:eastAsia="Arial" w:hAnsi="Arial"/>
          <w:sz w:val="18"/>
          <w:szCs w:val="18"/>
          <w:color w:val="auto"/>
        </w:rPr>
        <w:t>whose address is</w:t>
      </w:r>
      <w:r>
        <w:rPr>
          <w:sz w:val="20"/>
          <w:szCs w:val="20"/>
          <w:color w:val="auto"/>
        </w:rPr>
        <w:tab/>
      </w:r>
      <w:r>
        <w:rPr>
          <w:rFonts w:ascii="Arial" w:cs="Arial" w:eastAsia="Arial" w:hAnsi="Arial"/>
          <w:sz w:val="16"/>
          <w:szCs w:val="16"/>
          <w:color w:val="auto"/>
        </w:rPr>
        <w:t>. If said number of shares of Class A Common Stock is less than all of the shares of Class A Common Stock purchasable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hereunder, the undersigned requests that a new Warrant Certificate representing the remaining balance of such shares of Class A Common Stock be</w:t>
      </w:r>
    </w:p>
    <w:p>
      <w:pPr>
        <w:spacing w:after="0" w:line="3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registered in the name of , whose address is and that such Warrant Certificate be delivered to , whose address is .</w:t>
      </w:r>
    </w:p>
    <w:p>
      <w:pPr>
        <w:spacing w:after="0" w:line="200" w:lineRule="exact"/>
        <w:rPr>
          <w:sz w:val="20"/>
          <w:szCs w:val="20"/>
          <w:color w:val="auto"/>
        </w:rPr>
      </w:pP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In the event that the Warrant has been called for redemption by the Company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of the Warrant Agreement and a holder thereof elects to exercise its Warrant pursuant to a Make-Whole Exercise, the number of shares of Class A Common Stock that this Warrant is exercisable for shall be determined in accordance with </w:t>
      </w:r>
      <w:r>
        <w:rPr>
          <w:rFonts w:ascii="Arial" w:cs="Arial" w:eastAsia="Arial" w:hAnsi="Arial"/>
          <w:sz w:val="17"/>
          <w:szCs w:val="17"/>
          <w:u w:val="single" w:color="auto"/>
          <w:color w:val="auto"/>
        </w:rPr>
        <w:t>subsection 3.3.1(c)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of the Warrant Agreement, as applicable.</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the event that the Warrant is a Private Placement Warrant that is to be exercised on a “cashless” basis pursuant to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 the number of shares of Class A Common Stock that this Warrant is exercisable for shall be determined in accordance with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3.3.1(c)</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In the event that the Warrant is to be exercised on a “cashless” basis pursuant to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 the number of shares of Class A Common Stock that this Warrant is exercisable for shall be determined in accordance with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w:t>
      </w:r>
    </w:p>
    <w:p>
      <w:pPr>
        <w:spacing w:after="0" w:line="14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the event that the Warrant may be exercised, to the extent allowed by the Warrant Agreement, through cashless exercise (i) the number of shares of Class A Common Stock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shares of Class A Common Stock. If said number of shares is less than all of the shares of Class A Common Stock purchasable hereunder (after giving effect to the cashless exercise), the undersigned requests that a new Warrant Certificate representing the remaining balance of such shares of Class A Common Stock be registered in the</w:t>
      </w:r>
    </w:p>
    <w:tbl>
      <w:tblPr>
        <w:tblLayout w:type="fixed"/>
        <w:tblInd w:w="0" w:type="dxa"/>
        <w:tblCellMar>
          <w:top w:w="0" w:type="dxa"/>
          <w:left w:w="0" w:type="dxa"/>
          <w:bottom w:w="0" w:type="dxa"/>
          <w:right w:w="0" w:type="dxa"/>
        </w:tblCellMar>
      </w:tblPr>
      <w:tr>
        <w:trPr>
          <w:trHeight w:val="206"/>
        </w:trPr>
        <w:tc>
          <w:tcPr>
            <w:tcW w:w="1040" w:type="dxa"/>
            <w:vAlign w:val="bottom"/>
          </w:tcPr>
          <w:p>
            <w:pPr>
              <w:spacing w:after="0" w:line="206" w:lineRule="exact"/>
              <w:rPr>
                <w:sz w:val="20"/>
                <w:szCs w:val="20"/>
                <w:color w:val="auto"/>
              </w:rPr>
            </w:pPr>
            <w:r>
              <w:rPr>
                <w:rFonts w:ascii="Arial" w:cs="Arial" w:eastAsia="Arial" w:hAnsi="Arial"/>
                <w:sz w:val="18"/>
                <w:szCs w:val="18"/>
                <w:color w:val="auto"/>
              </w:rPr>
              <w:t>name of</w:t>
            </w:r>
          </w:p>
        </w:tc>
        <w:tc>
          <w:tcPr>
            <w:tcW w:w="3060" w:type="dxa"/>
            <w:vAlign w:val="bottom"/>
          </w:tcPr>
          <w:p>
            <w:pPr>
              <w:jc w:val="right"/>
              <w:ind w:right="510"/>
              <w:spacing w:after="0" w:line="206" w:lineRule="exact"/>
              <w:rPr>
                <w:sz w:val="20"/>
                <w:szCs w:val="20"/>
                <w:color w:val="auto"/>
              </w:rPr>
            </w:pPr>
            <w:r>
              <w:rPr>
                <w:rFonts w:ascii="Arial" w:cs="Arial" w:eastAsia="Arial" w:hAnsi="Arial"/>
                <w:sz w:val="18"/>
                <w:szCs w:val="18"/>
                <w:color w:val="auto"/>
              </w:rPr>
              <w:t>, whose address is</w:t>
            </w:r>
          </w:p>
        </w:tc>
        <w:tc>
          <w:tcPr>
            <w:tcW w:w="5220" w:type="dxa"/>
            <w:vAlign w:val="bottom"/>
          </w:tcPr>
          <w:p>
            <w:pPr>
              <w:ind w:left="1100"/>
              <w:spacing w:after="0" w:line="206" w:lineRule="exact"/>
              <w:rPr>
                <w:sz w:val="20"/>
                <w:szCs w:val="20"/>
                <w:color w:val="auto"/>
              </w:rPr>
            </w:pPr>
            <w:r>
              <w:rPr>
                <w:rFonts w:ascii="Arial" w:cs="Arial" w:eastAsia="Arial" w:hAnsi="Arial"/>
                <w:sz w:val="18"/>
                <w:szCs w:val="18"/>
                <w:color w:val="auto"/>
              </w:rPr>
              <w:t>and that such Warrant Certificate be delivered to</w:t>
            </w:r>
          </w:p>
        </w:tc>
        <w:tc>
          <w:tcPr>
            <w:tcW w:w="1920" w:type="dxa"/>
            <w:vAlign w:val="bottom"/>
          </w:tcPr>
          <w:p>
            <w:pPr>
              <w:ind w:left="600"/>
              <w:spacing w:after="0" w:line="206" w:lineRule="exact"/>
              <w:rPr>
                <w:sz w:val="20"/>
                <w:szCs w:val="20"/>
                <w:color w:val="auto"/>
              </w:rPr>
            </w:pPr>
            <w:r>
              <w:rPr>
                <w:rFonts w:ascii="Arial" w:cs="Arial" w:eastAsia="Arial" w:hAnsi="Arial"/>
                <w:sz w:val="18"/>
                <w:szCs w:val="18"/>
                <w:color w:val="auto"/>
                <w:w w:val="87"/>
              </w:rPr>
              <w:t>, whose address is</w:t>
            </w:r>
          </w:p>
        </w:tc>
      </w:tr>
      <w:tr>
        <w:trPr>
          <w:trHeight w:val="230"/>
        </w:trPr>
        <w:tc>
          <w:tcPr>
            <w:tcW w:w="1040" w:type="dxa"/>
            <w:vAlign w:val="bottom"/>
          </w:tcPr>
          <w:p>
            <w:pPr>
              <w:spacing w:after="0"/>
              <w:rPr>
                <w:sz w:val="20"/>
                <w:szCs w:val="20"/>
                <w:color w:val="auto"/>
              </w:rPr>
            </w:pPr>
          </w:p>
        </w:tc>
        <w:tc>
          <w:tcPr>
            <w:tcW w:w="3060" w:type="dxa"/>
            <w:vAlign w:val="bottom"/>
          </w:tcPr>
          <w:p>
            <w:pPr>
              <w:jc w:val="right"/>
              <w:ind w:right="2470"/>
              <w:spacing w:after="0"/>
              <w:rPr>
                <w:sz w:val="20"/>
                <w:szCs w:val="20"/>
                <w:color w:val="auto"/>
              </w:rPr>
            </w:pPr>
            <w:r>
              <w:rPr>
                <w:rFonts w:ascii="Arial" w:cs="Arial" w:eastAsia="Arial" w:hAnsi="Arial"/>
                <w:sz w:val="18"/>
                <w:szCs w:val="18"/>
                <w:color w:val="auto"/>
              </w:rPr>
              <w:t>.</w:t>
            </w:r>
          </w:p>
        </w:tc>
        <w:tc>
          <w:tcPr>
            <w:tcW w:w="52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220" w:type="dxa"/>
            <w:vAlign w:val="bottom"/>
          </w:tcPr>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tc>
        <w:tc>
          <w:tcPr>
            <w:tcW w:w="1920" w:type="dxa"/>
            <w:vAlign w:val="bottom"/>
          </w:tcPr>
          <w:p>
            <w:pPr>
              <w:spacing w:after="0"/>
              <w:rPr>
                <w:sz w:val="24"/>
                <w:szCs w:val="24"/>
                <w:color w:val="auto"/>
              </w:rPr>
            </w:pPr>
          </w:p>
        </w:tc>
      </w:tr>
      <w:tr>
        <w:trPr>
          <w:trHeight w:val="682"/>
        </w:trPr>
        <w:tc>
          <w:tcPr>
            <w:tcW w:w="10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8" w:name="page29"/>
    <w:bookmarkEnd w:id="28"/>
    <w:p>
      <w:pPr>
        <w:spacing w:after="0"/>
        <w:tabs>
          <w:tab w:leader="none" w:pos="1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597535</wp:posOffset>
            </wp:positionV>
            <wp:extent cx="28460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8">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443230</wp:posOffset>
            </wp:positionV>
            <wp:extent cx="28460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9">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(Tax Indentification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LEGEND</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 IN ADDITION, SUBJECT TO ANY ADDITIONAL LIMITATIONS ON TRANSFER DESCRIBED IN THE LETTER AGREEMENT BY AND AMONG CM LIFE 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CMLS HOLDINGS LLC AND THE OTHER PARTIES THERETO, THE SECURITIES REPRESENTED BY THIS CERTIFICATE MAY NOT BE SOLD OR TRANSFERRED PRIOR TO THE DATE THAT IS THIRTY (30) DAYS AFTER THE DATE UPON WHICH THE COMPANY COMPLETES ITS INITIAL BUSINESS COMBINATION (AS DEFINED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THE WARRANT AGREEMENT REFERRED TO HEREIN) EXCEPT TO A PERMITTED TRANSFEREE (AS DEFINED IN THE RECITALS OF THE WARRANT AGREEMENT) WHO AGREES IN WRITING WITH THE COMPANY TO BE SUBJECT TO SUCH TRANSFER PROVISIONS.</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SECURITIES EVIDENCED BY THIS CERTIFICATE AND SHARES OF CLASS A COMMON STOCK OF THE COMPANY ISSUED UPON EXERCISE OF SUCH SECURITIES SHALL BE ENTITLED TO REGISTRATION RIGHTS UNDER A REGISTRATION AGREEMENT TO BE EXECUTED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14"/>
    </w:lvl>
  </w:abstractNum>
  <w:abstractNum w:abstractNumId="2">
    <w:nsid w:val="216231B"/>
    <w:multiLevelType w:val="hybridMultilevel"/>
    <w:lvl w:ilvl="0">
      <w:lvlJc w:val="left"/>
      <w:lvlText w:val="%1"/>
      <w:numFmt w:val="decimal"/>
      <w:start w:val="24"/>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lowerLetter"/>
      <w:start w:val="7"/>
    </w:lvl>
  </w:abstractNum>
  <w:abstractNum w:abstractNumId="7">
    <w:nsid w:val="3352255A"/>
    <w:multiLevelType w:val="hybridMultilevel"/>
    <w:lvl w:ilvl="0">
      <w:lvlJc w:val="left"/>
      <w:lvlText w:val="%1."/>
      <w:numFmt w:val="decimal"/>
      <w:start w:val="3"/>
    </w:lvl>
  </w:abstractNum>
  <w:abstractNum w:abstractNumId="8">
    <w:nsid w:val="109CF92E"/>
    <w:multiLevelType w:val="hybridMultilevel"/>
    <w:lvl w:ilvl="0">
      <w:lvlJc w:val="left"/>
      <w:lvlText w:val="(%1)"/>
      <w:numFmt w:val="lowerRoman"/>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4"/>
    </w:lvl>
  </w:abstractNum>
  <w:abstractNum w:abstractNumId="11">
    <w:nsid w:val="1BEFD79F"/>
    <w:multiLevelType w:val="hybridMultilevel"/>
    <w:lvl w:ilvl="0">
      <w:lvlJc w:val="left"/>
      <w:lvlText w:val="(%1)"/>
      <w:numFmt w:val="lowerRoman"/>
      <w:start w:val="1"/>
    </w:lvl>
  </w:abstractNum>
  <w:abstractNum w:abstractNumId="12">
    <w:nsid w:val="41A7C4C9"/>
    <w:multiLevelType w:val="hybridMultilevel"/>
    <w:lvl w:ilvl="0">
      <w:lvlJc w:val="left"/>
      <w:lvlText w:val="%1."/>
      <w:numFmt w:val="decimal"/>
      <w:start w:val="5"/>
    </w:lvl>
  </w:abstractNum>
  <w:abstractNum w:abstractNumId="13">
    <w:nsid w:val="6B68079A"/>
    <w:multiLevelType w:val="hybridMultilevel"/>
    <w:lvl w:ilvl="0">
      <w:lvlJc w:val="left"/>
      <w:lvlText w:val="%1."/>
      <w:numFmt w:val="decimal"/>
      <w:start w:val="6"/>
    </w:lvl>
  </w:abstractNum>
  <w:abstractNum w:abstractNumId="14">
    <w:nsid w:val="4E6AFB66"/>
    <w:multiLevelType w:val="hybridMultilevel"/>
    <w:lvl w:ilvl="0">
      <w:lvlJc w:val="left"/>
      <w:lvlText w:val="%1."/>
      <w:numFmt w:val="decimal"/>
      <w:start w:val="7"/>
    </w:lvl>
  </w:abstractNum>
  <w:abstractNum w:abstractNumId="15">
    <w:nsid w:val="25E45D32"/>
    <w:multiLevelType w:val="hybridMultilevel"/>
    <w:lvl w:ilvl="0">
      <w:lvlJc w:val="left"/>
      <w:lvlText w:val="%1."/>
      <w:numFmt w:val="decimal"/>
      <w:start w:val="8"/>
    </w:lvl>
  </w:abstractNum>
  <w:abstractNum w:abstractNumId="16">
    <w:nsid w:val="519B500D"/>
    <w:multiLevelType w:val="hybridMultilevel"/>
    <w:lvl w:ilvl="0">
      <w:lvlJc w:val="left"/>
      <w:lvlText w:val="%1."/>
      <w:numFmt w:val="decimal"/>
      <w:start w:val="9"/>
    </w:lvl>
  </w:abstractNum>
  <w:abstractNum w:abstractNumId="17">
    <w:nsid w:val="431BD7B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43" Type="http://schemas.openxmlformats.org/officeDocument/2006/relationships/image" Target="media/image18.png"/><Relationship Id="rId52" Type="http://schemas.openxmlformats.org/officeDocument/2006/relationships/image" Target="media/image19.png"/><Relationship Id="rId53" Type="http://schemas.openxmlformats.org/officeDocument/2006/relationships/image" Target="media/image20.png"/><Relationship Id="rId54" Type="http://schemas.openxmlformats.org/officeDocument/2006/relationships/image" Target="media/image21.png"/><Relationship Id="rId55" Type="http://schemas.openxmlformats.org/officeDocument/2006/relationships/image" Target="media/image22.png"/><Relationship Id="rId56" Type="http://schemas.openxmlformats.org/officeDocument/2006/relationships/image" Target="media/image23.png"/><Relationship Id="rId57" Type="http://schemas.openxmlformats.org/officeDocument/2006/relationships/image" Target="media/image24.png"/><Relationship Id="rId58" Type="http://schemas.openxmlformats.org/officeDocument/2006/relationships/image" Target="media/image25.png"/><Relationship Id="rId59" Type="http://schemas.openxmlformats.org/officeDocument/2006/relationships/image" Target="media/image26.png"/><Relationship Id="rId60" Type="http://schemas.openxmlformats.org/officeDocument/2006/relationships/image" Target="media/image27.png"/><Relationship Id="rId61" Type="http://schemas.openxmlformats.org/officeDocument/2006/relationships/image" Target="media/image28.png"/><Relationship Id="rId62" Type="http://schemas.openxmlformats.org/officeDocument/2006/relationships/image" Target="media/image29.png"/><Relationship Id="rId63" Type="http://schemas.openxmlformats.org/officeDocument/2006/relationships/image" Target="media/image30.png"/><Relationship Id="rId64" Type="http://schemas.openxmlformats.org/officeDocument/2006/relationships/image" Target="media/image31.png"/><Relationship Id="rId65" Type="http://schemas.openxmlformats.org/officeDocument/2006/relationships/image" Target="media/image32.png"/><Relationship Id="rId66" Type="http://schemas.openxmlformats.org/officeDocument/2006/relationships/image" Target="media/image33.png"/><Relationship Id="rId67" Type="http://schemas.openxmlformats.org/officeDocument/2006/relationships/image" Target="media/image34.png"/><Relationship Id="rId68" Type="http://schemas.openxmlformats.org/officeDocument/2006/relationships/image" Target="media/image35.png"/><Relationship Id="rId69" Type="http://schemas.openxmlformats.org/officeDocument/2006/relationships/image" Target="media/image36.png"/><Relationship Id="rId70" Type="http://schemas.openxmlformats.org/officeDocument/2006/relationships/image" Target="media/image37.png"/><Relationship Id="rId71" Type="http://schemas.openxmlformats.org/officeDocument/2006/relationships/image" Target="media/image38.png"/><Relationship Id="rId72" Type="http://schemas.openxmlformats.org/officeDocument/2006/relationships/image" Target="media/image39.png"/><Relationship Id="rId73" Type="http://schemas.openxmlformats.org/officeDocument/2006/relationships/image" Target="media/image40.png"/><Relationship Id="rId74" Type="http://schemas.openxmlformats.org/officeDocument/2006/relationships/image" Target="media/image41.png"/><Relationship Id="rId75" Type="http://schemas.openxmlformats.org/officeDocument/2006/relationships/image" Target="media/image42.png"/><Relationship Id="rId76" Type="http://schemas.openxmlformats.org/officeDocument/2006/relationships/image" Target="media/image43.png"/><Relationship Id="rId77" Type="http://schemas.openxmlformats.org/officeDocument/2006/relationships/image" Target="media/image44.png"/><Relationship Id="rId78" Type="http://schemas.openxmlformats.org/officeDocument/2006/relationships/image" Target="media/image45.png"/><Relationship Id="rId79" Type="http://schemas.openxmlformats.org/officeDocument/2006/relationships/image" Target="media/image46.png"/><Relationship Id="rId80" Type="http://schemas.openxmlformats.org/officeDocument/2006/relationships/image" Target="media/image47.png"/><Relationship Id="rId81" Type="http://schemas.openxmlformats.org/officeDocument/2006/relationships/image" Target="media/image48.png"/><Relationship Id="rId82" Type="http://schemas.openxmlformats.org/officeDocument/2006/relationships/image" Target="media/image49.png"/><Relationship Id="rId83" Type="http://schemas.openxmlformats.org/officeDocument/2006/relationships/image" Target="media/image50.png"/><Relationship Id="rId84" Type="http://schemas.openxmlformats.org/officeDocument/2006/relationships/image" Target="media/image51.png"/><Relationship Id="rId85" Type="http://schemas.openxmlformats.org/officeDocument/2006/relationships/image" Target="media/image52.png"/><Relationship Id="rId86" Type="http://schemas.openxmlformats.org/officeDocument/2006/relationships/image" Target="media/image53.png"/><Relationship Id="rId87" Type="http://schemas.openxmlformats.org/officeDocument/2006/relationships/image" Target="media/image54.png"/><Relationship Id="rId88" Type="http://schemas.openxmlformats.org/officeDocument/2006/relationships/image" Target="media/image55.png"/><Relationship Id="rId89" Type="http://schemas.openxmlformats.org/officeDocument/2006/relationships/image" Target="media/image56.png"/><Relationship Id="rId90" Type="http://schemas.openxmlformats.org/officeDocument/2006/relationships/image" Target="media/image57.png"/><Relationship Id="rId91" Type="http://schemas.openxmlformats.org/officeDocument/2006/relationships/image" Target="media/image58.png"/><Relationship Id="rId92" Type="http://schemas.openxmlformats.org/officeDocument/2006/relationships/image" Target="media/image59.png"/><Relationship Id="rId93" Type="http://schemas.openxmlformats.org/officeDocument/2006/relationships/image" Target="media/image60.png"/><Relationship Id="rId25" Type="http://schemas.openxmlformats.org/officeDocument/2006/relationships/hyperlink" Target="http://www.sec.gov/Archives/edgar/data/1818331/000121390020023383/fs12020a1ex1-1_cmlifesci.htm" TargetMode="External"/><Relationship Id="rId26" Type="http://schemas.openxmlformats.org/officeDocument/2006/relationships/hyperlink" Target="http://www.sec.gov/Archives/edgar/data/1818331/000121390020023383/fs12020a1ex3-1_cmlifesci.htm" TargetMode="External"/><Relationship Id="rId27" Type="http://schemas.openxmlformats.org/officeDocument/2006/relationships/hyperlink" Target="http://www.sec.gov/Archives/edgar/data/1818331/000121390020023383/fs12020a1ex3-2_cmlifesci.htm" TargetMode="External"/><Relationship Id="rId28" Type="http://schemas.openxmlformats.org/officeDocument/2006/relationships/hyperlink" Target="http://www.sec.gov/Archives/edgar/data/1818331/000121390020023383/fs12020a1ex3-3_cmlifesci.htm" TargetMode="External"/><Relationship Id="rId29" Type="http://schemas.openxmlformats.org/officeDocument/2006/relationships/hyperlink" Target="http://www.sec.gov/Archives/edgar/data/1818331/000121390020023383/fs12020a1ex4-1_cmlifesci.htm" TargetMode="External"/><Relationship Id="rId30" Type="http://schemas.openxmlformats.org/officeDocument/2006/relationships/hyperlink" Target="http://www.sec.gov/Archives/edgar/data/1818331/000121390020023383/fs12020a1ex4-2_cmlifesci.htm" TargetMode="External"/><Relationship Id="rId31" Type="http://schemas.openxmlformats.org/officeDocument/2006/relationships/hyperlink" Target="http://www.sec.gov/Archives/edgar/data/1818331/000121390020023383/fs12020a1ex4-3_cmlifesci.htm" TargetMode="External"/><Relationship Id="rId32" Type="http://schemas.openxmlformats.org/officeDocument/2006/relationships/hyperlink" Target="http://www.sec.gov/Archives/edgar/data/1818331/000121390020023383/fs12020a1ex5-1_cmlifesci.htm" TargetMode="External"/><Relationship Id="rId33" Type="http://schemas.openxmlformats.org/officeDocument/2006/relationships/hyperlink" Target="http://www.sec.gov/Archives/edgar/data/1818331/000121390020023383/fs12020a1ex10-1_cmlifesci.htm" TargetMode="External"/><Relationship Id="rId34" Type="http://schemas.openxmlformats.org/officeDocument/2006/relationships/hyperlink" Target="http://www.sec.gov/Archives/edgar/data/1818331/000121390020023383/fs12020a1ex10-2_cmlifesci.htm" TargetMode="External"/><Relationship Id="rId35" Type="http://schemas.openxmlformats.org/officeDocument/2006/relationships/hyperlink" Target="http://www.sec.gov/Archives/edgar/data/1818331/000121390020023383/fs12020a1ex10-3_cmlifesci.htm" TargetMode="External"/><Relationship Id="rId36" Type="http://schemas.openxmlformats.org/officeDocument/2006/relationships/hyperlink" Target="http://www.sec.gov/Archives/edgar/data/1818331/000121390020023383/fs12020a1ex10-4_cmlifesci.htm" TargetMode="External"/><Relationship Id="rId37" Type="http://schemas.openxmlformats.org/officeDocument/2006/relationships/hyperlink" Target="http://www.sec.gov/Archives/edgar/data/1818331/000121390020023383/fs12020a1ex10-5_cmlifesci.htm" TargetMode="External"/><Relationship Id="rId38" Type="http://schemas.openxmlformats.org/officeDocument/2006/relationships/hyperlink" Target="http://www.sec.gov/Archives/edgar/data/1818331/000121390020023383/fs12020a1ex10-6_cmlifesci.htm" TargetMode="External"/><Relationship Id="rId39" Type="http://schemas.openxmlformats.org/officeDocument/2006/relationships/hyperlink" Target="http://www.sec.gov/Archives/edgar/data/1818331/000121390020023383/fs12020a1ex10-7_cmlifesci.htm" TargetMode="External"/><Relationship Id="rId40" Type="http://schemas.openxmlformats.org/officeDocument/2006/relationships/hyperlink" Target="http://www.sec.gov/Archives/edgar/data/1818331/000121390020023383/fs12020a1ex10-8_cmlifesci.htm" TargetMode="External"/><Relationship Id="rId41" Type="http://schemas.openxmlformats.org/officeDocument/2006/relationships/hyperlink" Target="http://www.sec.gov/Archives/edgar/data/1818331/000121390020023383/fs12020a1ex14_cmlifesci.htm" TargetMode="External"/><Relationship Id="rId42" Type="http://schemas.openxmlformats.org/officeDocument/2006/relationships/hyperlink" Target="http://www.sec.gov/Archives/edgar/data/1818331/000121390020023383/fs12020a1ex23-1_cmlifesci.htm" TargetMode="External"/><Relationship Id="rId44" Type="http://schemas.openxmlformats.org/officeDocument/2006/relationships/hyperlink" Target="http://www.sec.gov/Archives/edgar/data/1818331/000121390020023383/fs12020a1_cmlifescience.htm#T301" TargetMode="External"/><Relationship Id="rId45" Type="http://schemas.openxmlformats.org/officeDocument/2006/relationships/hyperlink" Target="http://www.sec.gov/Archives/edgar/data/1818331/000121390020023383/fs12020a1ex99-1_cmlifesci.htm" TargetMode="External"/><Relationship Id="rId46" Type="http://schemas.openxmlformats.org/officeDocument/2006/relationships/hyperlink" Target="http://www.sec.gov/Archives/edgar/data/1818331/000121390020023383/fs12020a1ex99-2_cmlifesci.htm" TargetMode="External"/><Relationship Id="rId47" Type="http://schemas.openxmlformats.org/officeDocument/2006/relationships/hyperlink" Target="http://www.sec.gov/Archives/edgar/data/1818331/000121390020023383/fs12020a1ex99-3_cmlifesci.htm" TargetMode="External"/><Relationship Id="rId48" Type="http://schemas.openxmlformats.org/officeDocument/2006/relationships/hyperlink" Target="http://www.sec.gov/Archives/edgar/data/1818331/000121390020022185/fs12020ex99-4_cmlifesciences.htm" TargetMode="External"/><Relationship Id="rId49" Type="http://schemas.openxmlformats.org/officeDocument/2006/relationships/hyperlink" Target="http://www.sec.gov/Archives/edgar/data/1818331/000121390020023383/fs12020a1ex99-5_cmlifesci.htm" TargetMode="External"/><Relationship Id="rId50" Type="http://schemas.openxmlformats.org/officeDocument/2006/relationships/hyperlink" Target="http://www.sec.gov/Archives/edgar/data/1818331/000121390020023383/fs12020a1ex99-6_cmlifesci.htm" TargetMode="External"/><Relationship Id="rId51" Type="http://schemas.openxmlformats.org/officeDocument/2006/relationships/hyperlink" Target="http://www.sec.gov/Archives/edgar/data/1818331/000121390020023383/fs12020a1ex99-7_cmlifesc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2020-08-27T10:35:46Z</dcterms:created>
  <dcterms:modified xsi:type="dcterms:W3CDTF">2020-08-27T10:35:46Z</dcterms:modified>
</cp:coreProperties>
</file>