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July 29, 2025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3103880</wp:posOffset>
            </wp:positionH>
            <wp:positionV relativeFrom="paragraph">
              <wp:posOffset>59055</wp:posOffset>
            </wp:positionV>
            <wp:extent cx="960120" cy="331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889" w:right="299" w:bottom="1440" w:gutter="0" w:footer="0" w:header="0"/>
        </w:sectPr>
      </w:pPr>
    </w:p>
    <w:p>
      <w:pPr>
        <w:spacing w:after="0" w:line="185"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460" w:space="720"/>
            <w:col w:w="3120"/>
          </w:cols>
          <w:pgMar w:left="300" w:top="889" w:right="29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76" w:lineRule="exact"/>
        <w:rPr>
          <w:sz w:val="24"/>
          <w:szCs w:val="24"/>
          <w:color w:val="auto"/>
        </w:rPr>
      </w:pPr>
    </w:p>
    <w:p>
      <w:pPr>
        <w:sectPr>
          <w:pgSz w:w="11900" w:h="16838" w:orient="portrait"/>
          <w:cols w:equalWidth="0" w:num="2">
            <w:col w:w="6880" w:space="720"/>
            <w:col w:w="3700"/>
          </w:cols>
          <w:pgMar w:left="300" w:top="889" w:right="2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ectPr>
          <w:pgSz w:w="11900" w:h="16838" w:orient="portrait"/>
          <w:cols w:equalWidth="0" w:num="1">
            <w:col w:w="11300"/>
          </w:cols>
          <w:pgMar w:left="300" w:top="889" w:right="299" w:bottom="1440" w:gutter="0" w:footer="0" w:header="0"/>
          <w:type w:val="continuous"/>
        </w:sectPr>
      </w:pP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(888) 729-1206</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207"/>
        </w:trPr>
        <w:tc>
          <w:tcPr>
            <w:tcW w:w="5260" w:type="dxa"/>
            <w:vAlign w:val="bottom"/>
            <w:gridSpan w:val="2"/>
          </w:tcPr>
          <w:p>
            <w:pPr>
              <w:ind w:left="214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0"/>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60" w:type="dxa"/>
            <w:vAlign w:val="bottom"/>
          </w:tcPr>
          <w:p>
            <w:pPr>
              <w:spacing w:after="0"/>
              <w:rPr>
                <w:sz w:val="12"/>
                <w:szCs w:val="12"/>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80" w:type="dxa"/>
            <w:vAlign w:val="bottom"/>
          </w:tcPr>
          <w:p>
            <w:pPr>
              <w:spacing w:after="0"/>
              <w:rPr>
                <w:sz w:val="12"/>
                <w:szCs w:val="12"/>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 share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WGSWW</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60"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42"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9" w:right="29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July 29, 2025, GeneDx Holdings Corp. (the “Company”) issued a press release (the “Press Release”) and will hold a conference call announcing the Company's financial results for the quarter ended June 30, 2025. Copies of the Press Release and Earnings Presentation are furnished as Exhibits 99.1 and 99.2, respectively, to this Current Report on Form 8-K.</w:t>
      </w:r>
    </w:p>
    <w:p>
      <w:pPr>
        <w:spacing w:after="0" w:line="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 w:type="dxa"/>
            <w:vAlign w:val="bottom"/>
            <w:vMerge w:val="restart"/>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380" w:type="dxa"/>
            <w:vAlign w:val="bottom"/>
            <w:vMerge w:val="restart"/>
          </w:tcPr>
          <w:p>
            <w:pPr>
              <w:spacing w:after="0"/>
              <w:rPr>
                <w:sz w:val="13"/>
                <w:szCs w:val="13"/>
                <w:color w:val="auto"/>
              </w:rPr>
            </w:pPr>
          </w:p>
        </w:tc>
        <w:tc>
          <w:tcPr>
            <w:tcW w:w="1000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0"/>
        </w:trPr>
        <w:tc>
          <w:tcPr>
            <w:tcW w:w="36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5"/>
              </w:rPr>
              <w:t>99.1</w:t>
            </w:r>
          </w:p>
        </w:tc>
        <w:tc>
          <w:tcPr>
            <w:tcW w:w="380" w:type="dxa"/>
            <w:vAlign w:val="bottom"/>
          </w:tcPr>
          <w:p>
            <w:pPr>
              <w:spacing w:after="0"/>
              <w:rPr>
                <w:sz w:val="15"/>
                <w:szCs w:val="15"/>
                <w:color w:val="auto"/>
              </w:rPr>
            </w:pPr>
          </w:p>
        </w:tc>
        <w:tc>
          <w:tcPr>
            <w:tcW w:w="5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dated July 29, 2025, regarding the registrant’s results for the quarter ended June 30, 2025</w:t>
            </w: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20" w:type="dxa"/>
            <w:vAlign w:val="bottom"/>
            <w:gridSpan w:val="2"/>
            <w:vMerge w:val="restart"/>
          </w:tcPr>
          <w:p>
            <w:pPr>
              <w:jc w:val="center"/>
              <w:ind w:left="300"/>
              <w:spacing w:after="0"/>
              <w:rPr>
                <w:sz w:val="20"/>
                <w:szCs w:val="20"/>
                <w:color w:val="auto"/>
              </w:rPr>
            </w:pPr>
            <w:r>
              <w:rPr>
                <w:rFonts w:ascii="Times New Roman" w:cs="Times New Roman" w:eastAsia="Times New Roman" w:hAnsi="Times New Roman"/>
                <w:sz w:val="12"/>
                <w:szCs w:val="12"/>
                <w:color w:val="auto"/>
                <w:w w:val="95"/>
              </w:rPr>
              <w:t>99.2</w:t>
            </w:r>
          </w:p>
        </w:tc>
        <w:tc>
          <w:tcPr>
            <w:tcW w:w="380" w:type="dxa"/>
            <w:vAlign w:val="bottom"/>
          </w:tcPr>
          <w:p>
            <w:pPr>
              <w:spacing w:after="0"/>
              <w:rPr>
                <w:sz w:val="19"/>
                <w:szCs w:val="19"/>
                <w:color w:val="auto"/>
              </w:rPr>
            </w:pPr>
          </w:p>
        </w:tc>
        <w:tc>
          <w:tcPr>
            <w:tcW w:w="2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Earnings Presentation, dated July 29, 2025</w:t>
            </w:r>
          </w:p>
        </w:tc>
        <w:tc>
          <w:tcPr>
            <w:tcW w:w="794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92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2060" w:type="dxa"/>
            <w:vAlign w:val="bottom"/>
            <w:gridSpan w:val="2"/>
          </w:tcPr>
          <w:p>
            <w:pPr>
              <w:spacing w:after="0"/>
              <w:rPr>
                <w:sz w:val="3"/>
                <w:szCs w:val="3"/>
                <w:color w:val="auto"/>
              </w:rPr>
            </w:pPr>
          </w:p>
        </w:tc>
        <w:tc>
          <w:tcPr>
            <w:tcW w:w="7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5"/>
        </w:trPr>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7020" w:type="dxa"/>
            <w:vAlign w:val="bottom"/>
            <w:gridSpan w:val="2"/>
          </w:tcPr>
          <w:p>
            <w:pPr>
              <w:ind w:left="184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8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July 29, 2025</w:t>
            </w:r>
          </w:p>
        </w:tc>
        <w:tc>
          <w:tcPr>
            <w:tcW w:w="2680" w:type="dxa"/>
            <w:vAlign w:val="bottom"/>
          </w:tcPr>
          <w:p>
            <w:pPr>
              <w:ind w:left="1840"/>
              <w:spacing w:after="0"/>
              <w:rPr>
                <w:sz w:val="20"/>
                <w:szCs w:val="20"/>
                <w:color w:val="auto"/>
              </w:rPr>
            </w:pPr>
            <w:r>
              <w:rPr>
                <w:rFonts w:ascii="Times New Roman" w:cs="Times New Roman" w:eastAsia="Times New Roman" w:hAnsi="Times New Roman"/>
                <w:sz w:val="12"/>
                <w:szCs w:val="12"/>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5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680" w:type="dxa"/>
            <w:vAlign w:val="bottom"/>
          </w:tcPr>
          <w:p>
            <w:pPr>
              <w:ind w:left="1840"/>
              <w:spacing w:after="0"/>
              <w:rPr>
                <w:sz w:val="20"/>
                <w:szCs w:val="20"/>
                <w:color w:val="auto"/>
              </w:rPr>
            </w:pPr>
            <w:r>
              <w:rPr>
                <w:rFonts w:ascii="Times New Roman" w:cs="Times New Roman" w:eastAsia="Times New Roman" w:hAnsi="Times New Roman"/>
                <w:sz w:val="12"/>
                <w:szCs w:val="12"/>
                <w:color w:val="auto"/>
              </w:rPr>
              <w:t>Name:</w:t>
            </w: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5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80" w:type="dxa"/>
            <w:vAlign w:val="bottom"/>
          </w:tcPr>
          <w:p>
            <w:pPr>
              <w:ind w:left="1840"/>
              <w:spacing w:after="0"/>
              <w:rPr>
                <w:sz w:val="20"/>
                <w:szCs w:val="20"/>
                <w:color w:val="auto"/>
              </w:rPr>
            </w:pPr>
            <w:r>
              <w:rPr>
                <w:rFonts w:ascii="Times New Roman" w:cs="Times New Roman" w:eastAsia="Times New Roman" w:hAnsi="Times New Roman"/>
                <w:sz w:val="12"/>
                <w:szCs w:val="12"/>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380"/>
          </w:cols>
          <w:pgMar w:left="300" w:top="665" w:right="1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81915</wp:posOffset>
            </wp:positionV>
            <wp:extent cx="960120" cy="331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Reports Second Quarter 2025 Financial Results and Business Highlights</w:t>
      </w:r>
    </w:p>
    <w:p>
      <w:pPr>
        <w:spacing w:after="0" w:line="11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Reported second quarter 2025 revenues of $102.7 million with 69% year-over-year growth of exome and genome test revenue</w:t>
      </w:r>
    </w:p>
    <w:p>
      <w:pPr>
        <w:spacing w:after="0" w:line="112"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Expanded adjusted gross margin to 71% and generated adjusted net income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of $15.0 million for the second quarter 2025</w:t>
      </w:r>
    </w:p>
    <w:p>
      <w:pPr>
        <w:spacing w:after="0" w:line="81"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Raised guidance to deliver between $400 and $415 million in revenue with between 48% to 52% full year growth in exome and genome revenue</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Announced American Academy of Pediatrics (AAP) now recommends pediatricians use exome and genome testing as first-line for children with global developmental delay or intellectual disability</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Hosting conference call today at 8:30 a.m. ET</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GAITHERSBURG, Md., July 29, 2025 — </w:t>
      </w:r>
      <w:r>
        <w:rPr>
          <w:rFonts w:ascii="Times New Roman" w:cs="Times New Roman" w:eastAsia="Times New Roman" w:hAnsi="Times New Roman"/>
          <w:sz w:val="12"/>
          <w:szCs w:val="12"/>
          <w:color w:val="auto"/>
        </w:rPr>
        <w:t>GeneDx Holdings Corp. (Nasdaq: WGS), a leader in delivering improved health outcomes through genomic insights, today reported its financial results for the second quarter of 2025.</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“Crossing the $100 million revenue mark and delivering our fourth consecutive profitable quarter is a major milestone for GeneDx, putting us on a path for more growth at scale and enabling us to reach more patients while reducing unnecessary spend across the global healthcare system,” said Katherine Stueland, CEO of GeneDx. “Our strong second quarter performance was driven by our core business, underscoring its strength and resilience. These results, coupled with the ever-expanding opportunities ahead, including general pediatrics, demonstrate that we’re just beginning to deliver on the promise of how our technology can fundamentally change the way genomics can inform healthcare, shifting from reactive to proactive care.”</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Second Quarter 2025 Financial Results (Unaudited)</w:t>
      </w:r>
      <w:r>
        <w:rPr>
          <w:rFonts w:ascii="Times New Roman" w:cs="Times New Roman" w:eastAsia="Times New Roman" w:hAnsi="Times New Roman"/>
          <w:sz w:val="15"/>
          <w:szCs w:val="15"/>
          <w:b w:val="1"/>
          <w:bCs w:val="1"/>
          <w:color w:val="auto"/>
          <w:vertAlign w:val="superscript"/>
        </w:rPr>
        <w:t>1,2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18" w:lineRule="exact"/>
        <w:rPr>
          <w:sz w:val="20"/>
          <w:szCs w:val="20"/>
          <w:color w:val="auto"/>
        </w:rPr>
      </w:pPr>
    </w:p>
    <w:p>
      <w:pPr>
        <w:ind w:left="200" w:hanging="100"/>
        <w:spacing w:after="0"/>
        <w:tabs>
          <w:tab w:leader="none" w:pos="2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grew to $102.7 million, an increase of 49% year-over-year.</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revenue grew to $85.9 million, an increase of 69% year-over-year.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Exome and genome volume</w:t>
      </w:r>
    </w:p>
    <w:p>
      <w:pPr>
        <w:spacing w:after="0" w:line="118" w:lineRule="exact"/>
        <w:rPr>
          <w:sz w:val="20"/>
          <w:szCs w:val="20"/>
          <w:color w:val="auto"/>
        </w:rPr>
      </w:pPr>
    </w:p>
    <w:p>
      <w:pPr>
        <w:ind w:left="200" w:hanging="100"/>
        <w:spacing w:after="0"/>
        <w:tabs>
          <w:tab w:leader="none" w:pos="2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results volume grew to 23,102, an increase of 28% year-over-year.</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represented 41% of all tests, up from 31% in the second quarter of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Gross margin</w:t>
      </w:r>
    </w:p>
    <w:p>
      <w:pPr>
        <w:spacing w:after="0" w:line="118" w:lineRule="exact"/>
        <w:rPr>
          <w:sz w:val="20"/>
          <w:szCs w:val="20"/>
          <w:color w:val="auto"/>
        </w:rPr>
      </w:pPr>
    </w:p>
    <w:p>
      <w:pPr>
        <w:ind w:left="200" w:hanging="100"/>
        <w:spacing w:after="0"/>
        <w:tabs>
          <w:tab w:leader="none" w:pos="2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expanded to 71%, up from 62% in the second quarter of 2024.</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gross margin was 69%.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18" w:lineRule="exact"/>
        <w:rPr>
          <w:sz w:val="20"/>
          <w:szCs w:val="20"/>
          <w:color w:val="auto"/>
        </w:rPr>
      </w:pPr>
    </w:p>
    <w:p>
      <w:pPr>
        <w:ind w:left="200" w:hanging="100"/>
        <w:spacing w:after="0"/>
        <w:tabs>
          <w:tab w:leader="none" w:pos="2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total operating expenses were $57.8 million, representing 56% of revenue in the second quarter of 2025, compared to 65% of revenue in the second quarter of 2024.</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GAAP operating expenses were $61.9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w:t>
      </w:r>
    </w:p>
    <w:p>
      <w:pPr>
        <w:spacing w:after="0" w:line="118" w:lineRule="exact"/>
        <w:rPr>
          <w:sz w:val="20"/>
          <w:szCs w:val="20"/>
          <w:color w:val="auto"/>
        </w:rPr>
      </w:pPr>
    </w:p>
    <w:p>
      <w:pPr>
        <w:ind w:left="200" w:hanging="100"/>
        <w:spacing w:after="0"/>
        <w:tabs>
          <w:tab w:leader="none" w:pos="2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was $15.0 million compared to an adjusted net loss of $2.0 million in the second quarter of 2024.</w:t>
      </w:r>
    </w:p>
    <w:p>
      <w:pPr>
        <w:spacing w:after="0" w:line="1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income was $10.8 million.</w:t>
      </w:r>
    </w:p>
    <w:p>
      <w:pPr>
        <w:sectPr>
          <w:pgSz w:w="11900" w:h="16838" w:orient="portrait"/>
          <w:cols w:equalWidth="0" w:num="1">
            <w:col w:w="11300"/>
          </w:cols>
          <w:pgMar w:left="300" w:top="125"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i w:val="1"/>
          <w:iCs w:val="1"/>
          <w:color w:val="auto"/>
        </w:rPr>
        <w:t>Cash position</w:t>
      </w:r>
    </w:p>
    <w:p>
      <w:pPr>
        <w:spacing w:after="0" w:line="118" w:lineRule="exact"/>
        <w:rPr>
          <w:sz w:val="20"/>
          <w:szCs w:val="20"/>
          <w:color w:val="auto"/>
        </w:rPr>
      </w:pPr>
    </w:p>
    <w:p>
      <w:pPr>
        <w:ind w:left="200" w:hanging="100"/>
        <w:spacing w:after="0"/>
        <w:tabs>
          <w:tab w:leader="none" w:pos="2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marketable securities and restricted cash was $135.5 million as of June 30, 2025.</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flow for the second quarter 2025 primarily included:</w:t>
      </w:r>
    </w:p>
    <w:p>
      <w:pPr>
        <w:spacing w:after="0" w:line="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$33.2 million used to acquire Fabric Genomics, net of cash acquired, partially offset by;</w:t>
      </w:r>
    </w:p>
    <w:p>
      <w:pPr>
        <w:spacing w:after="0" w:line="6" w:lineRule="exact"/>
        <w:rPr>
          <w:rFonts w:ascii="Times New Roman" w:cs="Times New Roman" w:eastAsia="Times New Roman" w:hAnsi="Times New Roman"/>
          <w:sz w:val="12"/>
          <w:szCs w:val="12"/>
          <w:color w:val="auto"/>
        </w:rPr>
      </w:pPr>
    </w:p>
    <w:p>
      <w:pPr>
        <w:ind w:left="420" w:hanging="104"/>
        <w:spacing w:after="0"/>
        <w:tabs>
          <w:tab w:leader="none" w:pos="420"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$10.4 million in cash generated from operations.</w:t>
      </w:r>
    </w:p>
    <w:p>
      <w:pPr>
        <w:spacing w:after="0" w:line="154" w:lineRule="exact"/>
        <w:rPr>
          <w:sz w:val="20"/>
          <w:szCs w:val="20"/>
          <w:color w:val="auto"/>
        </w:rPr>
      </w:pPr>
    </w:p>
    <w:p>
      <w:pPr>
        <w:ind w:left="200" w:hanging="100"/>
        <w:spacing w:after="0"/>
        <w:tabs>
          <w:tab w:leader="none" w:pos="20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Revenue and adjusted gross margin growth rates exclude revenue and costs of sales from the exited Legacy Sema4 diagnostic testing business.</w:t>
      </w:r>
    </w:p>
    <w:p>
      <w:pPr>
        <w:spacing w:after="0" w:line="38" w:lineRule="exact"/>
        <w:rPr>
          <w:rFonts w:ascii="Times New Roman" w:cs="Times New Roman" w:eastAsia="Times New Roman" w:hAnsi="Times New Roman"/>
          <w:sz w:val="10"/>
          <w:szCs w:val="10"/>
          <w:color w:val="auto"/>
        </w:rPr>
      </w:pPr>
    </w:p>
    <w:p>
      <w:pPr>
        <w:ind w:left="200" w:hanging="100"/>
        <w:spacing w:after="0"/>
        <w:tabs>
          <w:tab w:leader="none" w:pos="20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Adjusted gross margin, adjusted total operating expenses and adjusted net income/(loss) are non-GAAP financial measures. See appendix for a reconciliation of GAAP to non-GAAP figures presented.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GeneDx Full Year 2025 Guidance</w:t>
            </w:r>
          </w:p>
        </w:tc>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tcPr>
          <w:p>
            <w:pPr>
              <w:spacing w:after="0"/>
              <w:rPr>
                <w:sz w:val="13"/>
                <w:szCs w:val="13"/>
                <w:color w:val="auto"/>
              </w:rPr>
            </w:pPr>
          </w:p>
        </w:tc>
      </w:tr>
      <w:tr>
        <w:trPr>
          <w:trHeight w:val="252"/>
        </w:trPr>
        <w:tc>
          <w:tcPr>
            <w:tcW w:w="4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GeneDx has raised certain elements of its full year 2025 guidance and expects to deliver:</w:t>
            </w:r>
          </w:p>
        </w:tc>
        <w:tc>
          <w:tcPr>
            <w:tcW w:w="2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tcPr>
          <w:p>
            <w:pPr>
              <w:spacing w:after="0"/>
              <w:rPr>
                <w:sz w:val="21"/>
                <w:szCs w:val="21"/>
                <w:color w:val="auto"/>
              </w:rPr>
            </w:pPr>
          </w:p>
        </w:tc>
      </w:tr>
      <w:tr>
        <w:trPr>
          <w:trHeight w:val="297"/>
        </w:trPr>
        <w:tc>
          <w:tcPr>
            <w:tcW w:w="360" w:type="dxa"/>
            <w:vAlign w:val="bottom"/>
          </w:tcPr>
          <w:p>
            <w:pPr>
              <w:spacing w:after="0"/>
              <w:rPr>
                <w:sz w:val="24"/>
                <w:szCs w:val="24"/>
                <w:color w:val="auto"/>
              </w:rPr>
            </w:pPr>
          </w:p>
        </w:tc>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Metric</w:t>
            </w:r>
          </w:p>
        </w:tc>
        <w:tc>
          <w:tcPr>
            <w:tcW w:w="5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Previous Guidance</w:t>
            </w:r>
          </w:p>
        </w:tc>
        <w:tc>
          <w:tcPr>
            <w:tcW w:w="80" w:type="dxa"/>
            <w:vAlign w:val="bottom"/>
            <w:tcBorders>
              <w:bottom w:val="single" w:sz="8" w:color="CCEEFF"/>
            </w:tcBorders>
          </w:tcPr>
          <w:p>
            <w:pPr>
              <w:spacing w:after="0"/>
              <w:rPr>
                <w:sz w:val="24"/>
                <w:szCs w:val="24"/>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Updated Guidance</w:t>
            </w:r>
          </w:p>
        </w:tc>
      </w:tr>
      <w:tr>
        <w:trPr>
          <w:trHeight w:val="178"/>
        </w:trPr>
        <w:tc>
          <w:tcPr>
            <w:tcW w:w="360" w:type="dxa"/>
            <w:vAlign w:val="bottom"/>
          </w:tcPr>
          <w:p>
            <w:pPr>
              <w:spacing w:after="0"/>
              <w:rPr>
                <w:sz w:val="15"/>
                <w:szCs w:val="15"/>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298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2"/>
                <w:szCs w:val="12"/>
                <w:color w:val="auto"/>
                <w:w w:val="98"/>
              </w:rPr>
              <w:t>$360 to $375 million</w:t>
            </w: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$400 to $415 million</w:t>
            </w:r>
          </w:p>
        </w:tc>
      </w:tr>
      <w:tr>
        <w:trPr>
          <w:trHeight w:val="171"/>
        </w:trPr>
        <w:tc>
          <w:tcPr>
            <w:tcW w:w="360" w:type="dxa"/>
            <w:vAlign w:val="bottom"/>
          </w:tcPr>
          <w:p>
            <w:pPr>
              <w:spacing w:after="0"/>
              <w:rPr>
                <w:sz w:val="14"/>
                <w:szCs w:val="14"/>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Growth in exome and genome revenue</w:t>
            </w:r>
          </w:p>
        </w:tc>
        <w:tc>
          <w:tcPr>
            <w:tcW w:w="29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30%</w:t>
            </w:r>
          </w:p>
        </w:tc>
        <w:tc>
          <w:tcPr>
            <w:tcW w:w="80" w:type="dxa"/>
            <w:vAlign w:val="bottom"/>
          </w:tcPr>
          <w:p>
            <w:pPr>
              <w:spacing w:after="0"/>
              <w:rPr>
                <w:sz w:val="14"/>
                <w:szCs w:val="1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48% to 52%</w:t>
            </w:r>
          </w:p>
        </w:tc>
      </w:tr>
      <w:tr>
        <w:trPr>
          <w:trHeight w:val="189"/>
        </w:trPr>
        <w:tc>
          <w:tcPr>
            <w:tcW w:w="360" w:type="dxa"/>
            <w:vAlign w:val="bottom"/>
          </w:tcPr>
          <w:p>
            <w:pPr>
              <w:spacing w:after="0"/>
              <w:rPr>
                <w:sz w:val="16"/>
                <w:szCs w:val="16"/>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Growth in exome and genome volume</w:t>
            </w:r>
          </w:p>
        </w:tc>
        <w:tc>
          <w:tcPr>
            <w:tcW w:w="2900" w:type="dxa"/>
            <w:vAlign w:val="bottom"/>
            <w:shd w:val="clear" w:color="auto" w:fill="CCEEFF"/>
          </w:tcPr>
          <w:p>
            <w:pPr>
              <w:jc w:val="center"/>
              <w:ind w:right="420"/>
              <w:spacing w:after="0"/>
              <w:rPr>
                <w:sz w:val="20"/>
                <w:szCs w:val="20"/>
                <w:color w:val="auto"/>
              </w:rPr>
            </w:pPr>
            <w:r>
              <w:rPr>
                <w:rFonts w:ascii="Times New Roman" w:cs="Times New Roman" w:eastAsia="Times New Roman" w:hAnsi="Times New Roman"/>
                <w:sz w:val="12"/>
                <w:szCs w:val="12"/>
                <w:color w:val="auto"/>
                <w:w w:val="99"/>
              </w:rPr>
              <w:t>30%</w:t>
            </w:r>
          </w:p>
        </w:tc>
        <w:tc>
          <w:tcPr>
            <w:tcW w:w="80" w:type="dxa"/>
            <w:vAlign w:val="bottom"/>
            <w:shd w:val="clear" w:color="auto" w:fill="CCEEFF"/>
          </w:tcPr>
          <w:p>
            <w:pPr>
              <w:spacing w:after="0"/>
              <w:rPr>
                <w:sz w:val="16"/>
                <w:szCs w:val="16"/>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30%</w:t>
            </w:r>
          </w:p>
        </w:tc>
      </w:tr>
      <w:tr>
        <w:trPr>
          <w:trHeight w:val="171"/>
        </w:trPr>
        <w:tc>
          <w:tcPr>
            <w:tcW w:w="360" w:type="dxa"/>
            <w:vAlign w:val="bottom"/>
          </w:tcPr>
          <w:p>
            <w:pPr>
              <w:spacing w:after="0"/>
              <w:rPr>
                <w:sz w:val="14"/>
                <w:szCs w:val="14"/>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Adjusted gross margin</w:t>
            </w:r>
          </w:p>
        </w:tc>
        <w:tc>
          <w:tcPr>
            <w:tcW w:w="298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color w:val="auto"/>
              </w:rPr>
              <w:t>66% to 68%</w:t>
            </w:r>
          </w:p>
        </w:tc>
        <w:tc>
          <w:tcPr>
            <w:tcW w:w="3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68% to 71%</w:t>
            </w:r>
          </w:p>
        </w:tc>
      </w:tr>
      <w:tr>
        <w:trPr>
          <w:trHeight w:val="189"/>
        </w:trPr>
        <w:tc>
          <w:tcPr>
            <w:tcW w:w="360" w:type="dxa"/>
            <w:vAlign w:val="bottom"/>
          </w:tcPr>
          <w:p>
            <w:pPr>
              <w:spacing w:after="0"/>
              <w:rPr>
                <w:sz w:val="16"/>
                <w:szCs w:val="16"/>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Adjusted net income</w:t>
            </w:r>
          </w:p>
        </w:tc>
        <w:tc>
          <w:tcPr>
            <w:tcW w:w="298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2"/>
                <w:szCs w:val="12"/>
                <w:color w:val="auto"/>
                <w:w w:val="99"/>
              </w:rPr>
              <w:t>Positive each quarter and for full year</w:t>
            </w: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Positive each quarter and for full year</w:t>
            </w:r>
          </w:p>
        </w:tc>
      </w:tr>
      <w:tr>
        <w:trPr>
          <w:trHeight w:val="576"/>
        </w:trPr>
        <w:tc>
          <w:tcPr>
            <w:tcW w:w="45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Second Quarter 2025 and Recent Business Highlights</w:t>
            </w: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2"/>
        </w:trPr>
        <w:tc>
          <w:tcPr>
            <w:tcW w:w="454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Strategic Expansion and Market Access</w:t>
            </w:r>
          </w:p>
        </w:tc>
        <w:tc>
          <w:tcPr>
            <w:tcW w:w="2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tcPr>
          <w:p>
            <w:pPr>
              <w:spacing w:after="0"/>
              <w:rPr>
                <w:sz w:val="21"/>
                <w:szCs w:val="21"/>
                <w:color w:val="auto"/>
              </w:rPr>
            </w:pPr>
          </w:p>
        </w:tc>
      </w:tr>
    </w:tbl>
    <w:p>
      <w:pPr>
        <w:spacing w:after="0" w:line="97" w:lineRule="exact"/>
        <w:rPr>
          <w:sz w:val="20"/>
          <w:szCs w:val="20"/>
          <w:color w:val="auto"/>
        </w:rPr>
      </w:pPr>
    </w:p>
    <w:p>
      <w:pPr>
        <w:ind w:left="200" w:hanging="100"/>
        <w:spacing w:after="0" w:line="259" w:lineRule="auto"/>
        <w:tabs>
          <w:tab w:leader="none" w:pos="19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that the American Academy of Pediatrics now recommends exome and genome sequencing as first-tier tests for children with global developmental delay or intellectual disability, positioning pediatricians to offer exome and genome testing to their patients.</w:t>
      </w:r>
    </w:p>
    <w:p>
      <w:pPr>
        <w:spacing w:after="0" w:line="1"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commercial focus to include calling on providers treating children with inborn errors of immunity (IEI), a group of nearly 500 genetic disorders that impair immune function.</w:t>
      </w:r>
    </w:p>
    <w:p>
      <w:pPr>
        <w:spacing w:after="0" w:line="6" w:lineRule="exact"/>
        <w:rPr>
          <w:rFonts w:ascii="Times New Roman" w:cs="Times New Roman" w:eastAsia="Times New Roman" w:hAnsi="Times New Roman"/>
          <w:sz w:val="12"/>
          <w:szCs w:val="12"/>
          <w:color w:val="auto"/>
        </w:rPr>
      </w:pPr>
    </w:p>
    <w:p>
      <w:pPr>
        <w:ind w:left="200" w:hanging="100"/>
        <w:spacing w:after="0" w:line="260" w:lineRule="auto"/>
        <w:tabs>
          <w:tab w:leader="none" w:pos="19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Accelerated adoption of exome and genome sequencing coverage by state Medicaid programs, bringing the total states covering exome or genome sequencing in the pediatric outpatient setting to 35 with the recent addition of Colorado and Maine, and the total states covering rapid genome sequencing in the neonatal intensive care unit (NICU) to 17 with the recent addition of Virginia, Ohio, and Oklahoma.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Innovation &amp; Clinical Leadership</w:t>
      </w:r>
    </w:p>
    <w:p>
      <w:pPr>
        <w:spacing w:after="0" w:line="116" w:lineRule="exact"/>
        <w:rPr>
          <w:sz w:val="20"/>
          <w:szCs w:val="20"/>
          <w:color w:val="auto"/>
        </w:rPr>
      </w:pPr>
    </w:p>
    <w:p>
      <w:pPr>
        <w:ind w:left="200" w:hanging="100"/>
        <w:spacing w:after="0"/>
        <w:tabs>
          <w:tab w:leader="none" w:pos="2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Acquired Fabric Genomics, enabling a hybrid centralized and decentralized model for delivering genomic insights globally.</w:t>
      </w:r>
    </w:p>
    <w:p>
      <w:pPr>
        <w:spacing w:after="0" w:line="1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Published SeqFirst study in the </w:t>
      </w:r>
      <w:r>
        <w:rPr>
          <w:rFonts w:ascii="Times New Roman" w:cs="Times New Roman" w:eastAsia="Times New Roman" w:hAnsi="Times New Roman"/>
          <w:sz w:val="12"/>
          <w:szCs w:val="12"/>
          <w:i w:val="1"/>
          <w:iCs w:val="1"/>
          <w:color w:val="auto"/>
        </w:rPr>
        <w:t>Journal of Pediatrics</w:t>
      </w:r>
      <w:r>
        <w:rPr>
          <w:rFonts w:ascii="Times New Roman" w:cs="Times New Roman" w:eastAsia="Times New Roman" w:hAnsi="Times New Roman"/>
          <w:sz w:val="12"/>
          <w:szCs w:val="12"/>
          <w:color w:val="auto"/>
        </w:rPr>
        <w:t>, showing rapid genomic testing reduced time to diagnosis from about 10 months to 13 days.</w:t>
      </w:r>
    </w:p>
    <w:p>
      <w:pPr>
        <w:spacing w:after="0" w:line="6" w:lineRule="exact"/>
        <w:rPr>
          <w:rFonts w:ascii="Times New Roman" w:cs="Times New Roman" w:eastAsia="Times New Roman" w:hAnsi="Times New Roman"/>
          <w:sz w:val="12"/>
          <w:szCs w:val="12"/>
          <w:color w:val="auto"/>
        </w:rPr>
      </w:pPr>
    </w:p>
    <w:p>
      <w:pPr>
        <w:ind w:left="200" w:hanging="100"/>
        <w:spacing w:after="0"/>
        <w:tabs>
          <w:tab w:leader="none" w:pos="2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Published data in the </w:t>
      </w:r>
      <w:r>
        <w:rPr>
          <w:rFonts w:ascii="Times New Roman" w:cs="Times New Roman" w:eastAsia="Times New Roman" w:hAnsi="Times New Roman"/>
          <w:sz w:val="12"/>
          <w:szCs w:val="12"/>
          <w:i w:val="1"/>
          <w:iCs w:val="1"/>
          <w:color w:val="auto"/>
        </w:rPr>
        <w:t>American Journal of Medical Genetics</w:t>
      </w:r>
      <w:r>
        <w:rPr>
          <w:rFonts w:ascii="Times New Roman" w:cs="Times New Roman" w:eastAsia="Times New Roman" w:hAnsi="Times New Roman"/>
          <w:sz w:val="12"/>
          <w:szCs w:val="12"/>
          <w:color w:val="auto"/>
        </w:rPr>
        <w:t xml:space="preserve"> underscoring GeneDx’s leadership in leveraging artificial intelligence (AI) to increase diagnostic yield and improve healthcare for patients with genetic conditions.</w:t>
      </w:r>
    </w:p>
    <w:p>
      <w:pPr>
        <w:sectPr>
          <w:pgSz w:w="11900" w:h="16838" w:orient="portrait"/>
          <w:cols w:equalWidth="0" w:num="1">
            <w:col w:w="11300"/>
          </w:cols>
          <w:pgMar w:left="300" w:top="773"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Webcast and Conference Call Details</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GeneDx will host a conference call today, July 29, 2025, at 8:30 a.m. Eastern Time. Investors interested in listening to the conference call are required to register online. A live and archived webcast of the event will be available on the “Events” section of the GeneDx investor relations website at https://ir.genedx.com/.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press release contains certain forward-looking statements within the meaning of the federal securities laws, including statements regarding our future performance, future operations, plans, objectives of management, and our market opportunity, including our expected full year 2025 reported revenue, volume, adjusted gross margin and adjusted net income.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and (v) our ability to utilize our artificial intelligence tools that we use in our clinical interpretation platform. The foregoing list of factors is not exhaustive. You should carefully consider the foregoing factors and the other risks and uncertainties described in the “Risk Factors” sections of our Annual Report on Form 10-K for the fiscal year ended December 31, 2024, filed with the U.S. Securities and Exchange Commission (the “SEC”) on February 20, 2025, and our Quarterly Reports on Form 10-Q for the quarters ended March 31, 2025 and June 30, 2025, filed with the SEC on April 30, 2025 and July 29, 2025, respectively,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GeneDx</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At GeneDx (Nasdaq: WGS),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For more information, please visit genedx.com and connect with us on LinkedIn, Facebook, and Instagram.</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Investors@GeneDx.com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Press@GeneDx.com</w:t>
      </w:r>
    </w:p>
    <w:p>
      <w:pPr>
        <w:sectPr>
          <w:pgSz w:w="11900" w:h="16838" w:orient="portrait"/>
          <w:cols w:equalWidth="0" w:num="1">
            <w:col w:w="11300"/>
          </w:cols>
          <w:pgMar w:left="300" w:top="773" w:right="299" w:bottom="1440" w:gutter="0" w:footer="0" w:header="0"/>
        </w:sectPr>
      </w:pPr>
    </w:p>
    <w:bookmarkStart w:id="6" w:name="page7"/>
    <w:bookmarkEnd w:id="6"/>
    <w:tbl>
      <w:tblPr>
        <w:tblLayout w:type="fixed"/>
        <w:tblInd w:w="8" w:type="dxa"/>
        <w:tblCellMar>
          <w:top w:w="0" w:type="dxa"/>
          <w:left w:w="0" w:type="dxa"/>
          <w:bottom w:w="0" w:type="dxa"/>
          <w:right w:w="0" w:type="dxa"/>
        </w:tblCellMar>
      </w:tblPr>
      <w:tr>
        <w:trPr>
          <w:trHeight w:val="206"/>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Volume &amp; Revenue </w:t>
            </w:r>
            <w:r>
              <w:rPr>
                <w:rFonts w:ascii="Times New Roman" w:cs="Times New Roman" w:eastAsia="Times New Roman" w:hAnsi="Times New Roman"/>
                <w:sz w:val="15"/>
                <w:szCs w:val="15"/>
                <w:b w:val="1"/>
                <w:bCs w:val="1"/>
                <w:color w:val="auto"/>
                <w:vertAlign w:val="superscript"/>
              </w:rPr>
              <w:t>1</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50"/>
        </w:trPr>
        <w:tc>
          <w:tcPr>
            <w:tcW w:w="394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2Q25</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1Q25</w:t>
            </w:r>
          </w:p>
        </w:tc>
        <w:tc>
          <w:tcPr>
            <w:tcW w:w="320" w:type="dxa"/>
            <w:vAlign w:val="bottom"/>
          </w:tcPr>
          <w:p>
            <w:pPr>
              <w:spacing w:after="0"/>
              <w:rPr>
                <w:sz w:val="24"/>
                <w:szCs w:val="24"/>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4Q24</w:t>
            </w:r>
          </w:p>
        </w:tc>
        <w:tc>
          <w:tcPr>
            <w:tcW w:w="320" w:type="dxa"/>
            <w:vAlign w:val="bottom"/>
          </w:tcPr>
          <w:p>
            <w:pPr>
              <w:spacing w:after="0"/>
              <w:rPr>
                <w:sz w:val="24"/>
                <w:szCs w:val="24"/>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3Q24</w:t>
            </w:r>
          </w:p>
        </w:tc>
        <w:tc>
          <w:tcPr>
            <w:tcW w:w="320" w:type="dxa"/>
            <w:vAlign w:val="bottom"/>
          </w:tcPr>
          <w:p>
            <w:pPr>
              <w:spacing w:after="0"/>
              <w:rPr>
                <w:sz w:val="24"/>
                <w:szCs w:val="24"/>
                <w:color w:val="auto"/>
              </w:rPr>
            </w:pPr>
          </w:p>
        </w:tc>
        <w:tc>
          <w:tcPr>
            <w:tcW w:w="110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2Q24</w:t>
            </w:r>
          </w:p>
        </w:tc>
      </w:tr>
      <w:tr>
        <w:trPr>
          <w:trHeight w:val="16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Volumes</w:t>
            </w:r>
          </w:p>
        </w:tc>
        <w:tc>
          <w:tcPr>
            <w:tcW w:w="9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23,102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20,562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20,676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19,262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18,017</w:t>
            </w:r>
          </w:p>
        </w:tc>
      </w:tr>
      <w:tr>
        <w:trPr>
          <w:trHeight w:val="18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2,677</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4,672</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5,482</w:t>
            </w:r>
          </w:p>
        </w:tc>
      </w:tr>
      <w:tr>
        <w:trPr>
          <w:trHeight w:val="171"/>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29,894</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28,228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30,115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35,095</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34,204</w:t>
            </w:r>
          </w:p>
        </w:tc>
      </w:tr>
      <w:tr>
        <w:trPr>
          <w:trHeight w:val="194"/>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9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55,673</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51,515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54,277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59,029</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57,703</w:t>
            </w:r>
          </w:p>
        </w:tc>
      </w:tr>
      <w:tr>
        <w:trPr>
          <w:trHeight w:val="153"/>
        </w:trPr>
        <w:tc>
          <w:tcPr>
            <w:tcW w:w="3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 ($ millions)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Whole exome, whole genome</w:t>
            </w: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85.9</w:t>
            </w:r>
          </w:p>
        </w:tc>
        <w:tc>
          <w:tcPr>
            <w:tcW w:w="6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c>
          <w:tcPr>
            <w:tcW w:w="80" w:type="dxa"/>
            <w:vAlign w:val="bottom"/>
          </w:tcPr>
          <w:p>
            <w:pPr>
              <w:spacing w:after="0"/>
              <w:rPr>
                <w:sz w:val="14"/>
                <w:szCs w:val="14"/>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8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6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w:t>
            </w:r>
          </w:p>
        </w:tc>
      </w:tr>
      <w:tr>
        <w:trPr>
          <w:trHeight w:val="18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Hereditary cancer</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Other panels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r>
      <w:tr>
        <w:trPr>
          <w:trHeight w:val="18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 information</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Fabric Genomics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4"/>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96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r>
    </w:tbl>
    <w:p>
      <w:pPr>
        <w:spacing w:after="0" w:line="157" w:lineRule="exact"/>
        <w:rPr>
          <w:sz w:val="20"/>
          <w:szCs w:val="20"/>
          <w:color w:val="auto"/>
        </w:rPr>
      </w:pPr>
    </w:p>
    <w:p>
      <w:pPr>
        <w:ind w:left="208" w:hanging="208"/>
        <w:spacing w:after="0"/>
        <w:tabs>
          <w:tab w:leader="none" w:pos="20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Excludes volume and revenue from the exited Legacy Sema4 diagnostic testing business.</w:t>
      </w:r>
    </w:p>
    <w:p>
      <w:pPr>
        <w:spacing w:after="0" w:line="2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Unaudited Select Financial Information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24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2025</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2024</w:t>
            </w:r>
          </w:p>
        </w:tc>
        <w:tc>
          <w:tcPr>
            <w:tcW w:w="1100" w:type="dxa"/>
            <w:vAlign w:val="bottom"/>
            <w:tcBorders>
              <w:bottom w:val="single" w:sz="8" w:color="auto"/>
            </w:tcBorders>
          </w:tcPr>
          <w:p>
            <w:pPr>
              <w:spacing w:after="0"/>
              <w:rPr>
                <w:sz w:val="14"/>
                <w:szCs w:val="14"/>
                <w:color w:val="auto"/>
              </w:rPr>
            </w:pPr>
          </w:p>
        </w:tc>
      </w:tr>
      <w:tr>
        <w:trPr>
          <w:trHeight w:val="178"/>
        </w:trPr>
        <w:tc>
          <w:tcPr>
            <w:tcW w:w="24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Other</w:t>
            </w:r>
            <w:r>
              <w:rPr>
                <w:rFonts w:ascii="Times New Roman" w:cs="Times New Roman" w:eastAsia="Times New Roman" w:hAnsi="Times New Roman"/>
                <w:sz w:val="15"/>
                <w:szCs w:val="15"/>
                <w:b w:val="1"/>
                <w:bCs w:val="1"/>
                <w:color w:val="auto"/>
                <w:w w:val="95"/>
                <w:vertAlign w:val="superscript"/>
              </w:rPr>
              <w:t>1</w:t>
            </w: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GeneDx</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Other</w:t>
            </w:r>
            <w:r>
              <w:rPr>
                <w:rFonts w:ascii="Times New Roman" w:cs="Times New Roman" w:eastAsia="Times New Roman" w:hAnsi="Times New Roman"/>
                <w:sz w:val="15"/>
                <w:szCs w:val="15"/>
                <w:b w:val="1"/>
                <w:bCs w:val="1"/>
                <w:color w:val="auto"/>
                <w:w w:val="95"/>
                <w:vertAlign w:val="superscript"/>
              </w:rPr>
              <w:t>1</w:t>
            </w: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11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rPr>
              <w:t>$101,784</w:t>
            </w:r>
          </w:p>
        </w:tc>
        <w:tc>
          <w:tcPr>
            <w:tcW w:w="1780" w:type="dxa"/>
            <w:vAlign w:val="bottom"/>
            <w:gridSpan w:val="3"/>
            <w:shd w:val="clear" w:color="auto" w:fill="CCEEFF"/>
          </w:tcPr>
          <w:p>
            <w:pPr>
              <w:jc w:val="center"/>
              <w:ind w:left="280"/>
              <w:spacing w:after="0"/>
              <w:rPr>
                <w:sz w:val="20"/>
                <w:szCs w:val="20"/>
                <w:color w:val="auto"/>
              </w:rPr>
            </w:pPr>
            <w:r>
              <w:rPr>
                <w:rFonts w:ascii="Times New Roman" w:cs="Times New Roman" w:eastAsia="Times New Roman" w:hAnsi="Times New Roman"/>
                <w:sz w:val="12"/>
                <w:szCs w:val="12"/>
                <w:color w:val="auto"/>
                <w:w w:val="99"/>
              </w:rPr>
              <w:t>$908</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$102,692</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rPr>
              <w:t>$68,924</w:t>
            </w:r>
          </w:p>
        </w:tc>
        <w:tc>
          <w:tcPr>
            <w:tcW w:w="1800" w:type="dxa"/>
            <w:vAlign w:val="bottom"/>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w w:val="96"/>
              </w:rPr>
              <w:t>$1,590</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7"/>
              </w:rPr>
              <w:t>$70,514</w:t>
            </w:r>
          </w:p>
        </w:tc>
      </w:tr>
      <w:tr>
        <w:trPr>
          <w:trHeight w:val="171"/>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Adjusted cost of services</w:t>
            </w:r>
          </w:p>
        </w:tc>
        <w:tc>
          <w:tcPr>
            <w:tcW w:w="112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2"/>
                <w:szCs w:val="12"/>
                <w:color w:val="auto"/>
              </w:rPr>
              <w:t>29,964</w:t>
            </w: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244</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2"/>
                <w:szCs w:val="12"/>
                <w:color w:val="auto"/>
              </w:rPr>
              <w:t>30,208</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2"/>
                <w:szCs w:val="12"/>
                <w:color w:val="auto"/>
                <w:w w:val="96"/>
              </w:rPr>
              <w:t>26,523</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145</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2"/>
                <w:szCs w:val="12"/>
                <w:color w:val="auto"/>
              </w:rPr>
              <w:t>26,668</w:t>
            </w:r>
          </w:p>
        </w:tc>
      </w:tr>
      <w:tr>
        <w:trPr>
          <w:trHeight w:val="17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gross profit (loss)</w:t>
            </w:r>
          </w:p>
        </w:tc>
        <w:tc>
          <w:tcPr>
            <w:tcW w:w="112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7"/>
              </w:rPr>
              <w:t>$71,820</w:t>
            </w:r>
          </w:p>
        </w:tc>
        <w:tc>
          <w:tcPr>
            <w:tcW w:w="1780" w:type="dxa"/>
            <w:vAlign w:val="bottom"/>
            <w:gridSpan w:val="3"/>
            <w:shd w:val="clear" w:color="auto" w:fill="CCEEFF"/>
          </w:tcPr>
          <w:p>
            <w:pPr>
              <w:jc w:val="center"/>
              <w:ind w:left="280"/>
              <w:spacing w:after="0"/>
              <w:rPr>
                <w:sz w:val="20"/>
                <w:szCs w:val="20"/>
                <w:color w:val="auto"/>
              </w:rPr>
            </w:pPr>
            <w:r>
              <w:rPr>
                <w:rFonts w:ascii="Times New Roman" w:cs="Times New Roman" w:eastAsia="Times New Roman" w:hAnsi="Times New Roman"/>
                <w:sz w:val="12"/>
                <w:szCs w:val="12"/>
                <w:color w:val="auto"/>
                <w:w w:val="99"/>
              </w:rPr>
              <w:t>$664</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7"/>
              </w:rPr>
              <w:t>$72,484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rPr>
              <w:t>$42,401</w:t>
            </w:r>
          </w:p>
        </w:tc>
        <w:tc>
          <w:tcPr>
            <w:tcW w:w="1800" w:type="dxa"/>
            <w:vAlign w:val="bottom"/>
            <w:gridSpan w:val="3"/>
            <w:shd w:val="clear" w:color="auto" w:fill="CCEEFF"/>
          </w:tcPr>
          <w:p>
            <w:pPr>
              <w:jc w:val="center"/>
              <w:ind w:left="300"/>
              <w:spacing w:after="0"/>
              <w:rPr>
                <w:sz w:val="20"/>
                <w:szCs w:val="20"/>
                <w:color w:val="auto"/>
              </w:rPr>
            </w:pPr>
            <w:r>
              <w:rPr>
                <w:rFonts w:ascii="Times New Roman" w:cs="Times New Roman" w:eastAsia="Times New Roman" w:hAnsi="Times New Roman"/>
                <w:sz w:val="12"/>
                <w:szCs w:val="12"/>
                <w:color w:val="auto"/>
                <w:w w:val="96"/>
              </w:rPr>
              <w:t>$1,445</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7"/>
              </w:rPr>
              <w:t>$43,846</w:t>
            </w:r>
          </w:p>
        </w:tc>
      </w:tr>
      <w:tr>
        <w:trPr>
          <w:trHeight w:val="162"/>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Adjusted gross margin %</w:t>
            </w:r>
          </w:p>
        </w:tc>
        <w:tc>
          <w:tcPr>
            <w:tcW w:w="112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6"/>
              </w:rPr>
              <w:t>70.6%</w:t>
            </w:r>
          </w:p>
        </w:tc>
        <w:tc>
          <w:tcPr>
            <w:tcW w:w="1780" w:type="dxa"/>
            <w:vAlign w:val="bottom"/>
            <w:gridSpan w:val="3"/>
          </w:tcPr>
          <w:p>
            <w:pPr>
              <w:jc w:val="center"/>
              <w:ind w:left="300"/>
              <w:spacing w:after="0"/>
              <w:rPr>
                <w:sz w:val="20"/>
                <w:szCs w:val="20"/>
                <w:color w:val="auto"/>
              </w:rPr>
            </w:pPr>
            <w:r>
              <w:rPr>
                <w:rFonts w:ascii="Times New Roman" w:cs="Times New Roman" w:eastAsia="Times New Roman" w:hAnsi="Times New Roman"/>
                <w:sz w:val="12"/>
                <w:szCs w:val="12"/>
                <w:color w:val="auto"/>
                <w:w w:val="96"/>
              </w:rPr>
              <w:t>73.1%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40"/>
              <w:spacing w:after="0"/>
              <w:rPr>
                <w:sz w:val="20"/>
                <w:szCs w:val="20"/>
                <w:color w:val="auto"/>
              </w:rPr>
            </w:pPr>
            <w:r>
              <w:rPr>
                <w:rFonts w:ascii="Times New Roman" w:cs="Times New Roman" w:eastAsia="Times New Roman" w:hAnsi="Times New Roman"/>
                <w:sz w:val="12"/>
                <w:szCs w:val="12"/>
                <w:color w:val="auto"/>
                <w:w w:val="96"/>
              </w:rPr>
              <w:t>70.6%</w:t>
            </w:r>
          </w:p>
        </w:tc>
        <w:tc>
          <w:tcPr>
            <w:tcW w:w="80" w:type="dxa"/>
            <w:vAlign w:val="bottom"/>
          </w:tcPr>
          <w:p>
            <w:pPr>
              <w:spacing w:after="0"/>
              <w:rPr>
                <w:sz w:val="14"/>
                <w:szCs w:val="14"/>
                <w:color w:val="auto"/>
              </w:rPr>
            </w:pPr>
          </w:p>
        </w:tc>
        <w:tc>
          <w:tcPr>
            <w:tcW w:w="11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rPr>
              <w:t>61.5%</w:t>
            </w:r>
          </w:p>
        </w:tc>
        <w:tc>
          <w:tcPr>
            <w:tcW w:w="1800" w:type="dxa"/>
            <w:vAlign w:val="bottom"/>
            <w:gridSpan w:val="3"/>
          </w:tcPr>
          <w:p>
            <w:pPr>
              <w:jc w:val="center"/>
              <w:ind w:left="300"/>
              <w:spacing w:after="0"/>
              <w:rPr>
                <w:sz w:val="20"/>
                <w:szCs w:val="20"/>
                <w:color w:val="auto"/>
              </w:rPr>
            </w:pPr>
            <w:r>
              <w:rPr>
                <w:rFonts w:ascii="Times New Roman" w:cs="Times New Roman" w:eastAsia="Times New Roman" w:hAnsi="Times New Roman"/>
                <w:sz w:val="12"/>
                <w:szCs w:val="12"/>
                <w:color w:val="auto"/>
              </w:rPr>
              <w:t>90.9%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6"/>
              </w:rPr>
              <w:t>62.2%</w:t>
            </w:r>
          </w:p>
        </w:tc>
      </w:tr>
    </w:tbl>
    <w:p>
      <w:pPr>
        <w:spacing w:after="0" w:line="175"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includes revenue and cost of services from the Legacy Sema4 diagnostic testing business for both periods presented. For the three months ended June 30, 2025, Other includes revenue and cost of services from Fabric Genomics.</w:t>
      </w:r>
    </w:p>
    <w:p>
      <w:pPr>
        <w:sectPr>
          <w:pgSz w:w="11900" w:h="16838" w:orient="portrait"/>
          <w:cols w:equalWidth="0" w:num="1">
            <w:col w:w="11308"/>
          </w:cols>
          <w:pgMar w:left="292" w:top="771" w:right="299" w:bottom="1440" w:gutter="0" w:footer="0" w:header="0"/>
        </w:sectPr>
      </w:pPr>
    </w:p>
    <w:bookmarkStart w:id="7" w:name="page8"/>
    <w:bookmarkEnd w:id="7"/>
    <w:tbl>
      <w:tblPr>
        <w:tblLayout w:type="fixed"/>
        <w:tblInd w:w="8" w:type="dxa"/>
        <w:tblCellMar>
          <w:top w:w="0" w:type="dxa"/>
          <w:left w:w="0" w:type="dxa"/>
          <w:bottom w:w="0" w:type="dxa"/>
          <w:right w:w="0" w:type="dxa"/>
        </w:tblCellMar>
      </w:tblPr>
      <w:tr>
        <w:trPr>
          <w:trHeight w:val="125"/>
        </w:trPr>
        <w:tc>
          <w:tcPr>
            <w:tcW w:w="2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June 30, 2025</w:t>
            </w: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6"/>
        </w:trPr>
        <w:tc>
          <w:tcPr>
            <w:tcW w:w="2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08"/>
        </w:trPr>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w w:val="97"/>
              </w:rPr>
              <w:t>Depreciation and</w:t>
            </w:r>
          </w:p>
        </w:tc>
        <w:tc>
          <w:tcPr>
            <w:tcW w:w="124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5"/>
              </w:rPr>
              <w:t>Stock-based compensation</w:t>
            </w: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Change in FV of financial</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25"/>
        </w:trPr>
        <w:tc>
          <w:tcPr>
            <w:tcW w:w="2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140" w:type="dxa"/>
            <w:vAlign w:val="bottom"/>
          </w:tcPr>
          <w:p>
            <w:pPr>
              <w:spacing w:after="0"/>
              <w:rPr>
                <w:sz w:val="10"/>
                <w:szCs w:val="1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24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2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Restructuring costs</w:t>
            </w:r>
          </w:p>
        </w:tc>
        <w:tc>
          <w:tcPr>
            <w:tcW w:w="60" w:type="dxa"/>
            <w:vAlign w:val="bottom"/>
          </w:tcPr>
          <w:p>
            <w:pPr>
              <w:spacing w:after="0"/>
              <w:rPr>
                <w:sz w:val="10"/>
                <w:szCs w:val="10"/>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260" w:type="dxa"/>
            <w:vAlign w:val="bottom"/>
          </w:tcPr>
          <w:p>
            <w:pPr>
              <w:spacing w:after="0"/>
              <w:rPr>
                <w:sz w:val="10"/>
                <w:szCs w:val="10"/>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4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r>
      <w:tr>
        <w:trPr>
          <w:trHeight w:val="26"/>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99,823</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CCEEFF"/>
            </w:tcBorders>
            <w:gridSpan w:val="2"/>
            <w:shd w:val="clear" w:color="auto" w:fill="CCEEFF"/>
          </w:tcPr>
          <w:p>
            <w:pPr>
              <w:jc w:val="center"/>
              <w:ind w:left="752"/>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99,823</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2,869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center"/>
              <w:ind w:left="752"/>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11"/>
                <w:szCs w:val="11"/>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2,869</w:t>
            </w:r>
          </w:p>
        </w:tc>
      </w:tr>
      <w:tr>
        <w:trPr>
          <w:trHeight w:val="26"/>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24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102,692</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center"/>
              <w:ind w:left="752"/>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102,692</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31,790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left="752"/>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11"/>
                <w:szCs w:val="11"/>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30,208</w:t>
            </w:r>
          </w:p>
        </w:tc>
      </w:tr>
      <w:tr>
        <w:trPr>
          <w:trHeight w:val="26"/>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 (loss)</w:t>
            </w:r>
          </w:p>
        </w:tc>
        <w:tc>
          <w:tcPr>
            <w:tcW w:w="24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70,902</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1,389</w:t>
            </w: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center"/>
              <w:ind w:left="752"/>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72,484</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69.0 %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70.6 %</w:t>
            </w:r>
          </w:p>
        </w:tc>
      </w:tr>
      <w:tr>
        <w:trPr>
          <w:trHeight w:val="26"/>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44"/>
        </w:trPr>
        <w:tc>
          <w:tcPr>
            <w:tcW w:w="2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left="752"/>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11"/>
                <w:szCs w:val="11"/>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13,448</w:t>
            </w:r>
          </w:p>
        </w:tc>
      </w:tr>
      <w:tr>
        <w:trPr>
          <w:trHeight w:val="26"/>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19,448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(1,298)</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(1,268)</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2"/>
            <w:shd w:val="clear" w:color="auto" w:fill="CCEEFF"/>
          </w:tcPr>
          <w:p>
            <w:pPr>
              <w:jc w:val="center"/>
              <w:ind w:left="752"/>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16,882</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27,415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left="832"/>
              <w:spacing w:after="0"/>
              <w:rPr>
                <w:sz w:val="20"/>
                <w:szCs w:val="20"/>
                <w:color w:val="auto"/>
              </w:rPr>
            </w:pPr>
            <w:r>
              <w:rPr>
                <w:rFonts w:ascii="Times New Roman" w:cs="Times New Roman" w:eastAsia="Times New Roman" w:hAnsi="Times New Roman"/>
                <w:sz w:val="10"/>
                <w:szCs w:val="10"/>
                <w:color w:val="auto"/>
                <w:w w:val="95"/>
              </w:rPr>
              <w:t>(73)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8,342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27,459</w:t>
            </w:r>
          </w:p>
        </w:tc>
      </w:tr>
      <w:tr>
        <w:trPr>
          <w:trHeight w:val="26"/>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44"/>
        </w:trPr>
        <w:tc>
          <w:tcPr>
            <w:tcW w:w="2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Loss from operations</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8,960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6,191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left="832"/>
              <w:spacing w:after="0"/>
              <w:rPr>
                <w:sz w:val="20"/>
                <w:szCs w:val="20"/>
                <w:color w:val="auto"/>
              </w:rPr>
            </w:pPr>
            <w:r>
              <w:rPr>
                <w:rFonts w:ascii="Times New Roman" w:cs="Times New Roman" w:eastAsia="Times New Roman" w:hAnsi="Times New Roman"/>
                <w:sz w:val="10"/>
                <w:szCs w:val="10"/>
                <w:color w:val="auto"/>
                <w:w w:val="79"/>
              </w:rPr>
              <w:t>73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(8,342)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14,695</w:t>
            </w:r>
          </w:p>
        </w:tc>
      </w:tr>
      <w:tr>
        <w:trPr>
          <w:trHeight w:val="26"/>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44"/>
        </w:trPr>
        <w:tc>
          <w:tcPr>
            <w:tcW w:w="2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Interest income (expense), net</w:t>
            </w:r>
          </w:p>
        </w:tc>
        <w:tc>
          <w:tcPr>
            <w:tcW w:w="240" w:type="dxa"/>
            <w:vAlign w:val="bottom"/>
          </w:tcPr>
          <w:p>
            <w:pPr>
              <w:spacing w:after="0"/>
              <w:rPr>
                <w:sz w:val="11"/>
                <w:szCs w:val="1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center"/>
              <w:ind w:left="752"/>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11"/>
                <w:szCs w:val="11"/>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26"/>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2,420</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2"/>
            <w:shd w:val="clear" w:color="auto" w:fill="CCEEFF"/>
          </w:tcPr>
          <w:p>
            <w:pPr>
              <w:jc w:val="center"/>
              <w:ind w:left="752"/>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w w:val="95"/>
              </w:rPr>
              <w:t>(2,181)</w:t>
            </w: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288</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240" w:type="dxa"/>
            <w:vAlign w:val="bottom"/>
          </w:tcPr>
          <w:p>
            <w:pPr>
              <w:spacing w:after="0"/>
              <w:rPr>
                <w:sz w:val="11"/>
                <w:szCs w:val="1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center"/>
              <w:ind w:left="752"/>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11"/>
                <w:szCs w:val="11"/>
                <w:color w:val="auto"/>
              </w:rPr>
            </w:pPr>
          </w:p>
        </w:tc>
        <w:tc>
          <w:tcPr>
            <w:tcW w:w="1180" w:type="dxa"/>
            <w:vAlign w:val="bottom"/>
            <w:gridSpan w:val="2"/>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26"/>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8"/>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10,809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6,191</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7,813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0"/>
                <w:szCs w:val="10"/>
                <w:color w:val="auto"/>
                <w:w w:val="79"/>
              </w:rPr>
              <w:t>73</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0"/>
                <w:szCs w:val="10"/>
                <w:color w:val="auto"/>
                <w:w w:val="95"/>
              </w:rPr>
              <w:t>(2,181)</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(7,722)</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14,983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78040" cy="97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ectPr>
          <w:pgSz w:w="11900" w:h="16838" w:orient="portrait"/>
          <w:cols w:equalWidth="0" w:num="1">
            <w:col w:w="11308"/>
          </w:cols>
          <w:pgMar w:left="292" w:top="807" w:right="299" w:bottom="1440" w:gutter="0" w:footer="0" w:header="0"/>
        </w:sectPr>
      </w:pPr>
    </w:p>
    <w:p>
      <w:pPr>
        <w:spacing w:after="0" w:line="130"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1800" w:type="dxa"/>
            <w:vAlign w:val="bottom"/>
          </w:tcPr>
          <w:p>
            <w:pPr>
              <w:spacing w:after="0"/>
              <w:rPr>
                <w:sz w:val="20"/>
                <w:szCs w:val="20"/>
                <w:color w:val="auto"/>
              </w:rPr>
            </w:pPr>
            <w:r>
              <w:rPr>
                <w:rFonts w:ascii="Times New Roman" w:cs="Times New Roman" w:eastAsia="Times New Roman" w:hAnsi="Times New Roman"/>
                <w:sz w:val="10"/>
                <w:szCs w:val="10"/>
                <w:color w:val="auto"/>
              </w:rPr>
              <w:t>Basic earnings per share*</w:t>
            </w: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0.38</w:t>
            </w:r>
          </w:p>
        </w:tc>
      </w:tr>
      <w:tr>
        <w:trPr>
          <w:trHeight w:val="153"/>
        </w:trPr>
        <w:tc>
          <w:tcPr>
            <w:tcW w:w="1800" w:type="dxa"/>
            <w:vAlign w:val="bottom"/>
          </w:tcPr>
          <w:p>
            <w:pPr>
              <w:spacing w:after="0"/>
              <w:rPr>
                <w:sz w:val="20"/>
                <w:szCs w:val="20"/>
                <w:color w:val="auto"/>
              </w:rPr>
            </w:pPr>
            <w:r>
              <w:rPr>
                <w:rFonts w:ascii="Times New Roman" w:cs="Times New Roman" w:eastAsia="Times New Roman" w:hAnsi="Times New Roman"/>
                <w:sz w:val="10"/>
                <w:szCs w:val="10"/>
                <w:color w:val="auto"/>
              </w:rPr>
              <w:t>Diluted earnings per share*</w:t>
            </w: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0.36</w:t>
            </w:r>
          </w:p>
        </w:tc>
      </w:tr>
    </w:tbl>
    <w:p>
      <w:pPr>
        <w:spacing w:after="0" w:line="111"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Basic and diluted earnings per share are calculated based on 28,579,704 and 29,753,933 weighted average shares outstanding for the three months ended June 30, 2025, respectively.</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952" w:hanging="952"/>
        <w:spacing w:after="0"/>
        <w:tabs>
          <w:tab w:leader="none" w:pos="952"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0.52</w:t>
      </w:r>
    </w:p>
    <w:p>
      <w:pPr>
        <w:spacing w:after="0" w:line="38" w:lineRule="exact"/>
        <w:rPr>
          <w:sz w:val="20"/>
          <w:szCs w:val="20"/>
          <w:color w:val="auto"/>
        </w:rPr>
      </w:pPr>
    </w:p>
    <w:p>
      <w:pPr>
        <w:ind w:left="952" w:hanging="952"/>
        <w:spacing w:after="0"/>
        <w:tabs>
          <w:tab w:leader="none" w:pos="952"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0.50</w:t>
      </w:r>
    </w:p>
    <w:p>
      <w:pPr>
        <w:spacing w:after="0" w:line="411" w:lineRule="exact"/>
        <w:rPr>
          <w:sz w:val="20"/>
          <w:szCs w:val="20"/>
          <w:color w:val="auto"/>
        </w:rPr>
      </w:pPr>
    </w:p>
    <w:p>
      <w:pPr>
        <w:sectPr>
          <w:pgSz w:w="11900" w:h="16838" w:orient="portrait"/>
          <w:cols w:equalWidth="0" w:num="2">
            <w:col w:w="9336" w:space="720"/>
            <w:col w:w="1252"/>
          </w:cols>
          <w:pgMar w:left="292" w:top="807" w:right="299" w:bottom="1440" w:gutter="0" w:footer="0" w:header="0"/>
          <w:type w:val="continuous"/>
        </w:sectPr>
      </w:pPr>
    </w:p>
    <w:p>
      <w:pPr>
        <w:spacing w:after="0" w:line="228"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June 30, 2024</w:t>
            </w: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6"/>
        </w:trPr>
        <w:tc>
          <w:tcPr>
            <w:tcW w:w="2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08"/>
        </w:trPr>
        <w:tc>
          <w:tcPr>
            <w:tcW w:w="2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w w:val="97"/>
              </w:rPr>
              <w:t>Depreciation and</w:t>
            </w:r>
          </w:p>
        </w:tc>
        <w:tc>
          <w:tcPr>
            <w:tcW w:w="124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5"/>
              </w:rPr>
              <w:t>Stock-based compensation</w:t>
            </w: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0"/>
                <w:szCs w:val="10"/>
                <w:b w:val="1"/>
                <w:bCs w:val="1"/>
                <w:color w:val="auto"/>
                <w:w w:val="96"/>
              </w:rPr>
              <w:t>Change in FV of financial</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25"/>
        </w:trPr>
        <w:tc>
          <w:tcPr>
            <w:tcW w:w="252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amortization</w:t>
            </w:r>
          </w:p>
        </w:tc>
        <w:tc>
          <w:tcPr>
            <w:tcW w:w="24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12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Restructuring costs</w:t>
            </w:r>
          </w:p>
        </w:tc>
        <w:tc>
          <w:tcPr>
            <w:tcW w:w="60" w:type="dxa"/>
            <w:vAlign w:val="bottom"/>
          </w:tcPr>
          <w:p>
            <w:pPr>
              <w:spacing w:after="0"/>
              <w:rPr>
                <w:sz w:val="10"/>
                <w:szCs w:val="10"/>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liabilities</w:t>
            </w:r>
          </w:p>
        </w:tc>
        <w:tc>
          <w:tcPr>
            <w:tcW w:w="260" w:type="dxa"/>
            <w:vAlign w:val="bottom"/>
          </w:tcPr>
          <w:p>
            <w:pPr>
              <w:spacing w:after="0"/>
              <w:rPr>
                <w:sz w:val="10"/>
                <w:szCs w:val="10"/>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6"/>
                <w:szCs w:val="6"/>
                <w:b w:val="1"/>
                <w:bCs w:val="1"/>
                <w:color w:val="auto"/>
              </w:rPr>
              <w:t>1</w:t>
            </w:r>
          </w:p>
        </w:tc>
        <w:tc>
          <w:tcPr>
            <w:tcW w:w="24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Adjusted</w:t>
            </w: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Diagnostic test revenue</w:t>
            </w:r>
          </w:p>
        </w:tc>
        <w:tc>
          <w:tcPr>
            <w:tcW w:w="8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69,439</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69,439</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Other revenue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1,075</w:t>
            </w: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revenue</w:t>
            </w:r>
          </w:p>
        </w:tc>
        <w:tc>
          <w:tcPr>
            <w:tcW w:w="8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70,514</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70,514</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Cost of services</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27,562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26,668</w:t>
            </w: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2"/>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Gross profit (loss)</w:t>
            </w:r>
          </w:p>
        </w:tc>
        <w:tc>
          <w:tcPr>
            <w:tcW w:w="8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42,952</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808</w:t>
            </w: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43,846</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Gross margin</w:t>
            </w:r>
          </w:p>
        </w:tc>
        <w:tc>
          <w:tcPr>
            <w:tcW w:w="8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60.9 %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62.2 %</w:t>
            </w: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Research and development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10,309</w:t>
            </w: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Selling and marketing</w:t>
            </w:r>
          </w:p>
        </w:tc>
        <w:tc>
          <w:tcPr>
            <w:tcW w:w="8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16,585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(368)</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14,929</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26,044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20,613</w:t>
            </w: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Loss from operations</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87"/>
              </w:rPr>
              <w:t>(10,579)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5,218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(2,005)</w:t>
            </w: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44"/>
        </w:trPr>
        <w:tc>
          <w:tcPr>
            <w:tcW w:w="2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Interest income (expense), net</w:t>
            </w:r>
          </w:p>
        </w:tc>
        <w:tc>
          <w:tcPr>
            <w:tcW w:w="820" w:type="dxa"/>
            <w:vAlign w:val="bottom"/>
          </w:tcPr>
          <w:p>
            <w:pPr>
              <w:spacing w:after="0"/>
              <w:rPr>
                <w:sz w:val="11"/>
                <w:szCs w:val="11"/>
                <w:color w:val="auto"/>
              </w:rPr>
            </w:pP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26"/>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income (expense), net</w:t>
            </w:r>
          </w:p>
        </w:tc>
        <w:tc>
          <w:tcPr>
            <w:tcW w:w="8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87"/>
              </w:rPr>
              <w:t>(17,890)</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4,409</w:t>
            </w: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13,450</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(31)</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Income tax benefit</w:t>
            </w:r>
          </w:p>
        </w:tc>
        <w:tc>
          <w:tcPr>
            <w:tcW w:w="820" w:type="dxa"/>
            <w:vAlign w:val="bottom"/>
          </w:tcPr>
          <w:p>
            <w:pPr>
              <w:spacing w:after="0"/>
              <w:rPr>
                <w:sz w:val="11"/>
                <w:szCs w:val="11"/>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26"/>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58"/>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8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87"/>
              </w:rPr>
              <w:t>(29,173)</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5,218</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4,409</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14,154</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(2,036)</w:t>
            </w:r>
          </w:p>
        </w:tc>
      </w:tr>
      <w:tr>
        <w:trPr>
          <w:trHeight w:val="126"/>
        </w:trPr>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33"/>
        </w:trPr>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Basic loss per share*</w:t>
            </w:r>
          </w:p>
        </w:tc>
        <w:tc>
          <w:tcPr>
            <w:tcW w:w="8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(1.10)</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(0.08)</w:t>
            </w:r>
          </w:p>
        </w:tc>
      </w:tr>
      <w:tr>
        <w:trPr>
          <w:trHeight w:val="127"/>
        </w:trPr>
        <w:tc>
          <w:tcPr>
            <w:tcW w:w="2520" w:type="dxa"/>
            <w:vAlign w:val="bottom"/>
          </w:tcPr>
          <w:p>
            <w:pPr>
              <w:spacing w:after="0"/>
              <w:rPr>
                <w:sz w:val="20"/>
                <w:szCs w:val="20"/>
                <w:color w:val="auto"/>
              </w:rPr>
            </w:pPr>
            <w:r>
              <w:rPr>
                <w:rFonts w:ascii="Times New Roman" w:cs="Times New Roman" w:eastAsia="Times New Roman" w:hAnsi="Times New Roman"/>
                <w:sz w:val="10"/>
                <w:szCs w:val="10"/>
                <w:color w:val="auto"/>
              </w:rPr>
              <w:t>Diluted loss per share*</w:t>
            </w:r>
          </w:p>
        </w:tc>
        <w:tc>
          <w:tcPr>
            <w:tcW w:w="820" w:type="dxa"/>
            <w:vAlign w:val="bottom"/>
          </w:tcPr>
          <w:p>
            <w:pPr>
              <w:jc w:val="right"/>
              <w:ind w:right="712"/>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(0.08)</w:t>
            </w:r>
          </w:p>
        </w:tc>
      </w:tr>
    </w:tbl>
    <w:p>
      <w:pPr>
        <w:spacing w:after="0" w:line="111" w:lineRule="exact"/>
        <w:rPr>
          <w:sz w:val="20"/>
          <w:szCs w:val="20"/>
          <w:color w:val="auto"/>
        </w:rPr>
      </w:pPr>
    </w:p>
    <w:p>
      <w:pPr>
        <w:ind w:left="208" w:hanging="208"/>
        <w:spacing w:after="0"/>
        <w:tabs>
          <w:tab w:leader="none" w:pos="208"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Basic and diluted loss per share are calculated based on 26,617,955 diluted weighted average shares outstanding for the three months ended June 30, 2024.</w:t>
      </w:r>
    </w:p>
    <w:p>
      <w:pPr>
        <w:spacing w:after="0" w:line="110" w:lineRule="exact"/>
        <w:rPr>
          <w:sz w:val="20"/>
          <w:szCs w:val="20"/>
          <w:color w:val="auto"/>
        </w:rPr>
      </w:pPr>
    </w:p>
    <w:p>
      <w:pPr>
        <w:ind w:left="208" w:hanging="208"/>
        <w:spacing w:after="0" w:line="261" w:lineRule="auto"/>
        <w:tabs>
          <w:tab w:leader="none" w:pos="208"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represents interest expense, net, and income tax (expense) benefit for all periods presented. Other for the three months ended June 30, 2025 includes transaction costs related to the acquisition of Fabric Genomics. Other for the three months ended June 30, 2024 includes legal costs related to a legal settlement.</w:t>
      </w:r>
    </w:p>
    <w:p>
      <w:pPr>
        <w:sectPr>
          <w:pgSz w:w="11900" w:h="16838" w:orient="portrait"/>
          <w:cols w:equalWidth="0" w:num="1">
            <w:col w:w="11308"/>
          </w:cols>
          <w:pgMar w:left="292" w:top="807" w:right="299" w:bottom="1440" w:gutter="0" w:footer="0" w:header="0"/>
          <w:type w:val="continuous"/>
        </w:sectPr>
      </w:pPr>
    </w:p>
    <w:bookmarkStart w:id="8" w:name="page9"/>
    <w:bookmarkEnd w:id="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June 30, 2025 (Unaudited)</w:t>
            </w:r>
          </w:p>
        </w:tc>
        <w:tc>
          <w:tcPr>
            <w:tcW w:w="280" w:type="dxa"/>
            <w:vAlign w:val="bottom"/>
          </w:tcPr>
          <w:p>
            <w:pPr>
              <w:spacing w:after="0"/>
              <w:rPr>
                <w:sz w:val="14"/>
                <w:szCs w:val="14"/>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6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74,120</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85,212</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Marketable securities</w:t>
            </w:r>
          </w:p>
        </w:tc>
        <w:tc>
          <w:tcPr>
            <w:tcW w:w="2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60,438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55,973</w:t>
            </w: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48,028</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37,629</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Inventory, net</w:t>
            </w:r>
          </w:p>
        </w:tc>
        <w:tc>
          <w:tcPr>
            <w:tcW w:w="2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11,932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10,650</w:t>
            </w: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10,319</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8,504</w:t>
            </w:r>
          </w:p>
        </w:tc>
      </w:tr>
      <w:tr>
        <w:trPr>
          <w:trHeight w:val="169"/>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current assets</w:t>
            </w:r>
          </w:p>
        </w:tc>
        <w:tc>
          <w:tcPr>
            <w:tcW w:w="2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204,837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197,968</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24,978</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25,613</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40,120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32,893</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12,926</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176,689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158,600</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r>
              <w:rPr>
                <w:rFonts w:ascii="Times New Roman" w:cs="Times New Roman" w:eastAsia="Times New Roman" w:hAnsi="Times New Roman"/>
                <w:sz w:val="15"/>
                <w:szCs w:val="15"/>
                <w:color w:val="auto"/>
                <w:vertAlign w:val="superscript"/>
              </w:rPr>
              <w:t>1</w:t>
            </w:r>
          </w:p>
        </w:tc>
        <w:tc>
          <w:tcPr>
            <w:tcW w:w="20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4,313</w:t>
            </w:r>
          </w:p>
        </w:tc>
        <w:tc>
          <w:tcPr>
            <w:tcW w:w="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4,306</w:t>
            </w:r>
          </w:p>
        </w:tc>
      </w:tr>
      <w:tr>
        <w:trPr>
          <w:trHeight w:val="185"/>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assets</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463,863</w:t>
            </w: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419,380</w:t>
            </w:r>
          </w:p>
        </w:tc>
      </w:tr>
      <w:tr>
        <w:trPr>
          <w:trHeight w:val="16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49,239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30,983</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2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3,336</w:t>
            </w: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19,084</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20,498</w:t>
            </w:r>
          </w:p>
        </w:tc>
      </w:tr>
      <w:tr>
        <w:trPr>
          <w:trHeight w:val="169"/>
        </w:trPr>
        <w:tc>
          <w:tcPr>
            <w:tcW w:w="7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71,406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54,817</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net of current portion</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51,683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51,913</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2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59,619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60,919</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3,275</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5,519</w:t>
            </w:r>
          </w:p>
        </w:tc>
      </w:tr>
      <w:tr>
        <w:trPr>
          <w:trHeight w:val="17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taxes</w:t>
            </w: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747</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965</w:t>
            </w:r>
          </w:p>
        </w:tc>
      </w:tr>
      <w:tr>
        <w:trPr>
          <w:trHeight w:val="178"/>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186,730</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174,133</w:t>
            </w:r>
          </w:p>
        </w:tc>
      </w:tr>
      <w:tr>
        <w:trPr>
          <w:trHeight w:val="151"/>
        </w:trPr>
        <w:tc>
          <w:tcPr>
            <w:tcW w:w="7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8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Preferred stock</w:t>
            </w: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Class A common stock</w:t>
            </w:r>
          </w:p>
        </w:tc>
        <w:tc>
          <w:tcPr>
            <w:tcW w:w="2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8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1,624,513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1,596,889</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2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(1,348,194)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(1,352,474)</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2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r>
      <w:tr>
        <w:trPr>
          <w:trHeight w:val="169"/>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277,133</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245,247</w:t>
            </w:r>
          </w:p>
        </w:tc>
      </w:tr>
      <w:tr>
        <w:trPr>
          <w:trHeight w:val="194"/>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463,863</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419,380</w:t>
            </w:r>
          </w:p>
        </w:tc>
      </w:tr>
    </w:tbl>
    <w:p>
      <w:pPr>
        <w:spacing w:after="0" w:line="157" w:lineRule="exact"/>
        <w:rPr>
          <w:sz w:val="20"/>
          <w:szCs w:val="20"/>
          <w:color w:val="auto"/>
        </w:rPr>
      </w:pPr>
    </w:p>
    <w:p>
      <w:pPr>
        <w:ind w:left="208" w:hanging="208"/>
        <w:spacing w:after="0"/>
        <w:tabs>
          <w:tab w:leader="none" w:pos="208"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assets includes $990 thousand of restricted cash as of both June 30, 2025 and December 31, 2024.</w:t>
      </w:r>
    </w:p>
    <w:p>
      <w:pPr>
        <w:sectPr>
          <w:pgSz w:w="11900" w:h="16838" w:orient="portrait"/>
          <w:cols w:equalWidth="0" w:num="1">
            <w:col w:w="11308"/>
          </w:cols>
          <w:pgMar w:left="292" w:top="773"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Pr>
          <w:p>
            <w:pPr>
              <w:spacing w:after="0"/>
              <w:rPr>
                <w:sz w:val="14"/>
                <w:szCs w:val="14"/>
                <w:color w:val="auto"/>
              </w:rPr>
            </w:pPr>
          </w:p>
        </w:tc>
        <w:tc>
          <w:tcPr>
            <w:tcW w:w="2680" w:type="dxa"/>
            <w:vAlign w:val="bottom"/>
            <w:tcBorders>
              <w:bottom w:val="single" w:sz="8" w:color="auto"/>
            </w:tcBorders>
            <w:gridSpan w:val="4"/>
          </w:tcPr>
          <w:p>
            <w:pPr>
              <w:jc w:val="right"/>
              <w:ind w:right="225"/>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960" w:type="dxa"/>
            <w:vAlign w:val="bottom"/>
            <w:tcBorders>
              <w:bottom w:val="single" w:sz="8" w:color="auto"/>
            </w:tcBorders>
          </w:tcPr>
          <w:p>
            <w:pPr>
              <w:spacing w:after="0"/>
              <w:rPr>
                <w:sz w:val="14"/>
                <w:szCs w:val="14"/>
                <w:color w:val="auto"/>
              </w:rPr>
            </w:pPr>
          </w:p>
        </w:tc>
      </w:tr>
      <w:tr>
        <w:trPr>
          <w:trHeight w:val="169"/>
        </w:trPr>
        <w:tc>
          <w:tcPr>
            <w:tcW w:w="46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2024</w:t>
            </w: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w w:val="99"/>
              </w:rPr>
              <w:t>2024</w:t>
            </w:r>
          </w:p>
        </w:tc>
      </w:tr>
      <w:tr>
        <w:trPr>
          <w:trHeight w:val="16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Diagnostic test revenue</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99,823</w:t>
            </w:r>
          </w:p>
        </w:tc>
        <w:tc>
          <w:tcPr>
            <w:tcW w:w="80" w:type="dxa"/>
            <w:vAlign w:val="bottom"/>
          </w:tcPr>
          <w:p>
            <w:pPr>
              <w:spacing w:after="0"/>
              <w:rPr>
                <w:sz w:val="14"/>
                <w:szCs w:val="14"/>
                <w:color w:val="auto"/>
              </w:rPr>
            </w:pPr>
          </w:p>
        </w:tc>
        <w:tc>
          <w:tcPr>
            <w:tcW w:w="980" w:type="dxa"/>
            <w:vAlign w:val="bottom"/>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69,439</w:t>
            </w:r>
          </w:p>
        </w:tc>
        <w:tc>
          <w:tcPr>
            <w:tcW w:w="6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185,582</w:t>
            </w:r>
          </w:p>
        </w:tc>
        <w:tc>
          <w:tcPr>
            <w:tcW w:w="80" w:type="dxa"/>
            <w:vAlign w:val="bottom"/>
          </w:tcPr>
          <w:p>
            <w:pPr>
              <w:spacing w:after="0"/>
              <w:rPr>
                <w:sz w:val="14"/>
                <w:szCs w:val="14"/>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130,543</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revenue</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2,869</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w:t>
            </w: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4,225</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2,393</w:t>
            </w:r>
          </w:p>
        </w:tc>
      </w:tr>
      <w:tr>
        <w:trPr>
          <w:trHeight w:val="169"/>
        </w:trPr>
        <w:tc>
          <w:tcPr>
            <w:tcW w:w="4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Total revenue</w:t>
            </w: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102,692</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70,514</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189,807</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132,936</w:t>
            </w:r>
          </w:p>
        </w:tc>
      </w:tr>
      <w:tr>
        <w:trPr>
          <w:trHeight w:val="16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services</w:t>
            </w:r>
          </w:p>
        </w:tc>
        <w:tc>
          <w:tcPr>
            <w:tcW w:w="9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31,790</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27,562</w:t>
            </w: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60,429</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52,573</w:t>
            </w:r>
          </w:p>
        </w:tc>
      </w:tr>
      <w:tr>
        <w:trPr>
          <w:trHeight w:val="169"/>
        </w:trPr>
        <w:tc>
          <w:tcPr>
            <w:tcW w:w="4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Gross profit</w:t>
            </w: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70,902</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42,952</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129,378</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80,363</w:t>
            </w:r>
          </w:p>
        </w:tc>
      </w:tr>
      <w:tr>
        <w:trPr>
          <w:trHeight w:val="17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15,079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10,902</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27,656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22,469</w:t>
            </w:r>
          </w:p>
        </w:tc>
      </w:tr>
      <w:tr>
        <w:trPr>
          <w:trHeight w:val="171"/>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19,448</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16,585</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37,764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32,670</w:t>
            </w: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27,415</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26,044</w:t>
            </w: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59,549</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49,463</w:t>
            </w:r>
          </w:p>
        </w:tc>
      </w:tr>
      <w:tr>
        <w:trPr>
          <w:trHeight w:val="169"/>
        </w:trPr>
        <w:tc>
          <w:tcPr>
            <w:tcW w:w="4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Income (loss) from operations</w:t>
            </w: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8,960</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(10,579)</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4,409</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(24,239)</w:t>
            </w:r>
          </w:p>
        </w:tc>
      </w:tr>
      <w:tr>
        <w:trPr>
          <w:trHeight w:val="160"/>
        </w:trPr>
        <w:tc>
          <w:tcPr>
            <w:tcW w:w="4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1"/>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income (expenses), net</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warrants and contingent liabilities</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2,181</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(4,409)</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(10,510)</w:t>
            </w:r>
          </w:p>
        </w:tc>
      </w:tr>
      <w:tr>
        <w:trPr>
          <w:trHeight w:val="171"/>
        </w:trPr>
        <w:tc>
          <w:tcPr>
            <w:tcW w:w="46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net</w:t>
            </w: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(1,457)</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w:t>
            </w:r>
          </w:p>
        </w:tc>
      </w:tr>
      <w:tr>
        <w:trPr>
          <w:trHeight w:val="180"/>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 (expense), net</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(13,481)</w:t>
            </w: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(13,444)</w:t>
            </w:r>
          </w:p>
        </w:tc>
      </w:tr>
      <w:tr>
        <w:trPr>
          <w:trHeight w:val="169"/>
        </w:trPr>
        <w:tc>
          <w:tcPr>
            <w:tcW w:w="4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Total non-operating income (expense), net</w:t>
            </w: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1,603</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(18,784)</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(25,445)</w:t>
            </w:r>
          </w:p>
        </w:tc>
      </w:tr>
      <w:tr>
        <w:trPr>
          <w:trHeight w:val="17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(29,363)</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(49,684)</w:t>
            </w:r>
          </w:p>
        </w:tc>
      </w:tr>
      <w:tr>
        <w:trPr>
          <w:trHeight w:val="171"/>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272</w:t>
            </w:r>
          </w:p>
        </w:tc>
      </w:tr>
      <w:tr>
        <w:trPr>
          <w:trHeight w:val="194"/>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98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10,809</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(29,173)</w:t>
            </w: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4,280</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(49,412)</w:t>
            </w:r>
          </w:p>
        </w:tc>
      </w:tr>
      <w:tr>
        <w:trPr>
          <w:trHeight w:val="162"/>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 - Basic</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28,579,704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26,617,955</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28,365,018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26,340,063</w:t>
            </w:r>
          </w:p>
        </w:tc>
      </w:tr>
      <w:tr>
        <w:trPr>
          <w:trHeight w:val="171"/>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Earnings (loss) per share, Class A common stock- Basic</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80" w:type="dxa"/>
            <w:vAlign w:val="bottom"/>
          </w:tcPr>
          <w:p>
            <w:pPr>
              <w:spacing w:after="0"/>
              <w:rPr>
                <w:sz w:val="14"/>
                <w:szCs w:val="14"/>
                <w:color w:val="auto"/>
              </w:rPr>
            </w:pPr>
          </w:p>
        </w:tc>
        <w:tc>
          <w:tcPr>
            <w:tcW w:w="980" w:type="dxa"/>
            <w:vAlign w:val="bottom"/>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80" w:type="dxa"/>
            <w:vAlign w:val="bottom"/>
          </w:tcPr>
          <w:p>
            <w:pPr>
              <w:spacing w:after="0"/>
              <w:rPr>
                <w:sz w:val="14"/>
                <w:szCs w:val="14"/>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r>
      <w:tr>
        <w:trPr>
          <w:trHeight w:val="18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 - Diluted</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29,753,933</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26,617,955</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29,642,555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26,340,063</w:t>
            </w: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Earnings (loss) per share, Class A common stock- Diluted</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80" w:type="dxa"/>
            <w:vAlign w:val="bottom"/>
          </w:tcPr>
          <w:p>
            <w:pPr>
              <w:spacing w:after="0"/>
              <w:rPr>
                <w:sz w:val="14"/>
                <w:szCs w:val="14"/>
                <w:color w:val="auto"/>
              </w:rPr>
            </w:pPr>
          </w:p>
        </w:tc>
        <w:tc>
          <w:tcPr>
            <w:tcW w:w="980" w:type="dxa"/>
            <w:vAlign w:val="bottom"/>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80" w:type="dxa"/>
            <w:vAlign w:val="bottom"/>
          </w:tcPr>
          <w:p>
            <w:pPr>
              <w:spacing w:after="0"/>
              <w:rPr>
                <w:sz w:val="14"/>
                <w:szCs w:val="14"/>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r>
    </w:tbl>
    <w:p>
      <w:pPr>
        <w:sectPr>
          <w:pgSz w:w="11900" w:h="16838" w:orient="portrait"/>
          <w:cols w:equalWidth="0" w:num="1">
            <w:col w:w="11300"/>
          </w:cols>
          <w:pgMar w:left="300" w:top="773" w:right="299" w:bottom="1440" w:gutter="0" w:footer="0" w:header="0"/>
        </w:sectPr>
      </w:pPr>
    </w:p>
    <w:bookmarkStart w:id="10" w:name="page11"/>
    <w:bookmarkEnd w:id="1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GeneDx Holdings Corp.</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 (Unaudited)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79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960" w:type="dxa"/>
            <w:vAlign w:val="bottom"/>
            <w:tcBorders>
              <w:bottom w:val="single" w:sz="8" w:color="auto"/>
            </w:tcBorders>
          </w:tcPr>
          <w:p>
            <w:pPr>
              <w:spacing w:after="0"/>
              <w:rPr>
                <w:sz w:val="14"/>
                <w:szCs w:val="14"/>
                <w:color w:val="auto"/>
              </w:rPr>
            </w:pPr>
          </w:p>
        </w:tc>
      </w:tr>
      <w:tr>
        <w:trPr>
          <w:trHeight w:val="169"/>
        </w:trPr>
        <w:tc>
          <w:tcPr>
            <w:tcW w:w="79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w w:val="99"/>
              </w:rPr>
              <w:t>2024</w:t>
            </w:r>
          </w:p>
        </w:tc>
      </w:tr>
      <w:tr>
        <w:trPr>
          <w:trHeight w:val="16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4,280</w:t>
            </w:r>
          </w:p>
        </w:tc>
        <w:tc>
          <w:tcPr>
            <w:tcW w:w="80" w:type="dxa"/>
            <w:vAlign w:val="bottom"/>
          </w:tcPr>
          <w:p>
            <w:pPr>
              <w:spacing w:after="0"/>
              <w:rPr>
                <w:sz w:val="14"/>
                <w:szCs w:val="14"/>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(49,412)</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 (used in) operating activities: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0"/>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11,869</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10,466</w:t>
            </w:r>
          </w:p>
        </w:tc>
      </w:tr>
      <w:tr>
        <w:trPr>
          <w:trHeight w:val="18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2,657</w:t>
            </w:r>
          </w:p>
        </w:tc>
      </w:tr>
      <w:tr>
        <w:trPr>
          <w:trHeight w:val="171"/>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warrants and contingent liabilities</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10,510</w:t>
            </w:r>
          </w:p>
        </w:tc>
      </w:tr>
      <w:tr>
        <w:trPr>
          <w:trHeight w:val="18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tax expense (benefit)</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r>
      <w:tr>
        <w:trPr>
          <w:trHeight w:val="171"/>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Provision for excess and obsolete inventory</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r>
      <w:tr>
        <w:trPr>
          <w:trHeight w:val="18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Legal reserves</w:t>
            </w:r>
          </w:p>
        </w:tc>
        <w:tc>
          <w:tcPr>
            <w:tcW w:w="9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13,450</w:t>
            </w:r>
          </w:p>
        </w:tc>
      </w:tr>
      <w:tr>
        <w:trPr>
          <w:trHeight w:val="175"/>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2B2A29"/>
              </w:rPr>
              <w:t>Change in third party payor reserves</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r>
      <w:tr>
        <w:trPr>
          <w:trHeight w:val="184"/>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B2A29"/>
              </w:rPr>
              <w:t>Other</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w:t>
            </w:r>
          </w:p>
        </w:tc>
      </w:tr>
      <w:tr>
        <w:trPr>
          <w:trHeight w:val="171"/>
        </w:trPr>
        <w:tc>
          <w:tcPr>
            <w:tcW w:w="7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6,622</w:t>
            </w:r>
          </w:p>
        </w:tc>
      </w:tr>
      <w:tr>
        <w:trPr>
          <w:trHeight w:val="171"/>
        </w:trPr>
        <w:tc>
          <w:tcPr>
            <w:tcW w:w="79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Inventory</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(1,654)</w:t>
            </w:r>
          </w:p>
        </w:tc>
      </w:tr>
      <w:tr>
        <w:trPr>
          <w:trHeight w:val="18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(10,871)</w:t>
            </w:r>
          </w:p>
        </w:tc>
      </w:tr>
      <w:tr>
        <w:trPr>
          <w:trHeight w:val="171"/>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assets and liabilities</w:t>
            </w: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(8,894)</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(5,327)</w:t>
            </w:r>
          </w:p>
        </w:tc>
      </w:tr>
      <w:tr>
        <w:trPr>
          <w:trHeight w:val="178"/>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20,602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(20,918)</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of business, net of cash acquired</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(33,195)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(8,498)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(30,770)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(29,381)</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sales of marketable securities</w:t>
            </w:r>
          </w:p>
        </w:tc>
        <w:tc>
          <w:tcPr>
            <w:tcW w:w="9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w:t>
            </w:r>
          </w:p>
        </w:tc>
      </w:tr>
      <w:tr>
        <w:trPr>
          <w:trHeight w:val="18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maturities of marketable securities</w:t>
            </w:r>
          </w:p>
        </w:tc>
        <w:tc>
          <w:tcPr>
            <w:tcW w:w="9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26,705</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8,720</w:t>
            </w:r>
          </w:p>
        </w:tc>
      </w:tr>
      <w:tr>
        <w:trPr>
          <w:trHeight w:val="169"/>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(45,758)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(21,858)</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offerings, net of issuance costs</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13,766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common stock pursuant to employee stock purchase plan</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Exercise of stock options</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principal payments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Finance lease principal payments</w:t>
            </w: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(1,162)</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(990)</w:t>
            </w:r>
          </w:p>
        </w:tc>
      </w:tr>
      <w:tr>
        <w:trPr>
          <w:trHeight w:val="16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9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14,064</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w:t>
            </w:r>
          </w:p>
        </w:tc>
      </w:tr>
      <w:tr>
        <w:trPr>
          <w:trHeight w:val="169"/>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 cash, cash equivalents and restricted cash</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(11,092)</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(43,605)</w:t>
            </w:r>
          </w:p>
        </w:tc>
      </w:tr>
      <w:tr>
        <w:trPr>
          <w:trHeight w:val="18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86,202</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100,668</w:t>
            </w:r>
          </w:p>
        </w:tc>
      </w:tr>
      <w:tr>
        <w:trPr>
          <w:trHeight w:val="194"/>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 xml:space="preserve">Cash, cash equivalents and restricted cash, at end of period </w:t>
            </w:r>
            <w:r>
              <w:rPr>
                <w:rFonts w:ascii="Times New Roman" w:cs="Times New Roman" w:eastAsia="Times New Roman" w:hAnsi="Times New Roman"/>
                <w:sz w:val="15"/>
                <w:szCs w:val="15"/>
                <w:color w:val="auto"/>
                <w:vertAlign w:val="superscript"/>
              </w:rPr>
              <w:t>(1)</w:t>
            </w:r>
          </w:p>
        </w:tc>
        <w:tc>
          <w:tcPr>
            <w:tcW w:w="9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75,110</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57,063</w:t>
            </w:r>
          </w:p>
        </w:tc>
      </w:tr>
      <w:tr>
        <w:trPr>
          <w:trHeight w:val="162"/>
        </w:trPr>
        <w:tc>
          <w:tcPr>
            <w:tcW w:w="7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interest</w:t>
            </w:r>
          </w:p>
        </w:tc>
        <w:tc>
          <w:tcPr>
            <w:tcW w:w="96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4,033</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taxes</w:t>
            </w: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80" w:type="dxa"/>
            <w:vAlign w:val="bottom"/>
          </w:tcPr>
          <w:p>
            <w:pPr>
              <w:spacing w:after="0"/>
              <w:rPr>
                <w:sz w:val="14"/>
                <w:szCs w:val="14"/>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consideration paid pursuant to exercise of Perceptive warrant</w:t>
            </w:r>
          </w:p>
        </w:tc>
        <w:tc>
          <w:tcPr>
            <w:tcW w:w="96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12,586</w:t>
            </w:r>
          </w:p>
        </w:tc>
      </w:tr>
      <w:tr>
        <w:trPr>
          <w:trHeight w:val="171"/>
        </w:trPr>
        <w:tc>
          <w:tcPr>
            <w:tcW w:w="798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property and equipment in accounts payable and accrued expenses</w:t>
            </w: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5,752</w:t>
            </w:r>
          </w:p>
        </w:tc>
        <w:tc>
          <w:tcPr>
            <w:tcW w:w="80" w:type="dxa"/>
            <w:vAlign w:val="bottom"/>
          </w:tcPr>
          <w:p>
            <w:pPr>
              <w:spacing w:after="0"/>
              <w:rPr>
                <w:sz w:val="14"/>
                <w:szCs w:val="14"/>
                <w:color w:val="auto"/>
              </w:rPr>
            </w:pPr>
          </w:p>
        </w:tc>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w:t>
            </w:r>
          </w:p>
        </w:tc>
      </w:tr>
      <w:tr>
        <w:trPr>
          <w:trHeight w:val="18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Assets acquired under capital lease obligations</w:t>
            </w:r>
          </w:p>
        </w:tc>
        <w:tc>
          <w:tcPr>
            <w:tcW w:w="96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r>
    </w:tbl>
    <w:p>
      <w:pPr>
        <w:spacing w:after="0" w:line="157" w:lineRule="exact"/>
        <w:rPr>
          <w:sz w:val="20"/>
          <w:szCs w:val="20"/>
          <w:color w:val="auto"/>
        </w:rPr>
      </w:pPr>
    </w:p>
    <w:p>
      <w:pPr>
        <w:ind w:left="208" w:hanging="208"/>
        <w:spacing w:after="0"/>
        <w:tabs>
          <w:tab w:leader="none" w:pos="208"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Cash, cash equivalents and restricted cash at June 30, 2025 excludes marketable securities of $60.4 million.</w:t>
      </w:r>
    </w:p>
    <w:p>
      <w:pPr>
        <w:sectPr>
          <w:pgSz w:w="11900" w:h="16838" w:orient="portrait"/>
          <w:cols w:equalWidth="0" w:num="1">
            <w:col w:w="11308"/>
          </w:cols>
          <w:pgMar w:left="292" w:top="773" w:right="299" w:bottom="1440" w:gutter="0" w:footer="0" w:header="0"/>
        </w:sectPr>
      </w:pPr>
    </w:p>
    <w:bookmarkStart w:id="11" w:name="page12"/>
    <w:bookmarkEnd w:id="1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lvl w:ilvl="1">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
      <w:numFmt w:val="bullet"/>
      <w:start w:val="1"/>
    </w:lvl>
  </w:abstractNum>
  <w:abstractNum w:abstractNumId="6">
    <w:nsid w:val="109CF92E"/>
    <w:multiLevelType w:val="hybridMultilevel"/>
    <w:lvl w:ilvl="0">
      <w:lvlJc w:val="left"/>
      <w:lvlText w:val="•"/>
      <w:numFmt w:val="bullet"/>
      <w:start w:val="1"/>
    </w:lvl>
    <w:lvl w:ilvl="1">
      <w:lvlJc w:val="left"/>
      <w:lvlText w:val="◦"/>
      <w:numFmt w:val="bullet"/>
      <w:start w:val="1"/>
    </w:lvl>
  </w:abstractNum>
  <w:abstractNum w:abstractNumId="7">
    <w:nsid w:val="DED7263"/>
    <w:multiLevelType w:val="hybridMultilevel"/>
    <w:lvl w:ilvl="0">
      <w:lvlJc w:val="left"/>
      <w:lvlText w:val="•"/>
      <w:numFmt w:val="bullet"/>
      <w:start w:val="1"/>
    </w:lvl>
    <w:lvl w:ilvl="1">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2025-07-29T06:25:29Z</dcterms:created>
  <dcterms:modified xsi:type="dcterms:W3CDTF">2025-07-29T06:25:29Z</dcterms:modified>
</cp:coreProperties>
</file>