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80638.xml.htm"/>
      <w:bookmarkStart w:id="1" w:name="ksform406032026_0806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35,659</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51.74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35,290</w:t>
            </w:r>
            <w:r>
              <w:rPr>
                <w:rFonts w:ascii="Times;serif" w:hAnsi="Times;serif"/>
                <w:color w:val="008000"/>
                <w:position w:val="7"/>
                <w:sz w:val="16"/>
                <w:sz w:val="20"/>
                <w:shd w:fill="FFFFFF" w:val="clear"/>
              </w:rPr>
              <w:t>(3)</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the reported sale undertaken to satisfy tax withholding liabilities, in addition to the 35,290 shares of Class A Common Stock beneficially owned by the Reporting Person, the Reporting Person beneficially owned RSUs representing contingent rights to receive up to an aggregate 91,702 shares of Class A Common Stock and options to purchase up to an aggregate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 of the total award vested or vests quarterly, subject to the Reporting Person's continued service to the Issuer on each vesting date, and with the first tranche vested on December 1, 2022.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4281</Characters>
  <CharactersWithSpaces>5011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