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394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3949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Stueland Katherine</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60" w:type="dxa"/>
            <w:vAlign w:val="bottom"/>
          </w:tcPr>
          <w:p>
            <w:pPr>
              <w:ind w:left="160"/>
              <w:spacing w:after="0"/>
              <w:rPr>
                <w:sz w:val="20"/>
                <w:szCs w:val="20"/>
                <w:color w:val="auto"/>
              </w:rPr>
            </w:pPr>
            <w:r>
              <w:rPr>
                <w:rFonts w:ascii="Arial" w:cs="Arial" w:eastAsia="Arial" w:hAnsi="Arial"/>
                <w:sz w:val="13"/>
                <w:szCs w:val="13"/>
                <w:color w:val="auto"/>
              </w:rPr>
              <w:t>(First)</w:t>
            </w:r>
          </w:p>
        </w:tc>
        <w:tc>
          <w:tcPr>
            <w:tcW w:w="120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7"/>
              </w:rPr>
              <w:t>C/O GENEDX HOLDINGS CORP.</w:t>
            </w:r>
          </w:p>
        </w:tc>
        <w:tc>
          <w:tcPr>
            <w:tcW w:w="120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333 LUDLOW ST., NORTH TOWER</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r>
      <w:tr>
        <w:trPr>
          <w:trHeight w:val="25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3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06902</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3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60" w:type="dxa"/>
            <w:vAlign w:val="bottom"/>
          </w:tcPr>
          <w:p>
            <w:pPr>
              <w:ind w:left="160"/>
              <w:spacing w:after="0"/>
              <w:rPr>
                <w:sz w:val="20"/>
                <w:szCs w:val="20"/>
                <w:color w:val="auto"/>
              </w:rPr>
            </w:pPr>
            <w:r>
              <w:rPr>
                <w:rFonts w:ascii="Arial" w:cs="Arial" w:eastAsia="Arial" w:hAnsi="Arial"/>
                <w:sz w:val="13"/>
                <w:szCs w:val="13"/>
                <w:color w:val="auto"/>
              </w:rPr>
              <w:t>(State)</w:t>
            </w:r>
          </w:p>
        </w:tc>
        <w:tc>
          <w:tcPr>
            <w:tcW w:w="120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GeneDx Holdings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WGS</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00" w:type="dxa"/>
            <w:vAlign w:val="bottom"/>
            <w:tcBorders>
              <w:bottom w:val="single" w:sz="8" w:color="0000EE"/>
            </w:tcBorders>
          </w:tcPr>
          <w:p>
            <w:pPr>
              <w:spacing w:after="0"/>
              <w:rPr>
                <w:sz w:val="3"/>
                <w:szCs w:val="3"/>
                <w:color w:val="auto"/>
              </w:rPr>
            </w:pPr>
          </w:p>
        </w:tc>
        <w:tc>
          <w:tcPr>
            <w:tcW w:w="174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18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12/16/2023</w:t>
            </w:r>
          </w:p>
        </w:tc>
        <w:tc>
          <w:tcPr>
            <w:tcW w:w="1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80" w:type="dxa"/>
            <w:vAlign w:val="bottom"/>
            <w:gridSpan w:val="3"/>
            <w:vMerge w:val="continue"/>
          </w:tcPr>
          <w:p>
            <w:pPr>
              <w:spacing w:after="0"/>
              <w:rPr>
                <w:sz w:val="10"/>
                <w:szCs w:val="10"/>
                <w:color w:val="auto"/>
              </w:rPr>
            </w:pPr>
          </w:p>
        </w:tc>
        <w:tc>
          <w:tcPr>
            <w:tcW w:w="1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16"/>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4"/>
          <w:szCs w:val="24"/>
          <w:color w:val="auto"/>
        </w:rPr>
      </w:pPr>
    </w:p>
    <w:p>
      <w:pPr>
        <w:ind w:left="320" w:right="640"/>
        <w:spacing w:after="0" w:line="24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40" w:space="10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12/16/2023</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18,750</w:t>
            </w:r>
          </w:p>
        </w:tc>
        <w:tc>
          <w:tcPr>
            <w:tcW w:w="6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1"/>
                <w:szCs w:val="21"/>
                <w:color w:val="008000"/>
                <w:vertAlign w:val="superscript"/>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64,312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12/18/2023</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11,734</w:t>
            </w:r>
          </w:p>
        </w:tc>
        <w:tc>
          <w:tcPr>
            <w:tcW w:w="6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2.1594</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52,578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18,750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12/16/2023</w:t>
            </w:r>
          </w:p>
        </w:tc>
        <w:tc>
          <w:tcPr>
            <w:tcW w:w="1140" w:type="dxa"/>
            <w:vAlign w:val="bottom"/>
          </w:tcPr>
          <w:p>
            <w:pPr>
              <w:spacing w:after="0"/>
              <w:rPr>
                <w:sz w:val="5"/>
                <w:szCs w:val="5"/>
                <w:color w:val="auto"/>
              </w:rPr>
            </w:pP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5"/>
                <w:szCs w:val="5"/>
                <w:color w:val="auto"/>
              </w:rPr>
            </w:pPr>
          </w:p>
        </w:tc>
        <w:tc>
          <w:tcPr>
            <w:tcW w:w="82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18,750</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243,750</w:t>
            </w: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4" w:lineRule="exact"/>
        <w:rPr>
          <w:rFonts w:ascii="Times New Roman" w:cs="Times New Roman" w:eastAsia="Times New Roman" w:hAnsi="Times New Roman"/>
          <w:sz w:val="13"/>
          <w:szCs w:val="13"/>
          <w:color w:val="008000"/>
        </w:rPr>
      </w:pPr>
    </w:p>
    <w:p>
      <w:pPr>
        <w:ind w:left="40" w:right="62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6" w:lineRule="exact"/>
        <w:rPr>
          <w:rFonts w:ascii="Times New Roman" w:cs="Times New Roman" w:eastAsia="Times New Roman" w:hAnsi="Times New Roman"/>
          <w:sz w:val="13"/>
          <w:szCs w:val="13"/>
          <w:color w:val="008000"/>
        </w:rPr>
      </w:pPr>
    </w:p>
    <w:p>
      <w:pPr>
        <w:ind w:left="40" w:right="240" w:firstLine="2"/>
        <w:spacing w:after="0" w:line="242"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$1.90 to $2.49,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March 16, 2023 until fully vested, subject to the Reporting Person's continued service to the Issuer on each vesting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Devin Schaffer, Attorney-in- </w:t>
      </w:r>
      <w:r>
        <w:rPr>
          <w:rFonts w:ascii="Times New Roman" w:cs="Times New Roman" w:eastAsia="Times New Roman" w:hAnsi="Times New Roman"/>
          <w:sz w:val="33"/>
          <w:szCs w:val="33"/>
          <w:color w:val="0000FF"/>
          <w:vertAlign w:val="subscript"/>
        </w:rPr>
        <w:t>12/19/2023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55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8957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2023-12-19T20:28:59Z</dcterms:created>
  <dcterms:modified xsi:type="dcterms:W3CDTF">2023-12-19T20:28:59Z</dcterms:modified>
</cp:coreProperties>
</file>