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6325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325235"/>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39"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RUCH JOSHUA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GeneDx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WGS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333 LUDLOW ST., NORTH TOWER, 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39"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06/18/2026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3,576</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0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33,299</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11,941</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Kariba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24,243</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Rugu2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line="269"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VAAL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120,083</w:t>
            </w:r>
          </w:p>
        </w:tc>
        <w:tc>
          <w:tcPr>
            <w:tcW w:w="320" w:type="dxa"/>
            <w:vAlign w:val="bottom"/>
          </w:tcPr>
          <w:p>
            <w:pPr>
              <w:spacing w:after="0"/>
              <w:rPr>
                <w:sz w:val="17"/>
                <w:szCs w:val="17"/>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4,248</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120" w:type="dxa"/>
            <w:vAlign w:val="bottom"/>
          </w:tcPr>
          <w:p>
            <w:pPr>
              <w:spacing w:after="0"/>
              <w:rPr>
                <w:sz w:val="5"/>
                <w:szCs w:val="5"/>
                <w:color w:val="auto"/>
              </w:rPr>
            </w:pPr>
          </w:p>
        </w:tc>
        <w:tc>
          <w:tcPr>
            <w:tcW w:w="6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202"/>
              <w:spacing w:after="0" w:line="141" w:lineRule="exact"/>
              <w:rPr>
                <w:sz w:val="20"/>
                <w:szCs w:val="20"/>
                <w:color w:val="auto"/>
              </w:rPr>
            </w:pPr>
            <w:r>
              <w:rPr>
                <w:rFonts w:ascii="Times New Roman" w:cs="Times New Roman" w:eastAsia="Times New Roman" w:hAnsi="Times New Roman"/>
                <w:sz w:val="13"/>
                <w:szCs w:val="13"/>
                <w:color w:val="0000FF"/>
              </w:rPr>
              <w:t>4,248</w:t>
            </w:r>
          </w:p>
        </w:tc>
        <w:tc>
          <w:tcPr>
            <w:tcW w:w="54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3,576</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06/18/2026</w:t>
            </w:r>
          </w:p>
        </w:tc>
        <w:tc>
          <w:tcPr>
            <w:tcW w:w="1120" w:type="dxa"/>
            <w:vAlign w:val="bottom"/>
          </w:tcPr>
          <w:p>
            <w:pPr>
              <w:spacing w:after="0"/>
              <w:rPr>
                <w:sz w:val="5"/>
                <w:szCs w:val="5"/>
                <w:color w:val="auto"/>
              </w:rPr>
            </w:pPr>
          </w:p>
        </w:tc>
        <w:tc>
          <w:tcPr>
            <w:tcW w:w="62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5"/>
                <w:szCs w:val="5"/>
                <w:color w:val="auto"/>
              </w:rPr>
            </w:pPr>
          </w:p>
        </w:tc>
        <w:tc>
          <w:tcPr>
            <w:tcW w:w="54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3" w:lineRule="exact"/>
        <w:rPr>
          <w:rFonts w:ascii="Times New Roman" w:cs="Times New Roman" w:eastAsia="Times New Roman" w:hAnsi="Times New Roman"/>
          <w:sz w:val="13"/>
          <w:szCs w:val="13"/>
          <w:color w:val="008000"/>
        </w:rPr>
      </w:pPr>
    </w:p>
    <w:p>
      <w:pPr>
        <w:jc w:val="both"/>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(i) Kariba LLC ("Kariba"); (ii) RUGU2 LLC ("RUGU2"); and (iii) the managing member of the general partner of Vaal Investment Partners Q9 LP ("Q9"). As such, the Reporting Person may be deemed to exercise voting and investment discretion with respect to securities directly held by Kariba, RUGU2, and Q9. The Reporting Person disclaims beneficial ownership of such securities, except to the extent of his pecuniary interest therein.</w:t>
      </w:r>
    </w:p>
    <w:p>
      <w:pPr>
        <w:spacing w:after="0" w:line="27" w:lineRule="exact"/>
        <w:rPr>
          <w:rFonts w:ascii="Times New Roman" w:cs="Times New Roman" w:eastAsia="Times New Roman" w:hAnsi="Times New Roman"/>
          <w:sz w:val="13"/>
          <w:szCs w:val="13"/>
          <w:color w:val="008000"/>
        </w:rPr>
      </w:pPr>
    </w:p>
    <w:p>
      <w:pPr>
        <w:ind w:left="40" w:right="3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of the (i) date of the 2027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spacing w:after="0" w:line="17" w:lineRule="exact"/>
        <w:rPr>
          <w:rFonts w:ascii="Times New Roman" w:cs="Times New Roman" w:eastAsia="Times New Roman" w:hAnsi="Times New Roman"/>
          <w:sz w:val="13"/>
          <w:szCs w:val="13"/>
          <w:color w:val="008000"/>
        </w:rPr>
      </w:pPr>
    </w:p>
    <w:p>
      <w:pPr>
        <w:ind w:left="40" w:right="52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vested or vests on the earlier of the: (i) date of the 2026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1"/>
          <w:szCs w:val="31"/>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434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2026-06-23T15:48:58Z</dcterms:created>
  <dcterms:modified xsi:type="dcterms:W3CDTF">2026-06-23T15:48:58Z</dcterms:modified>
</cp:coreProperties>
</file>