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01/29/2025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16"/>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275</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78.4804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2,950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753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01/29/2025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20"/>
              <w:spacing w:after="0" w:line="144" w:lineRule="exact"/>
              <w:rPr>
                <w:sz w:val="20"/>
                <w:szCs w:val="20"/>
                <w:color w:val="auto"/>
              </w:rPr>
            </w:pPr>
            <w:r>
              <w:rPr>
                <w:rFonts w:ascii="Times New Roman" w:cs="Times New Roman" w:eastAsia="Times New Roman" w:hAnsi="Times New Roman"/>
                <w:sz w:val="13"/>
                <w:szCs w:val="13"/>
                <w:color w:val="0000FF"/>
              </w:rPr>
              <w:t>753</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3,767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$78.48 to $78.5983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30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shares each vested on April 29, 2023 and April 29, 2024, and 6.25% vest in quarterly installments thereafter until fully vested,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01/31/2025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2025-01-31T16:55:48Z</dcterms:created>
  <dcterms:modified xsi:type="dcterms:W3CDTF">2025-01-31T16:55:48Z</dcterms:modified>
</cp:coreProperties>
</file>