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2893695</wp:posOffset>
            </wp:positionH>
            <wp:positionV relativeFrom="paragraph">
              <wp:posOffset>163195</wp:posOffset>
            </wp:positionV>
            <wp:extent cx="13544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SCHEDULE 14A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2893695</wp:posOffset>
            </wp:positionH>
            <wp:positionV relativeFrom="paragraph">
              <wp:posOffset>158750</wp:posOffset>
            </wp:positionV>
            <wp:extent cx="135445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2851150</wp:posOffset>
            </wp:positionH>
            <wp:positionV relativeFrom="paragraph">
              <wp:posOffset>77470</wp:posOffset>
            </wp:positionV>
            <wp:extent cx="1440180" cy="497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49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GENEDX HOLDINGS CORP.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(Name of Registrant as Specified in Its Charter)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317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619760</wp:posOffset>
            </wp:positionH>
            <wp:positionV relativeFrom="page">
              <wp:posOffset>500380</wp:posOffset>
            </wp:positionV>
            <wp:extent cx="6309360" cy="8229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822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628015</wp:posOffset>
            </wp:positionH>
            <wp:positionV relativeFrom="page">
              <wp:posOffset>500380</wp:posOffset>
            </wp:positionV>
            <wp:extent cx="6300470" cy="8229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22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2025-04-30T15:44:13Z</dcterms:created>
  <dcterms:modified xsi:type="dcterms:W3CDTF">2025-04-30T15:44:13Z</dcterms:modified>
</cp:coreProperties>
</file>