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32"/>
          <w:szCs w:val="32"/>
          <w:b w:val="1"/>
          <w:bCs w:val="1"/>
          <w:color w:val="auto"/>
        </w:rPr>
        <w:t>SCHEDULE 13D</w:t>
      </w:r>
    </w:p>
    <w:p>
      <w:pPr>
        <w:spacing w:after="0" w:line="22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40"/>
          <w:szCs w:val="40"/>
          <w:b w:val="1"/>
          <w:bCs w:val="1"/>
          <w:color w:val="auto"/>
        </w:rPr>
        <w:t>GeneDx Holdings Corp.</w:t>
      </w:r>
    </w:p>
    <w:p>
      <w:pPr>
        <w:spacing w:after="0" w:line="4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1"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81663L101</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188" w:lineRule="exact"/>
        <w:rPr>
          <w:sz w:val="24"/>
          <w:szCs w:val="24"/>
          <w:color w:val="auto"/>
        </w:rPr>
      </w:pPr>
    </w:p>
    <w:p>
      <w:pPr>
        <w:ind w:left="4944"/>
        <w:spacing w:after="0"/>
        <w:rPr>
          <w:sz w:val="20"/>
          <w:szCs w:val="20"/>
          <w:color w:val="auto"/>
        </w:rPr>
      </w:pPr>
      <w:r>
        <w:rPr>
          <w:rFonts w:ascii="Times New Roman" w:cs="Times New Roman" w:eastAsia="Times New Roman" w:hAnsi="Times New Roman"/>
          <w:sz w:val="18"/>
          <w:szCs w:val="18"/>
          <w:b w:val="1"/>
          <w:bCs w:val="1"/>
          <w:color w:val="auto"/>
        </w:rPr>
        <w:t>John G. Finley</w:t>
      </w:r>
    </w:p>
    <w:p>
      <w:pPr>
        <w:spacing w:after="0" w:line="31" w:lineRule="exact"/>
        <w:rPr>
          <w:sz w:val="24"/>
          <w:szCs w:val="24"/>
          <w:color w:val="auto"/>
        </w:rPr>
      </w:pPr>
    </w:p>
    <w:p>
      <w:pPr>
        <w:ind w:left="4924"/>
        <w:spacing w:after="0"/>
        <w:rPr>
          <w:sz w:val="20"/>
          <w:szCs w:val="20"/>
          <w:color w:val="auto"/>
        </w:rPr>
      </w:pPr>
      <w:r>
        <w:rPr>
          <w:rFonts w:ascii="Times New Roman" w:cs="Times New Roman" w:eastAsia="Times New Roman" w:hAnsi="Times New Roman"/>
          <w:sz w:val="18"/>
          <w:szCs w:val="18"/>
          <w:b w:val="1"/>
          <w:bCs w:val="1"/>
          <w:color w:val="auto"/>
        </w:rPr>
        <w:t>Blackstone Inc.</w:t>
      </w:r>
    </w:p>
    <w:p>
      <w:pPr>
        <w:spacing w:after="0" w:line="9" w:lineRule="exact"/>
        <w:rPr>
          <w:sz w:val="24"/>
          <w:szCs w:val="24"/>
          <w:color w:val="auto"/>
        </w:rPr>
      </w:pPr>
    </w:p>
    <w:p>
      <w:pPr>
        <w:ind w:left="4444" w:right="4380" w:firstLine="416"/>
        <w:spacing w:after="0" w:line="250" w:lineRule="auto"/>
        <w:tabs>
          <w:tab w:leader="none" w:pos="5168"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Park Avenue New York, New York 10154</w:t>
      </w:r>
    </w:p>
    <w:p>
      <w:pPr>
        <w:ind w:left="478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Tel: (212) 583-5000</w:t>
      </w:r>
    </w:p>
    <w:p>
      <w:pPr>
        <w:spacing w:after="0" w:line="2"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(Name, Address and Telephone Number of Person Authorized to Receive Notices and Communications)</w:t>
      </w:r>
    </w:p>
    <w:p>
      <w:pPr>
        <w:spacing w:after="0" w:line="188"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January 31, 2023</w:t>
      </w:r>
    </w:p>
    <w:p>
      <w:pPr>
        <w:spacing w:after="0" w:line="25" w:lineRule="exact"/>
        <w:rPr>
          <w:sz w:val="24"/>
          <w:szCs w:val="24"/>
          <w:color w:val="auto"/>
        </w:rPr>
      </w:pPr>
    </w:p>
    <w:p>
      <w:pPr>
        <w:jc w:val="center"/>
        <w:ind w:right="-6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12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151130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49" w:lineRule="exact"/>
        <w:rPr>
          <w:sz w:val="24"/>
          <w:szCs w:val="24"/>
          <w:color w:val="auto"/>
        </w:rPr>
      </w:pPr>
    </w:p>
    <w:p>
      <w:pPr>
        <w:ind w:left="4" w:right="28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 See Rule 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35560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4" w:lineRule="exact"/>
        <w:rPr>
          <w:sz w:val="24"/>
          <w:szCs w:val="24"/>
          <w:color w:val="auto"/>
        </w:rPr>
      </w:pPr>
    </w:p>
    <w:p>
      <w:pPr>
        <w:ind w:left="424" w:hanging="424"/>
        <w:spacing w:after="0" w:line="282" w:lineRule="auto"/>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2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132080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174625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76" w:right="5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BTO Sema4 Holdings L.P.</w:t>
      </w:r>
    </w:p>
    <w:p>
      <w:pPr>
        <w:spacing w:after="0" w:line="36" w:lineRule="exact"/>
        <w:rPr>
          <w:sz w:val="20"/>
          <w:szCs w:val="20"/>
          <w:color w:val="auto"/>
        </w:rPr>
      </w:pPr>
    </w:p>
    <w:p>
      <w:pPr>
        <w:ind w:left="620" w:hanging="377"/>
        <w:spacing w:after="0"/>
        <w:tabs>
          <w:tab w:leader="none" w:pos="6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0"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Borders>
              <w:bottom w:val="single" w:sz="8" w:color="auto"/>
            </w:tcBorders>
          </w:tcPr>
          <w:p>
            <w:pPr>
              <w:spacing w:after="0"/>
              <w:rPr>
                <w:sz w:val="21"/>
                <w:szCs w:val="21"/>
                <w:color w:val="auto"/>
              </w:rPr>
            </w:pPr>
          </w:p>
        </w:tc>
        <w:tc>
          <w:tcPr>
            <w:tcW w:w="8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26,839,187</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88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20"/>
                <w:szCs w:val="20"/>
                <w:color w:val="auto"/>
              </w:rPr>
            </w:pPr>
          </w:p>
        </w:tc>
        <w:tc>
          <w:tcPr>
            <w:tcW w:w="8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86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9"/>
                <w:szCs w:val="19"/>
                <w:color w:val="auto"/>
              </w:rPr>
            </w:pP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26,839,187</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8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26,839,187</w:t>
      </w:r>
    </w:p>
    <w:p>
      <w:pPr>
        <w:spacing w:after="0" w:line="1" w:lineRule="exact"/>
        <w:rPr>
          <w:rFonts w:ascii="Times New Roman" w:cs="Times New Roman" w:eastAsia="Times New Roman" w:hAnsi="Times New Roman"/>
          <w:sz w:val="18"/>
          <w:szCs w:val="18"/>
          <w:color w:val="auto"/>
        </w:rPr>
      </w:pPr>
    </w:p>
    <w:p>
      <w:pPr>
        <w:ind w:left="620" w:hanging="467"/>
        <w:spacing w:after="0"/>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140" w:hanging="467"/>
        <w:spacing w:after="0" w:line="400" w:lineRule="auto"/>
        <w:tabs>
          <w:tab w:leader="none" w:pos="6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3.4%</w:t>
      </w:r>
    </w:p>
    <w:p>
      <w:pPr>
        <w:ind w:left="620" w:right="5960" w:hanging="467"/>
        <w:spacing w:after="0" w:line="493" w:lineRule="auto"/>
        <w:tabs>
          <w:tab w:leader="none" w:pos="61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jc w:val="center"/>
        <w:ind w:right="-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440" w:top="270" w:right="5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BTO Holdings Manager L.L.C.</w:t>
      </w:r>
    </w:p>
    <w:p>
      <w:pPr>
        <w:spacing w:after="0" w:line="36" w:lineRule="exact"/>
        <w:rPr>
          <w:sz w:val="20"/>
          <w:szCs w:val="20"/>
          <w:color w:val="auto"/>
        </w:rPr>
      </w:pPr>
    </w:p>
    <w:p>
      <w:pPr>
        <w:ind w:left="620" w:hanging="377"/>
        <w:spacing w:after="0"/>
        <w:tabs>
          <w:tab w:leader="none" w:pos="6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0"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Borders>
              <w:bottom w:val="single" w:sz="8" w:color="auto"/>
            </w:tcBorders>
          </w:tcPr>
          <w:p>
            <w:pPr>
              <w:spacing w:after="0"/>
              <w:rPr>
                <w:sz w:val="21"/>
                <w:szCs w:val="21"/>
                <w:color w:val="auto"/>
              </w:rPr>
            </w:pPr>
          </w:p>
        </w:tc>
        <w:tc>
          <w:tcPr>
            <w:tcW w:w="8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26,839,187</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88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20"/>
                <w:szCs w:val="20"/>
                <w:color w:val="auto"/>
              </w:rPr>
            </w:pPr>
          </w:p>
        </w:tc>
        <w:tc>
          <w:tcPr>
            <w:tcW w:w="8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86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9"/>
                <w:szCs w:val="19"/>
                <w:color w:val="auto"/>
              </w:rPr>
            </w:pP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26,839,187</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8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26,839,187</w:t>
      </w:r>
    </w:p>
    <w:p>
      <w:pPr>
        <w:spacing w:after="0" w:line="1" w:lineRule="exact"/>
        <w:rPr>
          <w:rFonts w:ascii="Times New Roman" w:cs="Times New Roman" w:eastAsia="Times New Roman" w:hAnsi="Times New Roman"/>
          <w:sz w:val="18"/>
          <w:szCs w:val="18"/>
          <w:color w:val="auto"/>
        </w:rPr>
      </w:pPr>
    </w:p>
    <w:p>
      <w:pPr>
        <w:ind w:left="620" w:hanging="467"/>
        <w:spacing w:after="0"/>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140" w:hanging="467"/>
        <w:spacing w:after="0" w:line="400" w:lineRule="auto"/>
        <w:tabs>
          <w:tab w:leader="none" w:pos="6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3.4%</w:t>
      </w:r>
    </w:p>
    <w:p>
      <w:pPr>
        <w:ind w:left="620" w:right="5960" w:hanging="467"/>
        <w:spacing w:after="0" w:line="493" w:lineRule="auto"/>
        <w:tabs>
          <w:tab w:leader="none" w:pos="61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440" w:top="270" w:right="5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Blackstone Tactical Opportunities Associates L.L.C.</w:t>
      </w:r>
    </w:p>
    <w:p>
      <w:pPr>
        <w:spacing w:after="0" w:line="36" w:lineRule="exact"/>
        <w:rPr>
          <w:sz w:val="20"/>
          <w:szCs w:val="20"/>
          <w:color w:val="auto"/>
        </w:rPr>
      </w:pPr>
    </w:p>
    <w:p>
      <w:pPr>
        <w:ind w:left="620" w:hanging="377"/>
        <w:spacing w:after="0"/>
        <w:tabs>
          <w:tab w:leader="none" w:pos="6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0"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Borders>
              <w:bottom w:val="single" w:sz="8" w:color="auto"/>
            </w:tcBorders>
          </w:tcPr>
          <w:p>
            <w:pPr>
              <w:spacing w:after="0"/>
              <w:rPr>
                <w:sz w:val="21"/>
                <w:szCs w:val="21"/>
                <w:color w:val="auto"/>
              </w:rPr>
            </w:pPr>
          </w:p>
        </w:tc>
        <w:tc>
          <w:tcPr>
            <w:tcW w:w="8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26,839,187</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88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20"/>
                <w:szCs w:val="20"/>
                <w:color w:val="auto"/>
              </w:rPr>
            </w:pPr>
          </w:p>
        </w:tc>
        <w:tc>
          <w:tcPr>
            <w:tcW w:w="8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86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9"/>
                <w:szCs w:val="19"/>
                <w:color w:val="auto"/>
              </w:rPr>
            </w:pP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26,839,187</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8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26,839,187</w:t>
      </w:r>
    </w:p>
    <w:p>
      <w:pPr>
        <w:spacing w:after="0" w:line="1" w:lineRule="exact"/>
        <w:rPr>
          <w:rFonts w:ascii="Times New Roman" w:cs="Times New Roman" w:eastAsia="Times New Roman" w:hAnsi="Times New Roman"/>
          <w:sz w:val="18"/>
          <w:szCs w:val="18"/>
          <w:color w:val="auto"/>
        </w:rPr>
      </w:pPr>
    </w:p>
    <w:p>
      <w:pPr>
        <w:ind w:left="620" w:hanging="467"/>
        <w:spacing w:after="0"/>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140" w:hanging="467"/>
        <w:spacing w:after="0" w:line="400" w:lineRule="auto"/>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3.4%</w:t>
      </w:r>
    </w:p>
    <w:p>
      <w:pPr>
        <w:ind w:left="620" w:right="5960" w:hanging="467"/>
        <w:spacing w:after="0" w:line="493" w:lineRule="auto"/>
        <w:tabs>
          <w:tab w:leader="none" w:pos="617"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440" w:top="270" w:right="5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BTOA L.L.C.</w:t>
      </w:r>
    </w:p>
    <w:p>
      <w:pPr>
        <w:spacing w:after="0" w:line="36" w:lineRule="exact"/>
        <w:rPr>
          <w:sz w:val="20"/>
          <w:szCs w:val="20"/>
          <w:color w:val="auto"/>
        </w:rPr>
      </w:pPr>
    </w:p>
    <w:p>
      <w:pPr>
        <w:ind w:left="620" w:hanging="377"/>
        <w:spacing w:after="0"/>
        <w:tabs>
          <w:tab w:leader="none" w:pos="6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0"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Borders>
              <w:bottom w:val="single" w:sz="8" w:color="auto"/>
            </w:tcBorders>
          </w:tcPr>
          <w:p>
            <w:pPr>
              <w:spacing w:after="0"/>
              <w:rPr>
                <w:sz w:val="21"/>
                <w:szCs w:val="21"/>
                <w:color w:val="auto"/>
              </w:rPr>
            </w:pPr>
          </w:p>
        </w:tc>
        <w:tc>
          <w:tcPr>
            <w:tcW w:w="8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26,839,187</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88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20"/>
                <w:szCs w:val="20"/>
                <w:color w:val="auto"/>
              </w:rPr>
            </w:pPr>
          </w:p>
        </w:tc>
        <w:tc>
          <w:tcPr>
            <w:tcW w:w="8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86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9"/>
                <w:szCs w:val="19"/>
                <w:color w:val="auto"/>
              </w:rPr>
            </w:pP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26,839,187</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8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26,839,187</w:t>
      </w:r>
    </w:p>
    <w:p>
      <w:pPr>
        <w:spacing w:after="0" w:line="1" w:lineRule="exact"/>
        <w:rPr>
          <w:rFonts w:ascii="Times New Roman" w:cs="Times New Roman" w:eastAsia="Times New Roman" w:hAnsi="Times New Roman"/>
          <w:sz w:val="18"/>
          <w:szCs w:val="18"/>
          <w:color w:val="auto"/>
        </w:rPr>
      </w:pPr>
    </w:p>
    <w:p>
      <w:pPr>
        <w:ind w:left="620" w:hanging="467"/>
        <w:spacing w:after="0"/>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140" w:hanging="467"/>
        <w:spacing w:after="0" w:line="400" w:lineRule="auto"/>
        <w:tabs>
          <w:tab w:leader="none" w:pos="6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3.4%</w:t>
      </w:r>
    </w:p>
    <w:p>
      <w:pPr>
        <w:ind w:left="620" w:right="5960" w:hanging="467"/>
        <w:spacing w:after="0" w:line="493" w:lineRule="auto"/>
        <w:tabs>
          <w:tab w:leader="none" w:pos="617"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jc w:val="center"/>
        <w:ind w:right="-9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0"/>
          </w:cols>
          <w:pgMar w:left="440" w:top="270" w:right="5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61118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Blackstone Family Tactical Opportunities Investment Partnership III ESC L.P.</w:t>
      </w:r>
    </w:p>
    <w:p>
      <w:pPr>
        <w:spacing w:after="0" w:line="36" w:lineRule="exact"/>
        <w:rPr>
          <w:sz w:val="20"/>
          <w:szCs w:val="20"/>
          <w:color w:val="auto"/>
        </w:rPr>
      </w:pPr>
    </w:p>
    <w:p>
      <w:pPr>
        <w:ind w:left="620" w:hanging="377"/>
        <w:spacing w:after="0"/>
        <w:tabs>
          <w:tab w:leader="none" w:pos="6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0"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Borders>
              <w:bottom w:val="single" w:sz="8" w:color="auto"/>
            </w:tcBorders>
          </w:tcPr>
          <w:p>
            <w:pPr>
              <w:spacing w:after="0"/>
              <w:rPr>
                <w:sz w:val="21"/>
                <w:szCs w:val="21"/>
                <w:color w:val="auto"/>
              </w:rPr>
            </w:pPr>
          </w:p>
        </w:tc>
        <w:tc>
          <w:tcPr>
            <w:tcW w:w="8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162,309</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88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20"/>
                <w:szCs w:val="20"/>
                <w:color w:val="auto"/>
              </w:rPr>
            </w:pPr>
          </w:p>
        </w:tc>
        <w:tc>
          <w:tcPr>
            <w:tcW w:w="8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86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9"/>
                <w:szCs w:val="19"/>
                <w:color w:val="auto"/>
              </w:rPr>
            </w:pP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162,309</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8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162,309</w:t>
      </w:r>
    </w:p>
    <w:p>
      <w:pPr>
        <w:spacing w:after="0" w:line="1" w:lineRule="exact"/>
        <w:rPr>
          <w:rFonts w:ascii="Times New Roman" w:cs="Times New Roman" w:eastAsia="Times New Roman" w:hAnsi="Times New Roman"/>
          <w:sz w:val="18"/>
          <w:szCs w:val="18"/>
          <w:color w:val="auto"/>
        </w:rPr>
      </w:pPr>
    </w:p>
    <w:p>
      <w:pPr>
        <w:ind w:left="620" w:hanging="467"/>
        <w:spacing w:after="0"/>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140" w:hanging="467"/>
        <w:spacing w:after="0" w:line="400" w:lineRule="auto"/>
        <w:tabs>
          <w:tab w:leader="none" w:pos="6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&lt; 0.1%</w:t>
      </w:r>
    </w:p>
    <w:p>
      <w:pPr>
        <w:ind w:left="620" w:right="5960" w:hanging="467"/>
        <w:spacing w:after="0" w:line="493" w:lineRule="auto"/>
        <w:tabs>
          <w:tab w:leader="none" w:pos="617"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440" w:top="270" w:right="5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6111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BTO Side-by-Side GP L.L.C.</w:t>
      </w:r>
    </w:p>
    <w:p>
      <w:pPr>
        <w:spacing w:after="0" w:line="36" w:lineRule="exact"/>
        <w:rPr>
          <w:sz w:val="20"/>
          <w:szCs w:val="20"/>
          <w:color w:val="auto"/>
        </w:rPr>
      </w:pPr>
    </w:p>
    <w:p>
      <w:pPr>
        <w:ind w:left="620" w:hanging="377"/>
        <w:spacing w:after="0"/>
        <w:tabs>
          <w:tab w:leader="none" w:pos="6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0"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Borders>
              <w:bottom w:val="single" w:sz="8" w:color="auto"/>
            </w:tcBorders>
          </w:tcPr>
          <w:p>
            <w:pPr>
              <w:spacing w:after="0"/>
              <w:rPr>
                <w:sz w:val="21"/>
                <w:szCs w:val="21"/>
                <w:color w:val="auto"/>
              </w:rPr>
            </w:pPr>
          </w:p>
        </w:tc>
        <w:tc>
          <w:tcPr>
            <w:tcW w:w="8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162,309</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88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20"/>
                <w:szCs w:val="20"/>
                <w:color w:val="auto"/>
              </w:rPr>
            </w:pPr>
          </w:p>
        </w:tc>
        <w:tc>
          <w:tcPr>
            <w:tcW w:w="8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86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9"/>
                <w:szCs w:val="19"/>
                <w:color w:val="auto"/>
              </w:rPr>
            </w:pP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162,309</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8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162,309</w:t>
      </w:r>
    </w:p>
    <w:p>
      <w:pPr>
        <w:spacing w:after="0" w:line="1" w:lineRule="exact"/>
        <w:rPr>
          <w:rFonts w:ascii="Times New Roman" w:cs="Times New Roman" w:eastAsia="Times New Roman" w:hAnsi="Times New Roman"/>
          <w:sz w:val="18"/>
          <w:szCs w:val="18"/>
          <w:color w:val="auto"/>
        </w:rPr>
      </w:pPr>
    </w:p>
    <w:p>
      <w:pPr>
        <w:ind w:left="620" w:hanging="467"/>
        <w:spacing w:after="0"/>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140" w:hanging="467"/>
        <w:spacing w:after="0" w:line="400" w:lineRule="auto"/>
        <w:tabs>
          <w:tab w:leader="none" w:pos="6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&lt; 0.1%</w:t>
      </w:r>
    </w:p>
    <w:p>
      <w:pPr>
        <w:ind w:left="620" w:right="5960" w:hanging="467"/>
        <w:spacing w:after="0" w:line="493" w:lineRule="auto"/>
        <w:tabs>
          <w:tab w:leader="none" w:pos="61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jc w:val="center"/>
        <w:ind w:right="-9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0"/>
          </w:cols>
          <w:pgMar w:left="440" w:top="270" w:right="5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61125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Blackstone Holdings III L.P.</w:t>
      </w:r>
    </w:p>
    <w:p>
      <w:pPr>
        <w:spacing w:after="0" w:line="36" w:lineRule="exact"/>
        <w:rPr>
          <w:sz w:val="20"/>
          <w:szCs w:val="20"/>
          <w:color w:val="auto"/>
        </w:rPr>
      </w:pPr>
    </w:p>
    <w:p>
      <w:pPr>
        <w:ind w:left="620" w:hanging="377"/>
        <w:spacing w:after="0"/>
        <w:tabs>
          <w:tab w:leader="none" w:pos="6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0"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Borders>
              <w:bottom w:val="single" w:sz="8" w:color="auto"/>
            </w:tcBorders>
          </w:tcPr>
          <w:p>
            <w:pPr>
              <w:spacing w:after="0"/>
              <w:rPr>
                <w:sz w:val="21"/>
                <w:szCs w:val="21"/>
                <w:color w:val="auto"/>
              </w:rPr>
            </w:pPr>
          </w:p>
        </w:tc>
        <w:tc>
          <w:tcPr>
            <w:tcW w:w="8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27,001,496</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88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20"/>
                <w:szCs w:val="20"/>
                <w:color w:val="auto"/>
              </w:rPr>
            </w:pPr>
          </w:p>
        </w:tc>
        <w:tc>
          <w:tcPr>
            <w:tcW w:w="8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86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9"/>
                <w:szCs w:val="19"/>
                <w:color w:val="auto"/>
              </w:rPr>
            </w:pP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27,001,496</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8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27,001,496</w:t>
      </w:r>
    </w:p>
    <w:p>
      <w:pPr>
        <w:spacing w:after="0" w:line="1" w:lineRule="exact"/>
        <w:rPr>
          <w:rFonts w:ascii="Times New Roman" w:cs="Times New Roman" w:eastAsia="Times New Roman" w:hAnsi="Times New Roman"/>
          <w:sz w:val="18"/>
          <w:szCs w:val="18"/>
          <w:color w:val="auto"/>
        </w:rPr>
      </w:pPr>
    </w:p>
    <w:p>
      <w:pPr>
        <w:ind w:left="620" w:hanging="467"/>
        <w:spacing w:after="0"/>
        <w:tabs>
          <w:tab w:leader="none" w:pos="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140" w:hanging="467"/>
        <w:spacing w:after="0" w:line="400" w:lineRule="auto"/>
        <w:tabs>
          <w:tab w:leader="none" w:pos="6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3.4%</w:t>
      </w:r>
    </w:p>
    <w:p>
      <w:pPr>
        <w:ind w:left="620" w:right="5960" w:hanging="467"/>
        <w:spacing w:after="0" w:line="493" w:lineRule="auto"/>
        <w:tabs>
          <w:tab w:leader="none" w:pos="617"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jc w:val="center"/>
        <w:ind w:right="-9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440" w:top="270" w:right="5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61118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Blackstone Holdings III GP L.P.</w:t>
      </w:r>
    </w:p>
    <w:p>
      <w:pPr>
        <w:spacing w:after="0" w:line="36" w:lineRule="exact"/>
        <w:rPr>
          <w:sz w:val="20"/>
          <w:szCs w:val="20"/>
          <w:color w:val="auto"/>
        </w:rPr>
      </w:pPr>
    </w:p>
    <w:p>
      <w:pPr>
        <w:ind w:left="620" w:hanging="377"/>
        <w:spacing w:after="0"/>
        <w:tabs>
          <w:tab w:leader="none" w:pos="6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0"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Borders>
              <w:bottom w:val="single" w:sz="8" w:color="auto"/>
            </w:tcBorders>
          </w:tcPr>
          <w:p>
            <w:pPr>
              <w:spacing w:after="0"/>
              <w:rPr>
                <w:sz w:val="21"/>
                <w:szCs w:val="21"/>
                <w:color w:val="auto"/>
              </w:rPr>
            </w:pPr>
          </w:p>
        </w:tc>
        <w:tc>
          <w:tcPr>
            <w:tcW w:w="8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27,001,496</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88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20"/>
                <w:szCs w:val="20"/>
                <w:color w:val="auto"/>
              </w:rPr>
            </w:pPr>
          </w:p>
        </w:tc>
        <w:tc>
          <w:tcPr>
            <w:tcW w:w="8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86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9"/>
                <w:szCs w:val="19"/>
                <w:color w:val="auto"/>
              </w:rPr>
            </w:pP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27,001,496</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8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27,001,496</w:t>
      </w:r>
    </w:p>
    <w:p>
      <w:pPr>
        <w:spacing w:after="0" w:line="1" w:lineRule="exact"/>
        <w:rPr>
          <w:rFonts w:ascii="Times New Roman" w:cs="Times New Roman" w:eastAsia="Times New Roman" w:hAnsi="Times New Roman"/>
          <w:sz w:val="18"/>
          <w:szCs w:val="18"/>
          <w:color w:val="auto"/>
        </w:rPr>
      </w:pPr>
    </w:p>
    <w:p>
      <w:pPr>
        <w:ind w:left="620" w:hanging="467"/>
        <w:spacing w:after="0"/>
        <w:tabs>
          <w:tab w:leader="none" w:pos="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140" w:hanging="467"/>
        <w:spacing w:after="0" w:line="400" w:lineRule="auto"/>
        <w:tabs>
          <w:tab w:leader="none" w:pos="62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3.4%</w:t>
      </w:r>
    </w:p>
    <w:p>
      <w:pPr>
        <w:ind w:left="620" w:right="5960" w:hanging="467"/>
        <w:spacing w:after="0" w:line="493" w:lineRule="auto"/>
        <w:tabs>
          <w:tab w:leader="none" w:pos="617"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440" w:top="270" w:right="5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6926580" cy="61125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6580" cy="611251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Blackstone Holdings III GP Management L.L.C.</w:t>
      </w:r>
    </w:p>
    <w:p>
      <w:pPr>
        <w:spacing w:after="0" w:line="36" w:lineRule="exact"/>
        <w:rPr>
          <w:sz w:val="20"/>
          <w:szCs w:val="20"/>
          <w:color w:val="auto"/>
        </w:rPr>
      </w:pPr>
    </w:p>
    <w:p>
      <w:pPr>
        <w:ind w:left="620" w:hanging="377"/>
        <w:spacing w:after="0"/>
        <w:tabs>
          <w:tab w:leader="none" w:pos="6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0"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Borders>
              <w:bottom w:val="single" w:sz="8" w:color="auto"/>
            </w:tcBorders>
          </w:tcPr>
          <w:p>
            <w:pPr>
              <w:spacing w:after="0"/>
              <w:rPr>
                <w:sz w:val="21"/>
                <w:szCs w:val="21"/>
                <w:color w:val="auto"/>
              </w:rPr>
            </w:pPr>
          </w:p>
        </w:tc>
        <w:tc>
          <w:tcPr>
            <w:tcW w:w="886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27,001,496</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88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20"/>
                <w:szCs w:val="20"/>
                <w:color w:val="auto"/>
              </w:rPr>
            </w:pPr>
          </w:p>
        </w:tc>
        <w:tc>
          <w:tcPr>
            <w:tcW w:w="88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86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tcPr>
          <w:p>
            <w:pPr>
              <w:spacing w:after="0"/>
              <w:rPr>
                <w:sz w:val="18"/>
                <w:szCs w:val="18"/>
                <w:color w:val="auto"/>
              </w:rPr>
            </w:pPr>
          </w:p>
        </w:tc>
        <w:tc>
          <w:tcPr>
            <w:tcW w:w="8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9"/>
                <w:szCs w:val="19"/>
                <w:color w:val="auto"/>
              </w:rPr>
            </w:pPr>
          </w:p>
        </w:tc>
        <w:tc>
          <w:tcPr>
            <w:tcW w:w="8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27,001,496</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8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86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8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20" w:right="3740" w:hanging="467"/>
        <w:spacing w:after="0" w:line="406" w:lineRule="auto"/>
        <w:tabs>
          <w:tab w:leader="none" w:pos="61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27,001,496</w:t>
      </w:r>
    </w:p>
    <w:p>
      <w:pPr>
        <w:spacing w:after="0" w:line="1" w:lineRule="exact"/>
        <w:rPr>
          <w:rFonts w:ascii="Times New Roman" w:cs="Times New Roman" w:eastAsia="Times New Roman" w:hAnsi="Times New Roman"/>
          <w:sz w:val="18"/>
          <w:szCs w:val="18"/>
          <w:color w:val="auto"/>
        </w:rPr>
      </w:pPr>
    </w:p>
    <w:p>
      <w:pPr>
        <w:ind w:left="620" w:hanging="467"/>
        <w:spacing w:after="0"/>
        <w:tabs>
          <w:tab w:leader="none" w:pos="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140" w:hanging="467"/>
        <w:spacing w:after="0" w:line="400" w:lineRule="auto"/>
        <w:tabs>
          <w:tab w:leader="none" w:pos="6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3.4%</w:t>
      </w:r>
    </w:p>
    <w:p>
      <w:pPr>
        <w:ind w:left="620" w:right="5960" w:hanging="467"/>
        <w:spacing w:after="0" w:line="493" w:lineRule="auto"/>
        <w:tabs>
          <w:tab w:leader="none" w:pos="617"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440" w:top="270" w:right="5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61118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Blackstone Tactical Opportunities Fund - FD L.P.</w:t>
      </w:r>
    </w:p>
    <w:p>
      <w:pPr>
        <w:spacing w:after="0" w:line="36" w:lineRule="exact"/>
        <w:rPr>
          <w:sz w:val="20"/>
          <w:szCs w:val="20"/>
          <w:color w:val="auto"/>
        </w:rPr>
      </w:pPr>
    </w:p>
    <w:p>
      <w:pPr>
        <w:ind w:left="620" w:hanging="377"/>
        <w:spacing w:after="0"/>
        <w:tabs>
          <w:tab w:leader="none" w:pos="62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0"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555,497</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9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9"/>
                <w:szCs w:val="19"/>
                <w:color w:val="auto"/>
              </w:rPr>
            </w:pPr>
          </w:p>
        </w:tc>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555,497</w:t>
            </w:r>
          </w:p>
        </w:tc>
        <w:tc>
          <w:tcPr>
            <w:tcW w:w="0" w:type="dxa"/>
            <w:vAlign w:val="bottom"/>
          </w:tcPr>
          <w:p>
            <w:pPr>
              <w:spacing w:after="0"/>
              <w:rPr>
                <w:sz w:val="1"/>
                <w:szCs w:val="1"/>
                <w:color w:val="auto"/>
              </w:rPr>
            </w:pPr>
          </w:p>
        </w:tc>
      </w:tr>
      <w:tr>
        <w:trPr>
          <w:trHeight w:val="67"/>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555,497</w:t>
      </w:r>
    </w:p>
    <w:p>
      <w:pPr>
        <w:spacing w:after="0" w:line="1" w:lineRule="exact"/>
        <w:rPr>
          <w:rFonts w:ascii="Times New Roman" w:cs="Times New Roman" w:eastAsia="Times New Roman" w:hAnsi="Times New Roman"/>
          <w:sz w:val="18"/>
          <w:szCs w:val="18"/>
          <w:color w:val="auto"/>
        </w:rPr>
      </w:pPr>
    </w:p>
    <w:p>
      <w:pPr>
        <w:ind w:left="620" w:hanging="467"/>
        <w:spacing w:after="0"/>
        <w:tabs>
          <w:tab w:leader="none" w:pos="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260" w:hanging="467"/>
        <w:spacing w:after="0" w:line="400" w:lineRule="auto"/>
        <w:tabs>
          <w:tab w:leader="none" w:pos="6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0.1%</w:t>
      </w:r>
    </w:p>
    <w:p>
      <w:pPr>
        <w:ind w:left="620" w:right="6080" w:hanging="467"/>
        <w:spacing w:after="0" w:line="493" w:lineRule="auto"/>
        <w:tabs>
          <w:tab w:leader="none" w:pos="61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611187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Blackstone Tactical Opportunities Associates III - NQ L.P.</w:t>
      </w:r>
    </w:p>
    <w:p>
      <w:pPr>
        <w:spacing w:after="0" w:line="36" w:lineRule="exact"/>
        <w:rPr>
          <w:sz w:val="20"/>
          <w:szCs w:val="20"/>
          <w:color w:val="auto"/>
        </w:rPr>
      </w:pPr>
    </w:p>
    <w:p>
      <w:pPr>
        <w:ind w:left="620" w:hanging="377"/>
        <w:spacing w:after="0"/>
        <w:tabs>
          <w:tab w:leader="none" w:pos="6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0"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555,497</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9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9"/>
                <w:szCs w:val="19"/>
                <w:color w:val="auto"/>
              </w:rPr>
            </w:pPr>
          </w:p>
        </w:tc>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555,497</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555,497</w:t>
      </w:r>
    </w:p>
    <w:p>
      <w:pPr>
        <w:spacing w:after="0" w:line="1" w:lineRule="exact"/>
        <w:rPr>
          <w:rFonts w:ascii="Times New Roman" w:cs="Times New Roman" w:eastAsia="Times New Roman" w:hAnsi="Times New Roman"/>
          <w:sz w:val="18"/>
          <w:szCs w:val="18"/>
          <w:color w:val="auto"/>
        </w:rPr>
      </w:pPr>
    </w:p>
    <w:p>
      <w:pPr>
        <w:ind w:left="620" w:hanging="467"/>
        <w:spacing w:after="0"/>
        <w:tabs>
          <w:tab w:leader="none" w:pos="6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260" w:hanging="467"/>
        <w:spacing w:after="0" w:line="400" w:lineRule="auto"/>
        <w:tabs>
          <w:tab w:leader="none" w:pos="62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0.1%</w:t>
      </w:r>
    </w:p>
    <w:p>
      <w:pPr>
        <w:ind w:left="620" w:right="6080" w:hanging="467"/>
        <w:spacing w:after="0" w:line="493" w:lineRule="auto"/>
        <w:tabs>
          <w:tab w:leader="none" w:pos="61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611187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BTO DE GP - NQ L.L.C.</w:t>
      </w:r>
    </w:p>
    <w:p>
      <w:pPr>
        <w:spacing w:after="0" w:line="36" w:lineRule="exact"/>
        <w:rPr>
          <w:sz w:val="20"/>
          <w:szCs w:val="20"/>
          <w:color w:val="auto"/>
        </w:rPr>
      </w:pPr>
    </w:p>
    <w:p>
      <w:pPr>
        <w:ind w:left="620" w:hanging="377"/>
        <w:spacing w:after="0"/>
        <w:tabs>
          <w:tab w:leader="none" w:pos="6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0"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555,497</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9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9"/>
                <w:szCs w:val="19"/>
                <w:color w:val="auto"/>
              </w:rPr>
            </w:pPr>
          </w:p>
        </w:tc>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555,497</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555,497</w:t>
      </w:r>
    </w:p>
    <w:p>
      <w:pPr>
        <w:spacing w:after="0" w:line="1" w:lineRule="exact"/>
        <w:rPr>
          <w:rFonts w:ascii="Times New Roman" w:cs="Times New Roman" w:eastAsia="Times New Roman" w:hAnsi="Times New Roman"/>
          <w:sz w:val="18"/>
          <w:szCs w:val="18"/>
          <w:color w:val="auto"/>
        </w:rPr>
      </w:pPr>
    </w:p>
    <w:p>
      <w:pPr>
        <w:ind w:left="620" w:hanging="467"/>
        <w:spacing w:after="0"/>
        <w:tabs>
          <w:tab w:leader="none" w:pos="6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260" w:hanging="467"/>
        <w:spacing w:after="0" w:line="400" w:lineRule="auto"/>
        <w:tabs>
          <w:tab w:leader="none" w:pos="6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0.1%</w:t>
      </w:r>
    </w:p>
    <w:p>
      <w:pPr>
        <w:ind w:left="620" w:right="6080" w:hanging="467"/>
        <w:spacing w:after="0" w:line="493" w:lineRule="auto"/>
        <w:tabs>
          <w:tab w:leader="none" w:pos="61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611187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Blackstone Holdings II L.P.</w:t>
      </w:r>
    </w:p>
    <w:p>
      <w:pPr>
        <w:spacing w:after="0" w:line="36" w:lineRule="exact"/>
        <w:rPr>
          <w:sz w:val="20"/>
          <w:szCs w:val="20"/>
          <w:color w:val="auto"/>
        </w:rPr>
      </w:pPr>
    </w:p>
    <w:p>
      <w:pPr>
        <w:ind w:left="620" w:hanging="377"/>
        <w:spacing w:after="0"/>
        <w:tabs>
          <w:tab w:leader="none" w:pos="6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0"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555,497</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9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9"/>
                <w:szCs w:val="19"/>
                <w:color w:val="auto"/>
              </w:rPr>
            </w:pPr>
          </w:p>
        </w:tc>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555,497</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555,497</w:t>
      </w:r>
    </w:p>
    <w:p>
      <w:pPr>
        <w:spacing w:after="0" w:line="1" w:lineRule="exact"/>
        <w:rPr>
          <w:rFonts w:ascii="Times New Roman" w:cs="Times New Roman" w:eastAsia="Times New Roman" w:hAnsi="Times New Roman"/>
          <w:sz w:val="18"/>
          <w:szCs w:val="18"/>
          <w:color w:val="auto"/>
        </w:rPr>
      </w:pPr>
    </w:p>
    <w:p>
      <w:pPr>
        <w:ind w:left="620" w:hanging="467"/>
        <w:spacing w:after="0"/>
        <w:tabs>
          <w:tab w:leader="none" w:pos="6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260" w:hanging="467"/>
        <w:spacing w:after="0" w:line="400" w:lineRule="auto"/>
        <w:tabs>
          <w:tab w:leader="none" w:pos="6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0.1%</w:t>
      </w:r>
    </w:p>
    <w:p>
      <w:pPr>
        <w:ind w:left="620" w:right="6080" w:hanging="467"/>
        <w:spacing w:after="0" w:line="493" w:lineRule="auto"/>
        <w:tabs>
          <w:tab w:leader="none" w:pos="61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6111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Blackstone Aqua Master Sub-Fund, a sub-fund of Blackstone Global Master Fund ICAV</w:t>
      </w:r>
    </w:p>
    <w:p>
      <w:pPr>
        <w:spacing w:after="0" w:line="36" w:lineRule="exact"/>
        <w:rPr>
          <w:sz w:val="20"/>
          <w:szCs w:val="20"/>
          <w:color w:val="auto"/>
        </w:rPr>
      </w:pPr>
    </w:p>
    <w:p>
      <w:pPr>
        <w:ind w:left="620" w:hanging="377"/>
        <w:spacing w:after="0"/>
        <w:tabs>
          <w:tab w:leader="none" w:pos="6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WC</w:t>
      </w:r>
    </w:p>
    <w:p>
      <w:pPr>
        <w:spacing w:after="0" w:line="36" w:lineRule="exact"/>
        <w:rPr>
          <w:sz w:val="20"/>
          <w:szCs w:val="20"/>
          <w:color w:val="auto"/>
        </w:rPr>
      </w:pPr>
    </w:p>
    <w:p>
      <w:pPr>
        <w:ind w:left="620" w:hanging="377"/>
        <w:spacing w:after="0"/>
        <w:tabs>
          <w:tab w:leader="none" w:pos="62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0"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Ireland</w:t>
      </w:r>
    </w:p>
    <w:p>
      <w:pPr>
        <w:spacing w:after="0" w:line="36"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245,375</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9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9"/>
                <w:szCs w:val="19"/>
                <w:color w:val="auto"/>
              </w:rPr>
            </w:pPr>
          </w:p>
        </w:tc>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245,375</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245,375</w:t>
      </w:r>
    </w:p>
    <w:p>
      <w:pPr>
        <w:spacing w:after="0" w:line="1" w:lineRule="exact"/>
        <w:rPr>
          <w:rFonts w:ascii="Times New Roman" w:cs="Times New Roman" w:eastAsia="Times New Roman" w:hAnsi="Times New Roman"/>
          <w:sz w:val="18"/>
          <w:szCs w:val="18"/>
          <w:color w:val="auto"/>
        </w:rPr>
      </w:pPr>
    </w:p>
    <w:p>
      <w:pPr>
        <w:ind w:left="620" w:hanging="467"/>
        <w:spacing w:after="0"/>
        <w:tabs>
          <w:tab w:leader="none" w:pos="6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260" w:hanging="467"/>
        <w:spacing w:after="0" w:line="400" w:lineRule="auto"/>
        <w:tabs>
          <w:tab w:leader="none" w:pos="6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&lt; 0.1%</w:t>
      </w:r>
    </w:p>
    <w:p>
      <w:pPr>
        <w:ind w:left="620" w:right="6080" w:hanging="467"/>
        <w:spacing w:after="0" w:line="493" w:lineRule="auto"/>
        <w:tabs>
          <w:tab w:leader="none" w:pos="617"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CO</w:t>
      </w: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61125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03415" cy="611251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Blackstone Alternative Solutions L.L.C.</w:t>
      </w:r>
    </w:p>
    <w:p>
      <w:pPr>
        <w:spacing w:after="0" w:line="36" w:lineRule="exact"/>
        <w:rPr>
          <w:sz w:val="20"/>
          <w:szCs w:val="20"/>
          <w:color w:val="auto"/>
        </w:rPr>
      </w:pPr>
    </w:p>
    <w:p>
      <w:pPr>
        <w:ind w:left="620" w:hanging="377"/>
        <w:spacing w:after="0"/>
        <w:tabs>
          <w:tab w:leader="none" w:pos="62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0"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245,375</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9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9"/>
                <w:szCs w:val="19"/>
                <w:color w:val="auto"/>
              </w:rPr>
            </w:pPr>
          </w:p>
        </w:tc>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245,375</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245,375</w:t>
      </w:r>
    </w:p>
    <w:p>
      <w:pPr>
        <w:spacing w:after="0" w:line="1" w:lineRule="exact"/>
        <w:rPr>
          <w:rFonts w:ascii="Times New Roman" w:cs="Times New Roman" w:eastAsia="Times New Roman" w:hAnsi="Times New Roman"/>
          <w:sz w:val="18"/>
          <w:szCs w:val="18"/>
          <w:color w:val="auto"/>
        </w:rPr>
      </w:pPr>
    </w:p>
    <w:p>
      <w:pPr>
        <w:ind w:left="620" w:hanging="467"/>
        <w:spacing w:after="0"/>
        <w:tabs>
          <w:tab w:leader="none" w:pos="6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260" w:hanging="467"/>
        <w:spacing w:after="0" w:line="400" w:lineRule="auto"/>
        <w:tabs>
          <w:tab w:leader="none" w:pos="62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&lt; 0.1%</w:t>
      </w:r>
    </w:p>
    <w:p>
      <w:pPr>
        <w:ind w:left="620" w:right="6080" w:hanging="467"/>
        <w:spacing w:after="0" w:line="493" w:lineRule="auto"/>
        <w:tabs>
          <w:tab w:leader="none" w:pos="617"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 IA</w:t>
      </w: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61118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Blackstone Holdings I L.P.</w:t>
      </w:r>
    </w:p>
    <w:p>
      <w:pPr>
        <w:spacing w:after="0" w:line="36" w:lineRule="exact"/>
        <w:rPr>
          <w:sz w:val="20"/>
          <w:szCs w:val="20"/>
          <w:color w:val="auto"/>
        </w:rPr>
      </w:pPr>
    </w:p>
    <w:p>
      <w:pPr>
        <w:ind w:left="620" w:hanging="377"/>
        <w:spacing w:after="0"/>
        <w:tabs>
          <w:tab w:leader="none" w:pos="620"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OO</w:t>
      </w:r>
    </w:p>
    <w:p>
      <w:pPr>
        <w:spacing w:after="0" w:line="36" w:lineRule="exact"/>
        <w:rPr>
          <w:sz w:val="20"/>
          <w:szCs w:val="20"/>
          <w:color w:val="auto"/>
        </w:rPr>
      </w:pPr>
    </w:p>
    <w:p>
      <w:pPr>
        <w:ind w:left="620" w:hanging="377"/>
        <w:spacing w:after="0"/>
        <w:tabs>
          <w:tab w:leader="none" w:pos="6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0"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245,375</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9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9"/>
                <w:szCs w:val="19"/>
                <w:color w:val="auto"/>
              </w:rPr>
            </w:pPr>
          </w:p>
        </w:tc>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245,375</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245,375</w:t>
      </w:r>
    </w:p>
    <w:p>
      <w:pPr>
        <w:spacing w:after="0" w:line="1" w:lineRule="exact"/>
        <w:rPr>
          <w:rFonts w:ascii="Times New Roman" w:cs="Times New Roman" w:eastAsia="Times New Roman" w:hAnsi="Times New Roman"/>
          <w:sz w:val="18"/>
          <w:szCs w:val="18"/>
          <w:color w:val="auto"/>
        </w:rPr>
      </w:pPr>
    </w:p>
    <w:p>
      <w:pPr>
        <w:ind w:left="620" w:hanging="467"/>
        <w:spacing w:after="0"/>
        <w:tabs>
          <w:tab w:leader="none" w:pos="6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260" w:hanging="467"/>
        <w:spacing w:after="0" w:line="400" w:lineRule="auto"/>
        <w:tabs>
          <w:tab w:leader="none" w:pos="6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&lt; 0.1%</w:t>
      </w:r>
    </w:p>
    <w:p>
      <w:pPr>
        <w:ind w:left="620" w:right="6080" w:hanging="467"/>
        <w:spacing w:after="0" w:line="493" w:lineRule="auto"/>
        <w:tabs>
          <w:tab w:leader="none" w:pos="617"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PN</w:t>
      </w: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61125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03415" cy="611251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Blackstone Holdings I/II GP L.L.C.</w:t>
      </w:r>
    </w:p>
    <w:p>
      <w:pPr>
        <w:spacing w:after="0" w:line="36" w:lineRule="exact"/>
        <w:rPr>
          <w:sz w:val="20"/>
          <w:szCs w:val="20"/>
          <w:color w:val="auto"/>
        </w:rPr>
      </w:pPr>
    </w:p>
    <w:p>
      <w:pPr>
        <w:ind w:left="620" w:hanging="377"/>
        <w:spacing w:after="0"/>
        <w:tabs>
          <w:tab w:leader="none" w:pos="6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OO, WC</w:t>
      </w:r>
    </w:p>
    <w:p>
      <w:pPr>
        <w:spacing w:after="0" w:line="36" w:lineRule="exact"/>
        <w:rPr>
          <w:sz w:val="20"/>
          <w:szCs w:val="20"/>
          <w:color w:val="auto"/>
        </w:rPr>
      </w:pPr>
    </w:p>
    <w:p>
      <w:pPr>
        <w:ind w:left="620" w:hanging="377"/>
        <w:spacing w:after="0"/>
        <w:tabs>
          <w:tab w:leader="none" w:pos="6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0"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800,872</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9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9"/>
                <w:szCs w:val="19"/>
                <w:color w:val="auto"/>
              </w:rPr>
            </w:pPr>
          </w:p>
        </w:tc>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800,872</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800,872</w:t>
      </w:r>
    </w:p>
    <w:p>
      <w:pPr>
        <w:spacing w:after="0" w:line="1" w:lineRule="exact"/>
        <w:rPr>
          <w:rFonts w:ascii="Times New Roman" w:cs="Times New Roman" w:eastAsia="Times New Roman" w:hAnsi="Times New Roman"/>
          <w:sz w:val="18"/>
          <w:szCs w:val="18"/>
          <w:color w:val="auto"/>
        </w:rPr>
      </w:pPr>
    </w:p>
    <w:p>
      <w:pPr>
        <w:ind w:left="620" w:hanging="467"/>
        <w:spacing w:after="0"/>
        <w:tabs>
          <w:tab w:leader="none" w:pos="6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260" w:hanging="467"/>
        <w:spacing w:after="0" w:line="400" w:lineRule="auto"/>
        <w:tabs>
          <w:tab w:leader="none" w:pos="620"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0.1%</w:t>
      </w:r>
    </w:p>
    <w:p>
      <w:pPr>
        <w:ind w:left="620" w:right="6080" w:hanging="467"/>
        <w:spacing w:after="0" w:line="493" w:lineRule="auto"/>
        <w:tabs>
          <w:tab w:leader="none" w:pos="617"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61118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Blackstone Inc.</w:t>
      </w:r>
    </w:p>
    <w:p>
      <w:pPr>
        <w:spacing w:after="0" w:line="36" w:lineRule="exact"/>
        <w:rPr>
          <w:sz w:val="20"/>
          <w:szCs w:val="20"/>
          <w:color w:val="auto"/>
        </w:rPr>
      </w:pPr>
    </w:p>
    <w:p>
      <w:pPr>
        <w:ind w:left="620" w:hanging="377"/>
        <w:spacing w:after="0"/>
        <w:tabs>
          <w:tab w:leader="none" w:pos="620"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OO, WC</w:t>
      </w:r>
    </w:p>
    <w:p>
      <w:pPr>
        <w:spacing w:after="0" w:line="36" w:lineRule="exact"/>
        <w:rPr>
          <w:sz w:val="20"/>
          <w:szCs w:val="20"/>
          <w:color w:val="auto"/>
        </w:rPr>
      </w:pPr>
    </w:p>
    <w:p>
      <w:pPr>
        <w:ind w:left="620" w:hanging="377"/>
        <w:spacing w:after="0"/>
        <w:tabs>
          <w:tab w:leader="none" w:pos="62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0"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27,802,368</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9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9"/>
                <w:szCs w:val="19"/>
                <w:color w:val="auto"/>
              </w:rPr>
            </w:pPr>
          </w:p>
        </w:tc>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27,802,368</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27,802,368</w:t>
      </w:r>
    </w:p>
    <w:p>
      <w:pPr>
        <w:spacing w:after="0" w:line="1" w:lineRule="exact"/>
        <w:rPr>
          <w:rFonts w:ascii="Times New Roman" w:cs="Times New Roman" w:eastAsia="Times New Roman" w:hAnsi="Times New Roman"/>
          <w:sz w:val="18"/>
          <w:szCs w:val="18"/>
          <w:color w:val="auto"/>
        </w:rPr>
      </w:pPr>
    </w:p>
    <w:p>
      <w:pPr>
        <w:ind w:left="620" w:hanging="467"/>
        <w:spacing w:after="0"/>
        <w:tabs>
          <w:tab w:leader="none" w:pos="6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260" w:hanging="467"/>
        <w:spacing w:after="0" w:line="400" w:lineRule="auto"/>
        <w:tabs>
          <w:tab w:leader="none" w:pos="6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3.5%</w:t>
      </w:r>
    </w:p>
    <w:p>
      <w:pPr>
        <w:ind w:left="620" w:right="6080" w:hanging="467"/>
        <w:spacing w:after="0" w:line="493" w:lineRule="auto"/>
        <w:tabs>
          <w:tab w:leader="none" w:pos="617"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CO</w:t>
      </w: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61125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003415" cy="6112510"/>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Blackstone Group Management L.L.C.</w:t>
      </w:r>
    </w:p>
    <w:p>
      <w:pPr>
        <w:spacing w:after="0" w:line="36" w:lineRule="exact"/>
        <w:rPr>
          <w:sz w:val="20"/>
          <w:szCs w:val="20"/>
          <w:color w:val="auto"/>
        </w:rPr>
      </w:pPr>
    </w:p>
    <w:p>
      <w:pPr>
        <w:ind w:left="620" w:hanging="377"/>
        <w:spacing w:after="0"/>
        <w:tabs>
          <w:tab w:leader="none" w:pos="62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OO, WC</w:t>
      </w:r>
    </w:p>
    <w:p>
      <w:pPr>
        <w:spacing w:after="0" w:line="36" w:lineRule="exact"/>
        <w:rPr>
          <w:sz w:val="20"/>
          <w:szCs w:val="20"/>
          <w:color w:val="auto"/>
        </w:rPr>
      </w:pPr>
    </w:p>
    <w:p>
      <w:pPr>
        <w:ind w:left="620" w:hanging="377"/>
        <w:spacing w:after="0"/>
        <w:tabs>
          <w:tab w:leader="none" w:pos="62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0"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27,802,368</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9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9"/>
                <w:szCs w:val="19"/>
                <w:color w:val="auto"/>
              </w:rPr>
            </w:pPr>
          </w:p>
        </w:tc>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27,802,368</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27,802,368</w:t>
      </w:r>
    </w:p>
    <w:p>
      <w:pPr>
        <w:spacing w:after="0" w:line="1" w:lineRule="exact"/>
        <w:rPr>
          <w:rFonts w:ascii="Times New Roman" w:cs="Times New Roman" w:eastAsia="Times New Roman" w:hAnsi="Times New Roman"/>
          <w:sz w:val="18"/>
          <w:szCs w:val="18"/>
          <w:color w:val="auto"/>
        </w:rPr>
      </w:pPr>
    </w:p>
    <w:p>
      <w:pPr>
        <w:ind w:left="620" w:hanging="467"/>
        <w:spacing w:after="0"/>
        <w:tabs>
          <w:tab w:leader="none" w:pos="6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260" w:hanging="467"/>
        <w:spacing w:after="0" w:line="400" w:lineRule="auto"/>
        <w:tabs>
          <w:tab w:leader="none" w:pos="62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3.5%</w:t>
      </w:r>
    </w:p>
    <w:p>
      <w:pPr>
        <w:ind w:left="620" w:right="6080" w:hanging="467"/>
        <w:spacing w:after="0" w:line="493" w:lineRule="auto"/>
        <w:tabs>
          <w:tab w:leader="none" w:pos="617"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OO</w:t>
      </w: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CUSIP No. 81663L101</w:t>
      </w:r>
    </w:p>
    <w:p>
      <w:pPr>
        <w:spacing w:after="0" w:line="171" w:lineRule="exact"/>
        <w:rPr>
          <w:sz w:val="20"/>
          <w:szCs w:val="20"/>
          <w:color w:val="auto"/>
        </w:rPr>
      </w:pPr>
    </w:p>
    <w:p>
      <w:pPr>
        <w:ind w:left="620" w:hanging="377"/>
        <w:spacing w:after="0"/>
        <w:tabs>
          <w:tab w:leader="none" w:pos="62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7003415" cy="611187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003415" cy="6111875"/>
                    </a:xfrm>
                    <a:prstGeom prst="rect">
                      <a:avLst/>
                    </a:prstGeom>
                    <a:noFill/>
                  </pic:spPr>
                </pic:pic>
              </a:graphicData>
            </a:graphic>
          </wp:anchor>
        </w:drawing>
      </w:r>
    </w:p>
    <w:p>
      <w:pPr>
        <w:spacing w:after="0" w:line="23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Stephen A. Schwarzman</w:t>
      </w:r>
    </w:p>
    <w:p>
      <w:pPr>
        <w:spacing w:after="0" w:line="36" w:lineRule="exact"/>
        <w:rPr>
          <w:sz w:val="20"/>
          <w:szCs w:val="20"/>
          <w:color w:val="auto"/>
        </w:rPr>
      </w:pPr>
    </w:p>
    <w:p>
      <w:pPr>
        <w:ind w:left="620" w:hanging="377"/>
        <w:spacing w:after="0"/>
        <w:tabs>
          <w:tab w:leader="none" w:pos="6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 (SEE INSTRUCTIONS)</w:t>
      </w:r>
    </w:p>
    <w:p>
      <w:pPr>
        <w:spacing w:after="0" w:line="22" w:lineRule="exact"/>
        <w:rPr>
          <w:sz w:val="20"/>
          <w:szCs w:val="20"/>
          <w:color w:val="auto"/>
        </w:rPr>
      </w:pPr>
    </w:p>
    <w:p>
      <w:pPr>
        <w:ind w:left="620"/>
        <w:spacing w:after="0" w:line="207" w:lineRule="exact"/>
        <w:tabs>
          <w:tab w:leader="none" w:pos="1400" w:val="left"/>
        </w:tabs>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620" w:hanging="377"/>
        <w:spacing w:after="0"/>
        <w:tabs>
          <w:tab w:leader="none" w:pos="62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279" w:lineRule="exact"/>
        <w:rPr>
          <w:sz w:val="20"/>
          <w:szCs w:val="20"/>
          <w:color w:val="auto"/>
        </w:rPr>
      </w:pPr>
    </w:p>
    <w:p>
      <w:pPr>
        <w:ind w:left="620" w:hanging="377"/>
        <w:spacing w:after="0"/>
        <w:tabs>
          <w:tab w:leader="none" w:pos="620"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 (SEE INSTRUCTIONS)</w:t>
      </w:r>
    </w:p>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OO, WC</w:t>
      </w:r>
    </w:p>
    <w:p>
      <w:pPr>
        <w:spacing w:after="0" w:line="36" w:lineRule="exact"/>
        <w:rPr>
          <w:sz w:val="20"/>
          <w:szCs w:val="20"/>
          <w:color w:val="auto"/>
        </w:rPr>
      </w:pPr>
    </w:p>
    <w:p>
      <w:pPr>
        <w:ind w:left="620" w:hanging="377"/>
        <w:spacing w:after="0"/>
        <w:tabs>
          <w:tab w:leader="none" w:pos="620"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3" w:lineRule="exact"/>
        <w:rPr>
          <w:sz w:val="20"/>
          <w:szCs w:val="20"/>
          <w:color w:val="auto"/>
        </w:rPr>
      </w:pPr>
    </w:p>
    <w:p>
      <w:pPr>
        <w:ind w:left="620"/>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0" w:hanging="377"/>
        <w:spacing w:after="0"/>
        <w:tabs>
          <w:tab w:leader="none" w:pos="62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w:t>
      </w:r>
    </w:p>
    <w:p>
      <w:pPr>
        <w:spacing w:after="0" w:line="240" w:lineRule="exact"/>
        <w:rPr>
          <w:rFonts w:ascii="Times New Roman" w:cs="Times New Roman" w:eastAsia="Times New Roman" w:hAnsi="Times New Roman"/>
          <w:sz w:val="18"/>
          <w:szCs w:val="18"/>
          <w:color w:val="auto"/>
        </w:rPr>
      </w:pPr>
    </w:p>
    <w:p>
      <w:pPr>
        <w:ind w:left="6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36"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SOLE VOTING POWER</w:t>
      </w:r>
    </w:p>
    <w:p>
      <w:pPr>
        <w:spacing w:after="0" w:line="252" w:lineRule="exact"/>
        <w:rPr>
          <w:sz w:val="20"/>
          <w:szCs w:val="20"/>
          <w:color w:val="auto"/>
        </w:rPr>
      </w:pPr>
    </w:p>
    <w:tbl>
      <w:tblPr>
        <w:tblLayout w:type="fixed"/>
        <w:tblInd w:w="240" w:type="dxa"/>
        <w:tblCellMar>
          <w:top w:w="0" w:type="dxa"/>
          <w:left w:w="0" w:type="dxa"/>
          <w:bottom w:w="0" w:type="dxa"/>
          <w:right w:w="0" w:type="dxa"/>
        </w:tblCellMar>
      </w:tblPr>
      <w:tr>
        <w:trPr>
          <w:trHeight w:val="248"/>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NUMBER OF</w:t>
            </w:r>
          </w:p>
        </w:tc>
        <w:tc>
          <w:tcPr>
            <w:tcW w:w="460" w:type="dxa"/>
            <w:vAlign w:val="bottom"/>
            <w:tcBorders>
              <w:bottom w:val="single" w:sz="8" w:color="auto"/>
            </w:tcBorders>
          </w:tcPr>
          <w:p>
            <w:pPr>
              <w:spacing w:after="0"/>
              <w:rPr>
                <w:sz w:val="21"/>
                <w:szCs w:val="21"/>
                <w:color w:val="auto"/>
              </w:rPr>
            </w:pPr>
          </w:p>
        </w:tc>
        <w:tc>
          <w:tcPr>
            <w:tcW w:w="8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27,802,368</w:t>
            </w:r>
          </w:p>
        </w:tc>
        <w:tc>
          <w:tcPr>
            <w:tcW w:w="0" w:type="dxa"/>
            <w:vAlign w:val="bottom"/>
          </w:tcPr>
          <w:p>
            <w:pPr>
              <w:spacing w:after="0"/>
              <w:rPr>
                <w:sz w:val="1"/>
                <w:szCs w:val="1"/>
                <w:color w:val="auto"/>
              </w:rPr>
            </w:pPr>
          </w:p>
        </w:tc>
      </w:tr>
      <w:tr>
        <w:trPr>
          <w:trHeight w:val="232"/>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SHARES</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8</w:t>
            </w:r>
          </w:p>
        </w:tc>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460" w:type="dxa"/>
            <w:vAlign w:val="bottom"/>
          </w:tcPr>
          <w:p>
            <w:pPr>
              <w:spacing w:after="0"/>
              <w:rPr>
                <w:sz w:val="18"/>
                <w:szCs w:val="18"/>
                <w:color w:val="auto"/>
              </w:rPr>
            </w:pPr>
          </w:p>
        </w:tc>
        <w:tc>
          <w:tcPr>
            <w:tcW w:w="8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OWNED BY</w:t>
            </w:r>
          </w:p>
        </w:tc>
        <w:tc>
          <w:tcPr>
            <w:tcW w:w="460" w:type="dxa"/>
            <w:vAlign w:val="bottom"/>
            <w:tcBorders>
              <w:bottom w:val="single" w:sz="8" w:color="auto"/>
            </w:tcBorders>
          </w:tcPr>
          <w:p>
            <w:pPr>
              <w:spacing w:after="0"/>
              <w:rPr>
                <w:sz w:val="20"/>
                <w:szCs w:val="20"/>
                <w:color w:val="auto"/>
              </w:rPr>
            </w:pPr>
          </w:p>
        </w:tc>
        <w:tc>
          <w:tcPr>
            <w:tcW w:w="8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340" w:type="dxa"/>
            <w:vAlign w:val="bottom"/>
          </w:tcPr>
          <w:p>
            <w:pPr>
              <w:jc w:val="center"/>
              <w:ind w:right="10"/>
              <w:spacing w:after="0" w:line="177" w:lineRule="exact"/>
              <w:rPr>
                <w:sz w:val="20"/>
                <w:szCs w:val="20"/>
                <w:color w:val="auto"/>
              </w:rPr>
            </w:pPr>
            <w:r>
              <w:rPr>
                <w:rFonts w:ascii="Times New Roman" w:cs="Times New Roman" w:eastAsia="Times New Roman" w:hAnsi="Times New Roman"/>
                <w:sz w:val="18"/>
                <w:szCs w:val="18"/>
                <w:color w:val="auto"/>
                <w:w w:val="97"/>
              </w:rPr>
              <w:t>EACH</w:t>
            </w:r>
          </w:p>
        </w:tc>
        <w:tc>
          <w:tcPr>
            <w:tcW w:w="460" w:type="dxa"/>
            <w:vAlign w:val="bottom"/>
          </w:tcPr>
          <w:p>
            <w:pPr>
              <w:jc w:val="right"/>
              <w:ind w:right="50"/>
              <w:spacing w:after="0" w:line="177" w:lineRule="exact"/>
              <w:rPr>
                <w:sz w:val="20"/>
                <w:szCs w:val="20"/>
                <w:color w:val="auto"/>
              </w:rPr>
            </w:pPr>
            <w:r>
              <w:rPr>
                <w:rFonts w:ascii="Times New Roman" w:cs="Times New Roman" w:eastAsia="Times New Roman" w:hAnsi="Times New Roman"/>
                <w:sz w:val="18"/>
                <w:szCs w:val="18"/>
                <w:color w:val="auto"/>
              </w:rPr>
              <w:t>9</w:t>
            </w:r>
          </w:p>
        </w:tc>
        <w:tc>
          <w:tcPr>
            <w:tcW w:w="8980" w:type="dxa"/>
            <w:vAlign w:val="bottom"/>
          </w:tcPr>
          <w:p>
            <w:pPr>
              <w:ind w:left="16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REPORTING</w:t>
            </w:r>
          </w:p>
        </w:tc>
        <w:tc>
          <w:tcPr>
            <w:tcW w:w="460" w:type="dxa"/>
            <w:vAlign w:val="bottom"/>
          </w:tcPr>
          <w:p>
            <w:pPr>
              <w:spacing w:after="0"/>
              <w:rPr>
                <w:sz w:val="18"/>
                <w:szCs w:val="18"/>
                <w:color w:val="auto"/>
              </w:rPr>
            </w:pPr>
          </w:p>
        </w:tc>
        <w:tc>
          <w:tcPr>
            <w:tcW w:w="8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13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PERSON</w:t>
            </w:r>
          </w:p>
        </w:tc>
        <w:tc>
          <w:tcPr>
            <w:tcW w:w="460" w:type="dxa"/>
            <w:vAlign w:val="bottom"/>
          </w:tcPr>
          <w:p>
            <w:pPr>
              <w:spacing w:after="0"/>
              <w:rPr>
                <w:sz w:val="19"/>
                <w:szCs w:val="19"/>
                <w:color w:val="auto"/>
              </w:rPr>
            </w:pPr>
          </w:p>
        </w:tc>
        <w:tc>
          <w:tcPr>
            <w:tcW w:w="8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27,802,368</w:t>
            </w:r>
          </w:p>
        </w:tc>
        <w:tc>
          <w:tcPr>
            <w:tcW w:w="0" w:type="dxa"/>
            <w:vAlign w:val="bottom"/>
          </w:tcPr>
          <w:p>
            <w:pPr>
              <w:spacing w:after="0"/>
              <w:rPr>
                <w:sz w:val="1"/>
                <w:szCs w:val="1"/>
                <w:color w:val="auto"/>
              </w:rPr>
            </w:pPr>
          </w:p>
        </w:tc>
      </w:tr>
      <w:tr>
        <w:trPr>
          <w:trHeight w:val="68"/>
        </w:trPr>
        <w:tc>
          <w:tcPr>
            <w:tcW w:w="134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color w:val="auto"/>
              </w:rPr>
              <w:t>WITH</w:t>
            </w:r>
          </w:p>
        </w:tc>
        <w:tc>
          <w:tcPr>
            <w:tcW w:w="460" w:type="dxa"/>
            <w:vAlign w:val="bottom"/>
            <w:tcBorders>
              <w:bottom w:val="single" w:sz="8" w:color="auto"/>
            </w:tcBorders>
          </w:tcPr>
          <w:p>
            <w:pPr>
              <w:spacing w:after="0"/>
              <w:rPr>
                <w:sz w:val="5"/>
                <w:szCs w:val="5"/>
                <w:color w:val="auto"/>
              </w:rPr>
            </w:pPr>
          </w:p>
        </w:tc>
        <w:tc>
          <w:tcPr>
            <w:tcW w:w="8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1340" w:type="dxa"/>
            <w:vAlign w:val="bottom"/>
            <w:vMerge w:val="continue"/>
          </w:tcPr>
          <w:p>
            <w:pPr>
              <w:spacing w:after="0"/>
              <w:rPr>
                <w:sz w:val="12"/>
                <w:szCs w:val="12"/>
                <w:color w:val="auto"/>
              </w:rPr>
            </w:pPr>
          </w:p>
        </w:tc>
        <w:tc>
          <w:tcPr>
            <w:tcW w:w="460" w:type="dxa"/>
            <w:vAlign w:val="bottom"/>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9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1340" w:type="dxa"/>
            <w:vAlign w:val="bottom"/>
          </w:tcPr>
          <w:p>
            <w:pPr>
              <w:spacing w:after="0"/>
              <w:rPr>
                <w:sz w:val="7"/>
                <w:szCs w:val="7"/>
                <w:color w:val="auto"/>
              </w:rPr>
            </w:pPr>
          </w:p>
        </w:tc>
        <w:tc>
          <w:tcPr>
            <w:tcW w:w="460" w:type="dxa"/>
            <w:vAlign w:val="bottom"/>
            <w:vMerge w:val="continue"/>
          </w:tcPr>
          <w:p>
            <w:pPr>
              <w:spacing w:after="0"/>
              <w:rPr>
                <w:sz w:val="7"/>
                <w:szCs w:val="7"/>
                <w:color w:val="auto"/>
              </w:rPr>
            </w:pPr>
          </w:p>
        </w:tc>
        <w:tc>
          <w:tcPr>
            <w:tcW w:w="8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2200"/>
        <w:spacing w:after="0"/>
        <w:rPr>
          <w:sz w:val="20"/>
          <w:szCs w:val="20"/>
          <w:color w:val="auto"/>
        </w:rPr>
      </w:pPr>
      <w:r>
        <w:rPr>
          <w:rFonts w:ascii="Times New Roman" w:cs="Times New Roman" w:eastAsia="Times New Roman" w:hAnsi="Times New Roman"/>
          <w:sz w:val="18"/>
          <w:szCs w:val="18"/>
          <w:color w:val="auto"/>
        </w:rPr>
        <w:t>0</w:t>
      </w:r>
    </w:p>
    <w:p>
      <w:pPr>
        <w:spacing w:after="0" w:line="36" w:lineRule="exact"/>
        <w:rPr>
          <w:sz w:val="20"/>
          <w:szCs w:val="20"/>
          <w:color w:val="auto"/>
        </w:rPr>
      </w:pPr>
    </w:p>
    <w:p>
      <w:pPr>
        <w:ind w:left="620" w:right="3860" w:hanging="467"/>
        <w:spacing w:after="0" w:line="406" w:lineRule="auto"/>
        <w:tabs>
          <w:tab w:leader="none" w:pos="61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27,802,368</w:t>
      </w:r>
    </w:p>
    <w:p>
      <w:pPr>
        <w:spacing w:after="0" w:line="1" w:lineRule="exact"/>
        <w:rPr>
          <w:rFonts w:ascii="Times New Roman" w:cs="Times New Roman" w:eastAsia="Times New Roman" w:hAnsi="Times New Roman"/>
          <w:sz w:val="18"/>
          <w:szCs w:val="18"/>
          <w:color w:val="auto"/>
        </w:rPr>
      </w:pPr>
    </w:p>
    <w:p>
      <w:pPr>
        <w:ind w:left="620" w:hanging="467"/>
        <w:spacing w:after="0"/>
        <w:tabs>
          <w:tab w:leader="none" w:pos="6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 (SEE INSTRUCTIONS)</w:t>
      </w:r>
    </w:p>
    <w:p>
      <w:pPr>
        <w:spacing w:after="0" w:line="223" w:lineRule="exact"/>
        <w:rPr>
          <w:rFonts w:ascii="Times New Roman" w:cs="Times New Roman" w:eastAsia="Times New Roman" w:hAnsi="Times New Roman"/>
          <w:sz w:val="18"/>
          <w:szCs w:val="18"/>
          <w:color w:val="auto"/>
        </w:rPr>
      </w:pPr>
    </w:p>
    <w:p>
      <w:pPr>
        <w:ind w:left="62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2" w:lineRule="exact"/>
        <w:rPr>
          <w:rFonts w:ascii="Times New Roman" w:cs="Times New Roman" w:eastAsia="Times New Roman" w:hAnsi="Times New Roman"/>
          <w:sz w:val="18"/>
          <w:szCs w:val="18"/>
          <w:color w:val="auto"/>
        </w:rPr>
      </w:pPr>
    </w:p>
    <w:p>
      <w:pPr>
        <w:ind w:left="620" w:right="5260" w:hanging="467"/>
        <w:spacing w:after="0" w:line="400" w:lineRule="auto"/>
        <w:tabs>
          <w:tab w:leader="none" w:pos="62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 3.5%</w:t>
      </w:r>
    </w:p>
    <w:p>
      <w:pPr>
        <w:ind w:left="620" w:right="6080" w:hanging="467"/>
        <w:spacing w:after="0" w:line="563" w:lineRule="auto"/>
        <w:tabs>
          <w:tab w:leader="none" w:pos="617"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(SEE INSTRUCTIONS) IN</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21" w:name="page22"/>
    <w:bookmarkEnd w:id="21"/>
    <w:p>
      <w:pPr>
        <w:ind w:left="4" w:right="2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Amendment No. 3 (“</w:t>
      </w:r>
      <w:r>
        <w:rPr>
          <w:rFonts w:ascii="Times New Roman" w:cs="Times New Roman" w:eastAsia="Times New Roman" w:hAnsi="Times New Roman"/>
          <w:sz w:val="18"/>
          <w:szCs w:val="18"/>
          <w:u w:val="single" w:color="auto"/>
          <w:color w:val="auto"/>
        </w:rPr>
        <w:t>Amendment No. 3</w:t>
      </w:r>
      <w:r>
        <w:rPr>
          <w:rFonts w:ascii="Times New Roman" w:cs="Times New Roman" w:eastAsia="Times New Roman" w:hAnsi="Times New Roman"/>
          <w:sz w:val="18"/>
          <w:szCs w:val="18"/>
          <w:color w:val="auto"/>
        </w:rPr>
        <w:t>”) to Schedule 13D relates to the Class A common stock, par value $0.0001 per share (the “</w:t>
      </w:r>
      <w:r>
        <w:rPr>
          <w:rFonts w:ascii="Times New Roman" w:cs="Times New Roman" w:eastAsia="Times New Roman" w:hAnsi="Times New Roman"/>
          <w:sz w:val="18"/>
          <w:szCs w:val="18"/>
          <w:u w:val="single" w:color="auto"/>
          <w:color w:val="auto"/>
        </w:rPr>
        <w:t>Class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of GeneDx Holdings Corp. (formerly known as Sema4 Holdings Corp., which was formerly known as CM Life Sciences, Inc.), a Delaware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amends and supplements the initial statement on Schedule 13D filed on August 30, 2021, as amended by Amendment No. 1 filed on January 20, 2022, and Amendment No. 2 filed on May 3, 2022 (as amended, the “</w:t>
      </w:r>
      <w:r>
        <w:rPr>
          <w:rFonts w:ascii="Times New Roman" w:cs="Times New Roman" w:eastAsia="Times New Roman" w:hAnsi="Times New Roman"/>
          <w:sz w:val="18"/>
          <w:szCs w:val="18"/>
          <w:u w:val="single" w:color="auto"/>
          <w:color w:val="auto"/>
        </w:rPr>
        <w:t>Schedule 13D</w:t>
      </w:r>
      <w:r>
        <w:rPr>
          <w:rFonts w:ascii="Times New Roman" w:cs="Times New Roman" w:eastAsia="Times New Roman" w:hAnsi="Times New Roman"/>
          <w:sz w:val="18"/>
          <w:szCs w:val="18"/>
          <w:color w:val="auto"/>
        </w:rPr>
        <w:t>”). Capitalized terms used but not defined in this Amendment No. 3 shall have the same meanings ascribed to them in the Schedule 13D.</w:t>
      </w:r>
    </w:p>
    <w:p>
      <w:pPr>
        <w:spacing w:after="0" w:line="179" w:lineRule="exact"/>
        <w:rPr>
          <w:sz w:val="20"/>
          <w:szCs w:val="20"/>
          <w:color w:val="auto"/>
        </w:rPr>
      </w:pPr>
    </w:p>
    <w:p>
      <w:pPr>
        <w:jc w:val="both"/>
        <w:ind w:left="4" w:right="120"/>
        <w:spacing w:after="0" w:line="268" w:lineRule="auto"/>
        <w:rPr>
          <w:sz w:val="20"/>
          <w:szCs w:val="20"/>
          <w:color w:val="auto"/>
        </w:rPr>
      </w:pPr>
      <w:r>
        <w:rPr>
          <w:rFonts w:ascii="Times New Roman" w:cs="Times New Roman" w:eastAsia="Times New Roman" w:hAnsi="Times New Roman"/>
          <w:sz w:val="18"/>
          <w:szCs w:val="18"/>
          <w:b w:val="1"/>
          <w:bCs w:val="1"/>
          <w:color w:val="auto"/>
        </w:rPr>
        <w:t>Explanatory Note</w:t>
      </w:r>
      <w:r>
        <w:rPr>
          <w:rFonts w:ascii="Times New Roman" w:cs="Times New Roman" w:eastAsia="Times New Roman" w:hAnsi="Times New Roman"/>
          <w:sz w:val="18"/>
          <w:szCs w:val="18"/>
          <w:color w:val="auto"/>
        </w:rPr>
        <w:t>: This Amendment No. 3 is filed due to the reduction in the percent of Class A Common Stock beneficially owned by the Reporting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Persons because of an increase in the number of shares of Class A Common Stock outstanding resulting from registered offerings of such shares by the Issuer, which closed on January 31, 2023 (the “</w:t>
      </w:r>
      <w:r>
        <w:rPr>
          <w:rFonts w:ascii="Times New Roman" w:cs="Times New Roman" w:eastAsia="Times New Roman" w:hAnsi="Times New Roman"/>
          <w:sz w:val="18"/>
          <w:szCs w:val="18"/>
          <w:u w:val="single" w:color="auto"/>
          <w:color w:val="auto"/>
        </w:rPr>
        <w:t>Issuer Offerings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1. Security and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 1 of the Schedule 13D is hereby amended and supplemented by the following:</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Effective as of January 9, 2023, the Issuer changed its name from “Sema4 Holdings Corp.” to “GeneDx Holdings Corp.”</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2. Identity and Background</w:t>
      </w:r>
    </w:p>
    <w:p>
      <w:pPr>
        <w:spacing w:after="0" w:line="121" w:lineRule="exact"/>
        <w:rPr>
          <w:sz w:val="20"/>
          <w:szCs w:val="20"/>
          <w:color w:val="auto"/>
        </w:rPr>
      </w:pPr>
    </w:p>
    <w:p>
      <w:pPr>
        <w:ind w:left="4" w:right="80"/>
        <w:spacing w:after="0" w:line="282" w:lineRule="auto"/>
        <w:rPr>
          <w:sz w:val="20"/>
          <w:szCs w:val="20"/>
          <w:color w:val="auto"/>
        </w:rPr>
      </w:pPr>
      <w:r>
        <w:rPr>
          <w:rFonts w:ascii="Times New Roman" w:cs="Times New Roman" w:eastAsia="Times New Roman" w:hAnsi="Times New Roman"/>
          <w:sz w:val="18"/>
          <w:szCs w:val="18"/>
          <w:color w:val="auto"/>
        </w:rPr>
        <w:t xml:space="preserve">Item 2 of the Schedule 13D is hereby amended by incorporating herein by reference the information set forth on the updated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to this Amendment No. 3.</w:t>
      </w:r>
    </w:p>
    <w:p>
      <w:pPr>
        <w:spacing w:after="0" w:line="26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1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Items 5(a)-(c) and (e) of the Schedule 13D are hereby amended and restated as follows:</w:t>
      </w:r>
    </w:p>
    <w:p>
      <w:pPr>
        <w:spacing w:after="0" w:line="225" w:lineRule="exact"/>
        <w:rPr>
          <w:sz w:val="20"/>
          <w:szCs w:val="20"/>
          <w:color w:val="auto"/>
        </w:rPr>
      </w:pPr>
    </w:p>
    <w:p>
      <w:pPr>
        <w:ind w:left="4" w:right="100" w:hanging="4"/>
        <w:spacing w:after="0" w:line="258" w:lineRule="auto"/>
        <w:tabs>
          <w:tab w:leader="none" w:pos="24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Calculations of the percentage of the shares of Class A Common Stock beneficially owned assumes that there were 793,214,935 shares of Class A Common Stock outstanding as of January 31, 2023 (based on 386,795,130 shares outstanding as of November 4, 2022 as disclosed in the Issuer’s Form 10-Q filed on November 14, 2022, plus 406,419,805 shares issued in the Issuer Offerings as disclosed by the Issuer in its press release dated January 31, 2023), and takes into account shares of Class A Common Stock underlying warrants beneficially owned by the Reporting Persons, as applicable.</w:t>
      </w:r>
    </w:p>
    <w:p>
      <w:pPr>
        <w:spacing w:after="0" w:line="183" w:lineRule="exact"/>
        <w:rPr>
          <w:sz w:val="20"/>
          <w:szCs w:val="20"/>
          <w:color w:val="auto"/>
        </w:rPr>
      </w:pPr>
    </w:p>
    <w:p>
      <w:pPr>
        <w:ind w:left="4" w:right="100"/>
        <w:spacing w:after="0" w:line="261" w:lineRule="auto"/>
        <w:rPr>
          <w:sz w:val="20"/>
          <w:szCs w:val="20"/>
          <w:color w:val="auto"/>
        </w:rPr>
      </w:pPr>
      <w:r>
        <w:rPr>
          <w:rFonts w:ascii="Times New Roman" w:cs="Times New Roman" w:eastAsia="Times New Roman" w:hAnsi="Times New Roman"/>
          <w:sz w:val="18"/>
          <w:szCs w:val="18"/>
          <w:color w:val="auto"/>
        </w:rPr>
        <w:t>The aggregate number and percentage of the Class A Common Stock beneficially owned by each Reporting Person and, for each Reporting Person, the number of shares as to which there is sole power to vote or to direct the vote, shared power to vote or to direct the vote, sole power to dispose or to direct the disposition, or shared power to dispose or to direct the disposition are set forth on rows 7 through 11 and row 13 of the cover pages of this Schedule 13D, as of February 2, 2023, and are incorporated herein by reference.</w:t>
      </w:r>
    </w:p>
    <w:p>
      <w:pPr>
        <w:spacing w:after="0" w:line="180" w:lineRule="exact"/>
        <w:rPr>
          <w:sz w:val="20"/>
          <w:szCs w:val="20"/>
          <w:color w:val="auto"/>
        </w:rPr>
      </w:pPr>
    </w:p>
    <w:p>
      <w:pPr>
        <w:ind w:left="4" w:right="360"/>
        <w:spacing w:after="0" w:line="282" w:lineRule="auto"/>
        <w:rPr>
          <w:sz w:val="20"/>
          <w:szCs w:val="20"/>
          <w:color w:val="auto"/>
        </w:rPr>
      </w:pPr>
      <w:r>
        <w:rPr>
          <w:rFonts w:ascii="Times New Roman" w:cs="Times New Roman" w:eastAsia="Times New Roman" w:hAnsi="Times New Roman"/>
          <w:sz w:val="18"/>
          <w:szCs w:val="18"/>
          <w:color w:val="auto"/>
        </w:rPr>
        <w:t>None of the shares of Class A Common Stock underlying Earnout Rights are included in the beneficial ownership of the Reporting Persons because none of the related thresholds have been satisfied.</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of February 2, 2023,</w:t>
      </w:r>
    </w:p>
    <w:p>
      <w:pPr>
        <w:spacing w:after="0" w:line="225" w:lineRule="exact"/>
        <w:rPr>
          <w:sz w:val="20"/>
          <w:szCs w:val="20"/>
          <w:color w:val="auto"/>
        </w:rPr>
      </w:pPr>
    </w:p>
    <w:p>
      <w:pPr>
        <w:ind w:left="4" w:right="100" w:hanging="4"/>
        <w:spacing w:after="0" w:line="282" w:lineRule="auto"/>
        <w:tabs>
          <w:tab w:leader="none" w:pos="21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BTO Sema4 Holdings L.P. directly holds 26,839,187 shares of Class A Common Stock and Earnout Rights with respect to up to 3,203,218 shares of Class A Common Stock;</w:t>
      </w:r>
    </w:p>
    <w:p>
      <w:pPr>
        <w:spacing w:after="0" w:line="161" w:lineRule="exact"/>
        <w:rPr>
          <w:rFonts w:ascii="Times New Roman" w:cs="Times New Roman" w:eastAsia="Times New Roman" w:hAnsi="Times New Roman"/>
          <w:sz w:val="18"/>
          <w:szCs w:val="18"/>
          <w:color w:val="auto"/>
        </w:rPr>
      </w:pPr>
    </w:p>
    <w:p>
      <w:pPr>
        <w:ind w:left="4" w:right="60" w:hanging="4"/>
        <w:spacing w:after="0" w:line="282" w:lineRule="auto"/>
        <w:tabs>
          <w:tab w:leader="none" w:pos="26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Blackstone Tactical Opportunities Fund – FD L.P. directly holds 555,497 shares of Class A Common Stock and Earnout Rights with respect to up to 66,297 shares of Class A Common Stock;</w:t>
      </w:r>
    </w:p>
    <w:p>
      <w:pPr>
        <w:spacing w:after="0" w:line="161" w:lineRule="exact"/>
        <w:rPr>
          <w:rFonts w:ascii="Times New Roman" w:cs="Times New Roman" w:eastAsia="Times New Roman" w:hAnsi="Times New Roman"/>
          <w:sz w:val="18"/>
          <w:szCs w:val="18"/>
          <w:color w:val="auto"/>
        </w:rPr>
      </w:pPr>
    </w:p>
    <w:p>
      <w:pPr>
        <w:ind w:left="4" w:hanging="4"/>
        <w:spacing w:after="0" w:line="282" w:lineRule="auto"/>
        <w:tabs>
          <w:tab w:leader="none" w:pos="319"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Blackstone Family Tactical Opportunities Investment Partnership III ESC L.P. directly holds 162,309 shares of Class A Common Stock and Earnout Rights with respect to up to 19,371 shares of Class A Common Stock; and</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4"/>
          </w:cols>
          <w:pgMar w:left="436" w:top="270" w:right="479" w:bottom="1440" w:gutter="0" w:footer="0" w:header="0"/>
        </w:sectPr>
      </w:pPr>
    </w:p>
    <w:bookmarkStart w:id="22" w:name="page23"/>
    <w:bookmarkEnd w:id="22"/>
    <w:p>
      <w:pPr>
        <w:ind w:left="304" w:hanging="304"/>
        <w:spacing w:after="0"/>
        <w:tabs>
          <w:tab w:leader="none" w:pos="304"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Blackstone Aqua Master Sub-Fund, a sub-fund of Blackstone Global Master Fund ICAV, directly holds 0 shares of Class A Common Stock and</w:t>
      </w:r>
    </w:p>
    <w:p>
      <w:pPr>
        <w:spacing w:after="0" w:line="27" w:lineRule="exact"/>
        <w:rPr>
          <w:rFonts w:ascii="Times New Roman" w:cs="Times New Roman" w:eastAsia="Times New Roman" w:hAnsi="Times New Roman"/>
          <w:sz w:val="18"/>
          <w:szCs w:val="18"/>
          <w:color w:val="auto"/>
        </w:rPr>
      </w:pPr>
    </w:p>
    <w:p>
      <w:pPr>
        <w:ind w:left="4"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245,375 shares of Class A Common Stock which are exercisable within 60 days. Each warrant is exercisable to purchase one share of Class A Common Stock at a price of $11.50 per share, subject to adjustment, and became exercisable September 3, 2021.</w:t>
      </w:r>
    </w:p>
    <w:p>
      <w:pPr>
        <w:spacing w:after="0" w:line="181" w:lineRule="exact"/>
        <w:rPr>
          <w:sz w:val="20"/>
          <w:szCs w:val="20"/>
          <w:color w:val="auto"/>
        </w:rPr>
      </w:pPr>
    </w:p>
    <w:p>
      <w:pPr>
        <w:ind w:left="4" w:right="20"/>
        <w:spacing w:after="0" w:line="282" w:lineRule="auto"/>
        <w:rPr>
          <w:sz w:val="20"/>
          <w:szCs w:val="20"/>
          <w:color w:val="auto"/>
        </w:rPr>
      </w:pPr>
      <w:r>
        <w:rPr>
          <w:rFonts w:ascii="Times New Roman" w:cs="Times New Roman" w:eastAsia="Times New Roman" w:hAnsi="Times New Roman"/>
          <w:sz w:val="18"/>
          <w:szCs w:val="18"/>
          <w:color w:val="auto"/>
        </w:rPr>
        <w:t>BTO Holdings Manager L.L.C. is the general partner of BTO Sema4 Holdings L.P. Blackstone Tactical Opportunities Associates L.L.C. is the managing member of BTO Holdings Manager L.L.C. BTOA L.L.C. is the sole member of Blackstone Tactical Opportunities Associates L.L.C.</w:t>
      </w:r>
    </w:p>
    <w:p>
      <w:pPr>
        <w:spacing w:after="0" w:line="162" w:lineRule="exact"/>
        <w:rPr>
          <w:sz w:val="20"/>
          <w:szCs w:val="20"/>
          <w:color w:val="auto"/>
        </w:rPr>
      </w:pPr>
    </w:p>
    <w:p>
      <w:pPr>
        <w:ind w:left="4" w:right="620"/>
        <w:spacing w:after="0" w:line="282" w:lineRule="auto"/>
        <w:rPr>
          <w:sz w:val="20"/>
          <w:szCs w:val="20"/>
          <w:color w:val="auto"/>
        </w:rPr>
      </w:pPr>
      <w:r>
        <w:rPr>
          <w:rFonts w:ascii="Times New Roman" w:cs="Times New Roman" w:eastAsia="Times New Roman" w:hAnsi="Times New Roman"/>
          <w:sz w:val="18"/>
          <w:szCs w:val="18"/>
          <w:color w:val="auto"/>
        </w:rPr>
        <w:t>BTO Side-by-Side GP L.L.C. is the general partner of Blackstone Family Tactical Opportunities Investment Partnership III ESC L.P. Blackstone Holdings III L.P. is the sole member of BTO Side-by-Side GP L.L.C. and the managing member of BTOA L.L.C.</w:t>
      </w:r>
    </w:p>
    <w:p>
      <w:pPr>
        <w:spacing w:after="0" w:line="162" w:lineRule="exact"/>
        <w:rPr>
          <w:sz w:val="20"/>
          <w:szCs w:val="20"/>
          <w:color w:val="auto"/>
        </w:rPr>
      </w:pPr>
    </w:p>
    <w:p>
      <w:pPr>
        <w:ind w:left="4" w:right="280"/>
        <w:spacing w:after="0" w:line="282" w:lineRule="auto"/>
        <w:rPr>
          <w:sz w:val="20"/>
          <w:szCs w:val="20"/>
          <w:color w:val="auto"/>
        </w:rPr>
      </w:pPr>
      <w:r>
        <w:rPr>
          <w:rFonts w:ascii="Times New Roman" w:cs="Times New Roman" w:eastAsia="Times New Roman" w:hAnsi="Times New Roman"/>
          <w:sz w:val="18"/>
          <w:szCs w:val="18"/>
          <w:color w:val="auto"/>
        </w:rPr>
        <w:t>Blackstone Holdings III GP L.P. is the general partner of Blackstone Holdings III L.P. Blackstone Holdings III GP Management L.L.C. is the general partner of Blackstone Holdings III GP L.P.</w:t>
      </w:r>
    </w:p>
    <w:p>
      <w:pPr>
        <w:spacing w:after="0" w:line="162" w:lineRule="exact"/>
        <w:rPr>
          <w:sz w:val="20"/>
          <w:szCs w:val="20"/>
          <w:color w:val="auto"/>
        </w:rPr>
      </w:pPr>
    </w:p>
    <w:p>
      <w:pPr>
        <w:ind w:left="4" w:right="140"/>
        <w:spacing w:after="0" w:line="266" w:lineRule="auto"/>
        <w:rPr>
          <w:sz w:val="20"/>
          <w:szCs w:val="20"/>
          <w:color w:val="auto"/>
        </w:rPr>
      </w:pPr>
      <w:r>
        <w:rPr>
          <w:rFonts w:ascii="Times New Roman" w:cs="Times New Roman" w:eastAsia="Times New Roman" w:hAnsi="Times New Roman"/>
          <w:sz w:val="18"/>
          <w:szCs w:val="18"/>
          <w:color w:val="auto"/>
        </w:rPr>
        <w:t>Blackstone Tactical Opportunities Associates III – NQ L.P. is the general partner of Blackstone Tactical Opportunities Fund – FD L.P. BTO DE GP – NQ L.L.C. is the general partner of Blackstone Tactical Opportunities Associates III – NQ L.P. Blackstone Holdings II L.P. is the managing member of BTO DE GP – NQ L.L.C.</w:t>
      </w:r>
    </w:p>
    <w:p>
      <w:pPr>
        <w:spacing w:after="0" w:line="176"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Blackstone Alternative Solutions L.L.C. is the investment manager of Blackstone Aqua Master Sub-Fund, a sub-fund of Blackstone Global Master Fund ICAV. Blackstone Holdings I L.P. is the sole member of Blackstone Alternative Solutions L.L.C. Blackstone Holdings I/II GP L.L.C. is the general partner of Blackstone Holdings I L.P.</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Blackstone Holdings I/II L.L.C. is the general partner of each of Blackstone Holdings I L.P. and Blackstone Holdings II L.P.</w:t>
      </w:r>
    </w:p>
    <w:p>
      <w:pPr>
        <w:spacing w:after="0" w:line="225" w:lineRule="exact"/>
        <w:rPr>
          <w:sz w:val="20"/>
          <w:szCs w:val="20"/>
          <w:color w:val="auto"/>
        </w:rPr>
      </w:pPr>
    </w:p>
    <w:p>
      <w:pPr>
        <w:ind w:left="4" w:right="100"/>
        <w:spacing w:after="0" w:line="266" w:lineRule="auto"/>
        <w:rPr>
          <w:sz w:val="20"/>
          <w:szCs w:val="20"/>
          <w:color w:val="auto"/>
        </w:rPr>
      </w:pPr>
      <w:r>
        <w:rPr>
          <w:rFonts w:ascii="Times New Roman" w:cs="Times New Roman" w:eastAsia="Times New Roman" w:hAnsi="Times New Roman"/>
          <w:sz w:val="18"/>
          <w:szCs w:val="18"/>
          <w:color w:val="auto"/>
        </w:rPr>
        <w:t>Blackstone Inc. is the sole member of each Blackstone Holdings I/II GP L.L.C. and Blackstone Holdings III GP Management L.L.C. The sole holder of the Series II preferred stock of Blackstone Inc. is Blackstone Group Management L.L.C. Blackstone Group Management L.L.C. is wholly-owned by Blackstone’s senior managing directors and controlled by its founder, Stephen A. Schwarzman.</w:t>
      </w:r>
    </w:p>
    <w:p>
      <w:pPr>
        <w:spacing w:after="0" w:line="176" w:lineRule="exact"/>
        <w:rPr>
          <w:sz w:val="20"/>
          <w:szCs w:val="20"/>
          <w:color w:val="auto"/>
        </w:rPr>
      </w:pPr>
    </w:p>
    <w:p>
      <w:pPr>
        <w:ind w:left="4" w:right="360"/>
        <w:spacing w:after="0" w:line="261" w:lineRule="auto"/>
        <w:rPr>
          <w:sz w:val="20"/>
          <w:szCs w:val="20"/>
          <w:color w:val="auto"/>
        </w:rPr>
      </w:pPr>
      <w:r>
        <w:rPr>
          <w:rFonts w:ascii="Times New Roman" w:cs="Times New Roman" w:eastAsia="Times New Roman" w:hAnsi="Times New Roman"/>
          <w:sz w:val="18"/>
          <w:szCs w:val="18"/>
          <w:color w:val="auto"/>
        </w:rPr>
        <w:t>Neither the filing of this Schedule 13D nor any of its contents shall be deemed to constitute an admission that any Reporting Person is the beneficial owner of the Class A Common Stock referred to herein for purposes of Section 13(d)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or for any other purpose and each of the Reporting Persons expressly disclaims beneficial ownership of such shares of Class A Common Stock.</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Any beneficial ownership of Class A Common Stock by any of the persons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is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attached hereto.</w:t>
      </w:r>
    </w:p>
    <w:p>
      <w:pPr>
        <w:spacing w:after="0" w:line="225" w:lineRule="exact"/>
        <w:rPr>
          <w:sz w:val="20"/>
          <w:szCs w:val="20"/>
          <w:color w:val="auto"/>
        </w:rPr>
      </w:pPr>
    </w:p>
    <w:p>
      <w:pPr>
        <w:ind w:left="4" w:right="20" w:hanging="4"/>
        <w:spacing w:after="0" w:line="261" w:lineRule="auto"/>
        <w:tabs>
          <w:tab w:leader="none" w:pos="249"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this Schedule 13D, none of the Reporting Persons or, to the best knowledge of the Reporting Persons, any other person named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has effected any transaction in Class A Common Stock in the past 60 days ending February 2, 2023. During such period, sales of shares of Class A Common Stock and warrants exercisable for shares of Class A Common Stock were effected in broker transactions by Blackstone Aqua Master Sub-Fund, a sub-fund of Blackstone Global Master Fund ICAV, as follows:</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Date</w:t>
            </w: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jc w:val="center"/>
              <w:ind w:left="528"/>
              <w:spacing w:after="0"/>
              <w:rPr>
                <w:sz w:val="20"/>
                <w:szCs w:val="20"/>
                <w:color w:val="auto"/>
              </w:rPr>
            </w:pPr>
            <w:r>
              <w:rPr>
                <w:rFonts w:ascii="Times New Roman" w:cs="Times New Roman" w:eastAsia="Times New Roman" w:hAnsi="Times New Roman"/>
                <w:sz w:val="14"/>
                <w:szCs w:val="14"/>
                <w:color w:val="auto"/>
              </w:rPr>
              <w:t>Number of</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Price per</w:t>
            </w:r>
          </w:p>
        </w:tc>
        <w:tc>
          <w:tcPr>
            <w:tcW w:w="27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480" w:type="dxa"/>
            <w:vAlign w:val="bottom"/>
            <w:gridSpan w:val="2"/>
            <w:vMerge w:val="continue"/>
          </w:tcPr>
          <w:p>
            <w:pPr>
              <w:spacing w:after="0"/>
              <w:rPr>
                <w:sz w:val="12"/>
                <w:szCs w:val="12"/>
                <w:color w:val="auto"/>
              </w:rPr>
            </w:pPr>
          </w:p>
        </w:tc>
        <w:tc>
          <w:tcPr>
            <w:tcW w:w="18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Security</w:t>
            </w:r>
          </w:p>
        </w:tc>
        <w:tc>
          <w:tcPr>
            <w:tcW w:w="1260" w:type="dxa"/>
            <w:vAlign w:val="bottom"/>
          </w:tcPr>
          <w:p>
            <w:pPr>
              <w:jc w:val="center"/>
              <w:ind w:left="528"/>
              <w:spacing w:after="0" w:line="149" w:lineRule="exact"/>
              <w:rPr>
                <w:sz w:val="20"/>
                <w:szCs w:val="20"/>
                <w:color w:val="auto"/>
              </w:rPr>
            </w:pPr>
            <w:r>
              <w:rPr>
                <w:rFonts w:ascii="Times New Roman" w:cs="Times New Roman" w:eastAsia="Times New Roman" w:hAnsi="Times New Roman"/>
                <w:sz w:val="14"/>
                <w:szCs w:val="14"/>
                <w:color w:val="auto"/>
              </w:rPr>
              <w:t>Shares or</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960" w:type="dxa"/>
            <w:vAlign w:val="bottom"/>
            <w:gridSpan w:val="2"/>
          </w:tcPr>
          <w:p>
            <w:pPr>
              <w:ind w:left="680"/>
              <w:spacing w:after="0" w:line="149" w:lineRule="exact"/>
              <w:rPr>
                <w:sz w:val="20"/>
                <w:szCs w:val="20"/>
                <w:color w:val="auto"/>
              </w:rPr>
            </w:pPr>
            <w:r>
              <w:rPr>
                <w:rFonts w:ascii="Times New Roman" w:cs="Times New Roman" w:eastAsia="Times New Roman" w:hAnsi="Times New Roman"/>
                <w:sz w:val="14"/>
                <w:szCs w:val="14"/>
                <w:color w:val="auto"/>
              </w:rPr>
              <w:t>Share or</w:t>
            </w:r>
          </w:p>
        </w:tc>
        <w:tc>
          <w:tcPr>
            <w:tcW w:w="2700" w:type="dxa"/>
            <w:vAlign w:val="bottom"/>
            <w:vMerge w:val="restart"/>
          </w:tcPr>
          <w:p>
            <w:pPr>
              <w:jc w:val="right"/>
              <w:ind w:right="353"/>
              <w:spacing w:after="0"/>
              <w:rPr>
                <w:sz w:val="20"/>
                <w:szCs w:val="20"/>
                <w:color w:val="auto"/>
              </w:rPr>
            </w:pPr>
            <w:r>
              <w:rPr>
                <w:rFonts w:ascii="Times New Roman" w:cs="Times New Roman" w:eastAsia="Times New Roman" w:hAnsi="Times New Roman"/>
                <w:sz w:val="14"/>
                <w:szCs w:val="14"/>
                <w:color w:val="auto"/>
              </w:rPr>
              <w:t>Price Range*</w:t>
            </w: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4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(M/D/Y)</w:t>
            </w:r>
          </w:p>
        </w:tc>
        <w:tc>
          <w:tcPr>
            <w:tcW w:w="1860" w:type="dxa"/>
            <w:vAlign w:val="bottom"/>
            <w:gridSpan w:val="2"/>
            <w:vMerge w:val="continue"/>
          </w:tcPr>
          <w:p>
            <w:pPr>
              <w:spacing w:after="0"/>
              <w:rPr>
                <w:sz w:val="14"/>
                <w:szCs w:val="14"/>
                <w:color w:val="auto"/>
              </w:rPr>
            </w:pPr>
          </w:p>
        </w:tc>
        <w:tc>
          <w:tcPr>
            <w:tcW w:w="1260" w:type="dxa"/>
            <w:vAlign w:val="bottom"/>
          </w:tcPr>
          <w:p>
            <w:pPr>
              <w:jc w:val="center"/>
              <w:ind w:left="528"/>
              <w:spacing w:after="0"/>
              <w:rPr>
                <w:sz w:val="20"/>
                <w:szCs w:val="20"/>
                <w:color w:val="auto"/>
              </w:rPr>
            </w:pPr>
            <w:r>
              <w:rPr>
                <w:rFonts w:ascii="Times New Roman" w:cs="Times New Roman" w:eastAsia="Times New Roman" w:hAnsi="Times New Roman"/>
                <w:sz w:val="14"/>
                <w:szCs w:val="14"/>
                <w:color w:val="auto"/>
                <w:w w:val="99"/>
              </w:rPr>
              <w:t>Warrants*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Warrant*</w:t>
            </w:r>
          </w:p>
        </w:tc>
        <w:tc>
          <w:tcPr>
            <w:tcW w:w="2700" w:type="dxa"/>
            <w:vAlign w:val="bottom"/>
            <w:vMerge w:val="continue"/>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00" w:type="dxa"/>
            <w:vAlign w:val="bottom"/>
            <w:tcBorders>
              <w:bottom w:val="single" w:sz="8" w:color="CCEEFF"/>
            </w:tcBorders>
            <w:shd w:val="clear" w:color="auto" w:fill="000000"/>
          </w:tcPr>
          <w:p>
            <w:pPr>
              <w:spacing w:after="0" w:line="20" w:lineRule="exact"/>
              <w:rPr>
                <w:sz w:val="1"/>
                <w:szCs w:val="1"/>
                <w:color w:val="auto"/>
              </w:rPr>
            </w:pPr>
          </w:p>
        </w:tc>
        <w:tc>
          <w:tcPr>
            <w:tcW w:w="980" w:type="dxa"/>
            <w:vAlign w:val="bottom"/>
            <w:tcBorders>
              <w:bottom w:val="single" w:sz="8" w:color="CCEEFF"/>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480" w:type="dxa"/>
            <w:vAlign w:val="bottom"/>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1/27/2023</w:t>
            </w:r>
          </w:p>
        </w:tc>
        <w:tc>
          <w:tcPr>
            <w:tcW w:w="176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Class A Common Stock</w:t>
            </w: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99"/>
              </w:rPr>
              <w:t>100,000</w:t>
            </w:r>
          </w:p>
        </w:tc>
        <w:tc>
          <w:tcPr>
            <w:tcW w:w="120" w:type="dxa"/>
            <w:vAlign w:val="bottom"/>
            <w:shd w:val="clear" w:color="auto" w:fill="CCEEFF"/>
          </w:tcPr>
          <w:p>
            <w:pPr>
              <w:spacing w:after="0"/>
              <w:rPr>
                <w:sz w:val="17"/>
                <w:szCs w:val="17"/>
                <w:color w:val="auto"/>
              </w:rPr>
            </w:pPr>
          </w:p>
        </w:tc>
        <w:tc>
          <w:tcPr>
            <w:tcW w:w="186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$0.381472229</w:t>
            </w:r>
          </w:p>
        </w:tc>
        <w:tc>
          <w:tcPr>
            <w:tcW w:w="100" w:type="dxa"/>
            <w:vAlign w:val="bottom"/>
            <w:shd w:val="clear" w:color="auto" w:fill="CCEEFF"/>
          </w:tcPr>
          <w:p>
            <w:pPr>
              <w:spacing w:after="0"/>
              <w:rPr>
                <w:sz w:val="17"/>
                <w:szCs w:val="17"/>
                <w:color w:val="auto"/>
              </w:rPr>
            </w:pPr>
          </w:p>
        </w:tc>
        <w:tc>
          <w:tcPr>
            <w:tcW w:w="2700" w:type="dxa"/>
            <w:vAlign w:val="bottom"/>
            <w:shd w:val="clear" w:color="auto" w:fill="CCEEFF"/>
          </w:tcPr>
          <w:p>
            <w:pPr>
              <w:jc w:val="right"/>
              <w:ind w:right="753"/>
              <w:spacing w:after="0" w:line="203" w:lineRule="exact"/>
              <w:rPr>
                <w:sz w:val="20"/>
                <w:szCs w:val="20"/>
                <w:color w:val="auto"/>
              </w:rPr>
            </w:pPr>
            <w:r>
              <w:rPr>
                <w:rFonts w:ascii="Times New Roman" w:cs="Times New Roman" w:eastAsia="Times New Roman" w:hAnsi="Times New Roman"/>
                <w:sz w:val="18"/>
                <w:szCs w:val="18"/>
                <w:color w:val="auto"/>
              </w:rPr>
              <w:t>$0.38</w:t>
            </w:r>
          </w:p>
        </w:tc>
        <w:tc>
          <w:tcPr>
            <w:tcW w:w="10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$0.3896</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1/27/2023</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12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w w:val="99"/>
              </w:rPr>
              <w:t>170,141</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$0.020027317</w:t>
            </w:r>
          </w:p>
        </w:tc>
        <w:tc>
          <w:tcPr>
            <w:tcW w:w="270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rPr>
              <w:t>$0.02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$0.0221</w:t>
            </w: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1/30/2023</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161,500</w:t>
            </w: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270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1/31/2023</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Warrants</w:t>
            </w:r>
          </w:p>
        </w:tc>
        <w:tc>
          <w:tcPr>
            <w:tcW w:w="126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2,822</w:t>
            </w:r>
          </w:p>
        </w:tc>
        <w:tc>
          <w:tcPr>
            <w:tcW w:w="1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2700" w:type="dxa"/>
            <w:vAlign w:val="bottom"/>
          </w:tcPr>
          <w:p>
            <w:pPr>
              <w:jc w:val="right"/>
              <w:ind w:right="753"/>
              <w:spacing w:after="0"/>
              <w:rPr>
                <w:sz w:val="20"/>
                <w:szCs w:val="20"/>
                <w:color w:val="auto"/>
              </w:rPr>
            </w:pPr>
            <w:r>
              <w:rPr>
                <w:rFonts w:ascii="Times New Roman" w:cs="Times New Roman" w:eastAsia="Times New Roman" w:hAnsi="Times New Roman"/>
                <w:sz w:val="18"/>
                <w:szCs w:val="18"/>
                <w:color w:val="auto"/>
              </w:rPr>
              <w:t>n/a</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1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2/2/2023</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w:t>
            </w:r>
          </w:p>
        </w:tc>
        <w:tc>
          <w:tcPr>
            <w:tcW w:w="12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w w:val="99"/>
              </w:rPr>
              <w:t>129,671</w:t>
            </w:r>
          </w:p>
        </w:tc>
        <w:tc>
          <w:tcPr>
            <w:tcW w:w="1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$0.020185</w:t>
            </w:r>
          </w:p>
        </w:tc>
        <w:tc>
          <w:tcPr>
            <w:tcW w:w="270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8"/>
                <w:szCs w:val="18"/>
                <w:color w:val="auto"/>
              </w:rPr>
              <w:t>$0.02</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$0.0222</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4" w:right="120" w:hanging="424"/>
        <w:spacing w:after="0" w:line="261" w:lineRule="auto"/>
        <w:tabs>
          <w:tab w:leader="none" w:pos="424"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number of securities reported represents an aggregate number of shares or warrants sold in multiple open market transactions over a range of prices, and the price per share or warrant reported represents the weighted average price (without regard to brokerage commissions). The Reporting Person undertakes to provide the staff of the SEC upon request, the number of shares or warrants sold by such Reporting Person at each separate price within the range.</w:t>
      </w:r>
    </w:p>
    <w:p>
      <w:pPr>
        <w:spacing w:after="0" w:line="180" w:lineRule="exact"/>
        <w:rPr>
          <w:sz w:val="20"/>
          <w:szCs w:val="20"/>
          <w:color w:val="auto"/>
        </w:rPr>
      </w:pPr>
    </w:p>
    <w:p>
      <w:pPr>
        <w:ind w:left="4" w:right="520" w:hanging="4"/>
        <w:spacing w:after="0" w:line="282" w:lineRule="auto"/>
        <w:tabs>
          <w:tab w:leader="none" w:pos="24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31, 2023, following the closing of the Issuer Offerings, the Reporting Persons ceased to be the beneficial owners of more than five percent of the Class A Common Stock outstanding.</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4"/>
          </w:cols>
          <w:pgMar w:left="436" w:top="270" w:right="439" w:bottom="1440" w:gutter="0" w:footer="0" w:header="0"/>
        </w:sectPr>
      </w:pPr>
    </w:p>
    <w:bookmarkStart w:id="23" w:name="page24"/>
    <w:bookmarkEnd w:id="23"/>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3, 2023</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BTO SEMA4 HOLDINGS 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By: BTO Holdings Manager L.L.C., its general partner</w:t>
      </w:r>
    </w:p>
    <w:p>
      <w:pPr>
        <w:spacing w:after="0" w:line="2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Christopher J. James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BTO HOLDINGS MANAGER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Christopher J. James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Manager</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BLACKSTONE TACTICAL OPPORTUNITIES</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ASSOCIATES,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BTOA L.L.C., its sole member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Christopher J. James</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139"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80"/>
          </w:cols>
          <w:pgMar w:left="440" w:top="266" w:right="879" w:bottom="1440" w:gutter="0" w:footer="0" w:header="0"/>
        </w:sectPr>
      </w:pPr>
    </w:p>
    <w:bookmarkStart w:id="24" w:name="page25"/>
    <w:bookmarkEnd w:id="2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BTOA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Christopher J. James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BLACKSTONE FAMILY TACTICAL</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OPPORTUNITIES INVESTMENT PARTNERSHIP III</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ESC 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BTO Side-by-Side GP L.L.C., 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Christopher J. James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BTO SIDE-BY-SIDE GP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Christopher J. James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BLACKSTONE HOLDINGS III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Blackstone Holdings III GP L.P., its 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Blackstone Holdings III GP Management L.L.C., its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Tabea Hsi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BLACKSTONE HOLDINGS III GP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Blackstone Holdings III GP Management L.L.C., its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Tabea Hsi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9920"/>
          </w:cols>
          <w:pgMar w:left="1440" w:top="266" w:right="539" w:bottom="1440" w:gutter="0" w:footer="0" w:header="0"/>
        </w:sectPr>
      </w:pPr>
    </w:p>
    <w:bookmarkStart w:id="25" w:name="page26"/>
    <w:bookmarkEnd w:id="2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BLACKSTONE HOLDINGS III GP MANAGEMENT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L.L.C.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Tabea Hsi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BLACKSTONE TACTICAL OPPORTUNITIES FUND</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—FD 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Blackstone Tactical Opportunities Associates III—NQ</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L.P., its general partner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BTO DE GP—NQ L.L.C., 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Christopher J. James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BLACKSTONE TACTICAL OPPORTUNITIES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ASSOCIATES III—NQ L.P.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BTO DE GP—NQ L.L.C., 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Christopher J. James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BTO DE GP—NQ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Christopher J. James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Christopher J. James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Chief Operating Officer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BLACKSTONE HOLDINGS II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Blackstone Holdings I/II GP L.L.C., its 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Tabea Hsi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BLACKSTONE GLOBAL MASTER FUND ICAV</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Acting solely on behalf of its sub-fund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BLACKSTONE AQUA MASTER SUB-FUND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Blackstone Alternative Solutions L.L.C., its investment</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manager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Jack Pitts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Jack Pitts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139"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9920"/>
          </w:cols>
          <w:pgMar w:left="1440" w:top="266" w:right="539" w:bottom="1440" w:gutter="0" w:footer="0" w:header="0"/>
        </w:sectPr>
      </w:pPr>
    </w:p>
    <w:bookmarkStart w:id="26" w:name="page27"/>
    <w:bookmarkEnd w:id="26"/>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BLACKSTONE ALTERNATIVE SOLUTIONS L.L.C.</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Jack Pitts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Jack Pitts</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Person</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BLACKSTONE HOLDINGS I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Blackstone Holdings I/II GP L.L.C., its general partner</w:t>
      </w:r>
    </w:p>
    <w:p>
      <w:pPr>
        <w:spacing w:after="0" w:line="2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Tabea Hsi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BLACKSTONE HOLDINGS I/II GP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Tabea Hsi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BLACKSTONE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Tabea Hsi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BLACKSTONE GROUP MANAGEMENT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Tabea Hsi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Tabea Hsi</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Senior Managing Director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Stephen A. Schwarzman</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Stephen A. Schwarzman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Stephen A. Schwarzman</w:t>
      </w:r>
    </w:p>
    <w:p>
      <w:pPr>
        <w:spacing w:after="0" w:line="225"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7"/>
          <w:szCs w:val="17"/>
          <w:color w:val="auto"/>
        </w:rPr>
        <w:t>[GeneDx Holdings Corp. – Schedule 13D Amendment No. 3]</w:t>
      </w:r>
    </w:p>
    <w:p>
      <w:pPr>
        <w:spacing w:after="0" w:line="169" w:lineRule="exact"/>
        <w:rPr>
          <w:sz w:val="20"/>
          <w:szCs w:val="20"/>
          <w:color w:val="auto"/>
        </w:rPr>
      </w:pPr>
    </w:p>
    <w:p>
      <w:pPr>
        <w:jc w:val="center"/>
        <w:ind w:right="88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9880"/>
          </w:cols>
          <w:pgMar w:left="1440" w:top="266" w:right="57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Executive Officers and Directors of Blackstone Inc.</w:t>
      </w:r>
    </w:p>
    <w:p>
      <w:pPr>
        <w:spacing w:after="0" w:line="225"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The name and principal occupation of each director and executive officer of Blackstone Inc. are set forth below. The address for each person listed below is c/o Blackstone Inc., 345 Park Avenue, New York, New York 10154. All executive officers and directors listed are United States citizens other than The Honourable Brian Mulroney, who is a citizen of Canada, and Sir John Antony Hood, who is a citizen of New Zealand.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OFFICERS: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20" w:type="dxa"/>
            <w:vAlign w:val="bottom"/>
          </w:tcPr>
          <w:p>
            <w:pPr>
              <w:spacing w:after="0"/>
              <w:rPr>
                <w:sz w:val="15"/>
                <w:szCs w:val="15"/>
                <w:color w:val="auto"/>
              </w:rPr>
            </w:pPr>
          </w:p>
        </w:tc>
        <w:tc>
          <w:tcPr>
            <w:tcW w:w="8480" w:type="dxa"/>
            <w:vAlign w:val="bottom"/>
            <w:tcBorders>
              <w:bottom w:val="single" w:sz="8" w:color="auto"/>
            </w:tcBorders>
          </w:tcPr>
          <w:p>
            <w:pPr>
              <w:ind w:left="2820"/>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r>
      <w:tr>
        <w:trPr>
          <w:trHeight w:val="311"/>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Stephen A. Schwarzman</w:t>
            </w: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Founder, Chairman and Chief Executive Officer of Blackstone Inc.</w:t>
            </w:r>
          </w:p>
        </w:tc>
      </w:tr>
      <w:tr>
        <w:trPr>
          <w:trHeight w:val="324"/>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Jonathan D. Gray</w:t>
            </w: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Operating Officer of Blackstone Inc.</w:t>
            </w:r>
          </w:p>
        </w:tc>
      </w:tr>
      <w:tr>
        <w:trPr>
          <w:trHeight w:val="324"/>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Michael S. Chae</w:t>
            </w: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of Blackstone Inc.</w:t>
            </w:r>
          </w:p>
        </w:tc>
      </w:tr>
      <w:tr>
        <w:trPr>
          <w:trHeight w:val="324"/>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John G. Finley</w:t>
            </w: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Chief Legal Officer of Blackstone Inc.</w:t>
            </w:r>
          </w:p>
        </w:tc>
      </w:tr>
      <w:tr>
        <w:trPr>
          <w:trHeight w:val="392"/>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DIRECTORS:</w:t>
            </w:r>
          </w:p>
        </w:tc>
        <w:tc>
          <w:tcPr>
            <w:tcW w:w="8480" w:type="dxa"/>
            <w:vAlign w:val="bottom"/>
          </w:tcPr>
          <w:p>
            <w:pPr>
              <w:spacing w:after="0"/>
              <w:rPr>
                <w:sz w:val="24"/>
                <w:szCs w:val="24"/>
                <w:color w:val="auto"/>
              </w:rPr>
            </w:pPr>
          </w:p>
        </w:tc>
      </w:tr>
      <w:tr>
        <w:trPr>
          <w:trHeight w:val="419"/>
        </w:trPr>
        <w:tc>
          <w:tcPr>
            <w:tcW w:w="112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20" w:type="dxa"/>
            <w:vAlign w:val="bottom"/>
          </w:tcPr>
          <w:p>
            <w:pPr>
              <w:spacing w:after="0"/>
              <w:rPr>
                <w:sz w:val="24"/>
                <w:szCs w:val="24"/>
                <w:color w:val="auto"/>
              </w:rPr>
            </w:pPr>
          </w:p>
        </w:tc>
        <w:tc>
          <w:tcPr>
            <w:tcW w:w="8480" w:type="dxa"/>
            <w:vAlign w:val="bottom"/>
            <w:tcBorders>
              <w:bottom w:val="single" w:sz="8" w:color="auto"/>
            </w:tcBorders>
          </w:tcPr>
          <w:p>
            <w:pPr>
              <w:ind w:left="2820"/>
              <w:spacing w:after="0"/>
              <w:rPr>
                <w:sz w:val="20"/>
                <w:szCs w:val="20"/>
                <w:color w:val="auto"/>
              </w:rPr>
            </w:pPr>
            <w:r>
              <w:rPr>
                <w:rFonts w:ascii="Times New Roman" w:cs="Times New Roman" w:eastAsia="Times New Roman" w:hAnsi="Times New Roman"/>
                <w:sz w:val="14"/>
                <w:szCs w:val="14"/>
                <w:b w:val="1"/>
                <w:bCs w:val="1"/>
                <w:color w:val="auto"/>
              </w:rPr>
              <w:t>Present Principal Occupation or Employment</w:t>
            </w:r>
          </w:p>
        </w:tc>
      </w:tr>
      <w:tr>
        <w:trPr>
          <w:trHeight w:val="311"/>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Stephen A. Schwarzman</w:t>
            </w: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Founder, Chairman and Chief Executive Officer of Blackstone Inc.</w:t>
            </w:r>
          </w:p>
        </w:tc>
      </w:tr>
      <w:tr>
        <w:trPr>
          <w:trHeight w:val="324"/>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Jonathan D. Gray</w:t>
            </w: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President, Chief Operating Officer of Blackstone Inc.</w:t>
            </w:r>
          </w:p>
        </w:tc>
      </w:tr>
      <w:tr>
        <w:trPr>
          <w:trHeight w:val="324"/>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Kelly A. Ayotte</w:t>
            </w: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Former United States Senator from New Hampshire</w:t>
            </w:r>
          </w:p>
        </w:tc>
      </w:tr>
      <w:tr>
        <w:trPr>
          <w:trHeight w:val="324"/>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Joseph P. Baratta</w:t>
            </w: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Global Head of Private Equity at Blackstone Inc.</w:t>
            </w:r>
          </w:p>
        </w:tc>
      </w:tr>
      <w:tr>
        <w:trPr>
          <w:trHeight w:val="324"/>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James W. Breyer</w:t>
            </w: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Founder and Chief Executive Officer of Breyer Capital</w:t>
            </w:r>
          </w:p>
        </w:tc>
      </w:tr>
      <w:tr>
        <w:trPr>
          <w:trHeight w:val="324"/>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Reginald J. Brown</w:t>
            </w: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Partner for the law firm, Kirkland &amp; Ellis</w:t>
            </w:r>
          </w:p>
        </w:tc>
      </w:tr>
      <w:tr>
        <w:trPr>
          <w:trHeight w:val="324"/>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Sir John Antony Hood</w:t>
            </w: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Former President and Chief Executive Officer of the Robertson Foundation and Former Chair of the Rhodes Trust</w:t>
            </w:r>
          </w:p>
        </w:tc>
      </w:tr>
      <w:tr>
        <w:trPr>
          <w:trHeight w:val="324"/>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Rochelle B. Lazarus</w:t>
            </w: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Chairman Emeritus &amp; Former Chief Executive Officer, Ogilvy &amp; Mather Worldwide</w:t>
            </w:r>
          </w:p>
        </w:tc>
      </w:tr>
      <w:tr>
        <w:trPr>
          <w:trHeight w:val="306"/>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Right Honourable Brian</w:t>
            </w: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Senior Partner for the Montreal law firm, Norton Rose Fulbright Canada LLP</w:t>
            </w:r>
          </w:p>
        </w:tc>
      </w:tr>
      <w:tr>
        <w:trPr>
          <w:trHeight w:val="234"/>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Mulroney</w:t>
            </w:r>
          </w:p>
        </w:tc>
        <w:tc>
          <w:tcPr>
            <w:tcW w:w="8480" w:type="dxa"/>
            <w:vAlign w:val="bottom"/>
          </w:tcPr>
          <w:p>
            <w:pPr>
              <w:spacing w:after="0"/>
              <w:rPr>
                <w:sz w:val="20"/>
                <w:szCs w:val="20"/>
                <w:color w:val="auto"/>
              </w:rPr>
            </w:pPr>
          </w:p>
        </w:tc>
      </w:tr>
      <w:tr>
        <w:trPr>
          <w:trHeight w:val="324"/>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William G. Parrett</w:t>
            </w: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Retired CEO, Deloitte Touche Tohmatsu and retired Senior Partner, Deloitte (USA)</w:t>
            </w:r>
          </w:p>
        </w:tc>
      </w:tr>
      <w:tr>
        <w:trPr>
          <w:trHeight w:val="324"/>
        </w:trPr>
        <w:tc>
          <w:tcPr>
            <w:tcW w:w="2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Ruth Porat</w:t>
            </w: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of Alphabet Inc. and Google Inc.</w:t>
            </w:r>
          </w:p>
        </w:tc>
      </w:tr>
    </w:tbl>
    <w:p>
      <w:pPr>
        <w:spacing w:after="0" w:line="198"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Except as set forth in this Schedule 13D, to the best knowledge of the Reporting Persons, none of the individuals listed above beneficially owns any shares of Class A Common Stock.</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0A471C"/>
    <w:multiLevelType w:val="hybridMultilevel"/>
    <w:lvl w:ilvl="0">
      <w:lvlJc w:val="left"/>
      <w:lvlText w:val="%1"/>
      <w:numFmt w:val="decimal"/>
      <w:start w:val="345"/>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1"/>
      <w:numFmt w:val="bullet"/>
      <w:start w:val="1"/>
    </w:lvl>
  </w:abstractNum>
  <w:abstractNum w:abstractNumId="3">
    <w:nsid w:val="613EFDC5"/>
    <w:multiLevelType w:val="hybridMultilevel"/>
    <w:lvl w:ilvl="0">
      <w:lvlJc w:val="left"/>
      <w:lvlText w:val="2"/>
      <w:numFmt w:val="bullet"/>
      <w:start w:val="1"/>
    </w:lvl>
  </w:abstractNum>
  <w:abstractNum w:abstractNumId="4">
    <w:nsid w:val="BF72B14"/>
    <w:multiLevelType w:val="hybridMultilevel"/>
    <w:lvl w:ilvl="0">
      <w:lvlJc w:val="left"/>
      <w:lvlText w:val="3"/>
      <w:numFmt w:val="bullet"/>
      <w:start w:val="1"/>
    </w:lvl>
  </w:abstractNum>
  <w:abstractNum w:abstractNumId="5">
    <w:nsid w:val="11447B73"/>
    <w:multiLevelType w:val="hybridMultilevel"/>
    <w:lvl w:ilvl="0">
      <w:lvlJc w:val="left"/>
      <w:lvlText w:val="4"/>
      <w:numFmt w:val="bullet"/>
      <w:start w:val="1"/>
    </w:lvl>
  </w:abstractNum>
  <w:abstractNum w:abstractNumId="6">
    <w:nsid w:val="42963E5A"/>
    <w:multiLevelType w:val="hybridMultilevel"/>
    <w:lvl w:ilvl="0">
      <w:lvlJc w:val="left"/>
      <w:lvlText w:val="5"/>
      <w:numFmt w:val="bullet"/>
      <w:start w:val="1"/>
    </w:lvl>
  </w:abstractNum>
  <w:abstractNum w:abstractNumId="7">
    <w:nsid w:val="A0382C5"/>
    <w:multiLevelType w:val="hybridMultilevel"/>
    <w:lvl w:ilvl="0">
      <w:lvlJc w:val="left"/>
      <w:lvlText w:val="6"/>
      <w:numFmt w:val="bullet"/>
      <w:start w:val="1"/>
    </w:lvl>
  </w:abstractNum>
  <w:abstractNum w:abstractNumId="8">
    <w:nsid w:val="8F2B15E"/>
    <w:multiLevelType w:val="hybridMultilevel"/>
    <w:lvl w:ilvl="0">
      <w:lvlJc w:val="left"/>
      <w:lvlText w:val="%1"/>
      <w:numFmt w:val="decimal"/>
      <w:start w:val="11"/>
    </w:lvl>
  </w:abstractNum>
  <w:abstractNum w:abstractNumId="9">
    <w:nsid w:val="1A32234B"/>
    <w:multiLevelType w:val="hybridMultilevel"/>
    <w:lvl w:ilvl="0">
      <w:lvlJc w:val="left"/>
      <w:lvlText w:val="1"/>
      <w:numFmt w:val="bullet"/>
      <w:start w:val="1"/>
    </w:lvl>
  </w:abstractNum>
  <w:abstractNum w:abstractNumId="10">
    <w:nsid w:val="3B0FD379"/>
    <w:multiLevelType w:val="hybridMultilevel"/>
    <w:lvl w:ilvl="0">
      <w:lvlJc w:val="left"/>
      <w:lvlText w:val="2"/>
      <w:numFmt w:val="bullet"/>
      <w:start w:val="1"/>
    </w:lvl>
  </w:abstractNum>
  <w:abstractNum w:abstractNumId="11">
    <w:nsid w:val="68EB2F63"/>
    <w:multiLevelType w:val="hybridMultilevel"/>
    <w:lvl w:ilvl="0">
      <w:lvlJc w:val="left"/>
      <w:lvlText w:val="3"/>
      <w:numFmt w:val="bullet"/>
      <w:start w:val="1"/>
    </w:lvl>
  </w:abstractNum>
  <w:abstractNum w:abstractNumId="12">
    <w:nsid w:val="4962813B"/>
    <w:multiLevelType w:val="hybridMultilevel"/>
    <w:lvl w:ilvl="0">
      <w:lvlJc w:val="left"/>
      <w:lvlText w:val="4"/>
      <w:numFmt w:val="bullet"/>
      <w:start w:val="1"/>
    </w:lvl>
  </w:abstractNum>
  <w:abstractNum w:abstractNumId="13">
    <w:nsid w:val="60B6DF70"/>
    <w:multiLevelType w:val="hybridMultilevel"/>
    <w:lvl w:ilvl="0">
      <w:lvlJc w:val="left"/>
      <w:lvlText w:val="5"/>
      <w:numFmt w:val="bullet"/>
      <w:start w:val="1"/>
    </w:lvl>
  </w:abstractNum>
  <w:abstractNum w:abstractNumId="14">
    <w:nsid w:val="6A5EE64"/>
    <w:multiLevelType w:val="hybridMultilevel"/>
    <w:lvl w:ilvl="0">
      <w:lvlJc w:val="left"/>
      <w:lvlText w:val="6"/>
      <w:numFmt w:val="bullet"/>
      <w:start w:val="1"/>
    </w:lvl>
  </w:abstractNum>
  <w:abstractNum w:abstractNumId="15">
    <w:nsid w:val="14330624"/>
    <w:multiLevelType w:val="hybridMultilevel"/>
    <w:lvl w:ilvl="0">
      <w:lvlJc w:val="left"/>
      <w:lvlText w:val="%1"/>
      <w:numFmt w:val="decimal"/>
      <w:start w:val="11"/>
    </w:lvl>
  </w:abstractNum>
  <w:abstractNum w:abstractNumId="16">
    <w:nsid w:val="7FFFCA11"/>
    <w:multiLevelType w:val="hybridMultilevel"/>
    <w:lvl w:ilvl="0">
      <w:lvlJc w:val="left"/>
      <w:lvlText w:val="1"/>
      <w:numFmt w:val="bullet"/>
      <w:start w:val="1"/>
    </w:lvl>
  </w:abstractNum>
  <w:abstractNum w:abstractNumId="17">
    <w:nsid w:val="1A27709E"/>
    <w:multiLevelType w:val="hybridMultilevel"/>
    <w:lvl w:ilvl="0">
      <w:lvlJc w:val="left"/>
      <w:lvlText w:val="2"/>
      <w:numFmt w:val="bullet"/>
      <w:start w:val="1"/>
    </w:lvl>
  </w:abstractNum>
  <w:abstractNum w:abstractNumId="18">
    <w:nsid w:val="71EA1109"/>
    <w:multiLevelType w:val="hybridMultilevel"/>
    <w:lvl w:ilvl="0">
      <w:lvlJc w:val="left"/>
      <w:lvlText w:val="3"/>
      <w:numFmt w:val="bullet"/>
      <w:start w:val="1"/>
    </w:lvl>
  </w:abstractNum>
  <w:abstractNum w:abstractNumId="19">
    <w:nsid w:val="100F59DC"/>
    <w:multiLevelType w:val="hybridMultilevel"/>
    <w:lvl w:ilvl="0">
      <w:lvlJc w:val="left"/>
      <w:lvlText w:val="4"/>
      <w:numFmt w:val="bullet"/>
      <w:start w:val="1"/>
    </w:lvl>
  </w:abstractNum>
  <w:abstractNum w:abstractNumId="20">
    <w:nsid w:val="7FB7E0AA"/>
    <w:multiLevelType w:val="hybridMultilevel"/>
    <w:lvl w:ilvl="0">
      <w:lvlJc w:val="left"/>
      <w:lvlText w:val="5"/>
      <w:numFmt w:val="bullet"/>
      <w:start w:val="1"/>
    </w:lvl>
  </w:abstractNum>
  <w:abstractNum w:abstractNumId="21">
    <w:nsid w:val="6EB5BD4"/>
    <w:multiLevelType w:val="hybridMultilevel"/>
    <w:lvl w:ilvl="0">
      <w:lvlJc w:val="left"/>
      <w:lvlText w:val="6"/>
      <w:numFmt w:val="bullet"/>
      <w:start w:val="1"/>
    </w:lvl>
  </w:abstractNum>
  <w:abstractNum w:abstractNumId="22">
    <w:nsid w:val="6F6DD9AC"/>
    <w:multiLevelType w:val="hybridMultilevel"/>
    <w:lvl w:ilvl="0">
      <w:lvlJc w:val="left"/>
      <w:lvlText w:val="%1"/>
      <w:numFmt w:val="decimal"/>
      <w:start w:val="11"/>
    </w:lvl>
  </w:abstractNum>
  <w:abstractNum w:abstractNumId="23">
    <w:nsid w:val="94211F2"/>
    <w:multiLevelType w:val="hybridMultilevel"/>
    <w:lvl w:ilvl="0">
      <w:lvlJc w:val="left"/>
      <w:lvlText w:val="1"/>
      <w:numFmt w:val="bullet"/>
      <w:start w:val="1"/>
    </w:lvl>
  </w:abstractNum>
  <w:abstractNum w:abstractNumId="24">
    <w:nsid w:val="885E1B"/>
    <w:multiLevelType w:val="hybridMultilevel"/>
    <w:lvl w:ilvl="0">
      <w:lvlJc w:val="left"/>
      <w:lvlText w:val="2"/>
      <w:numFmt w:val="bullet"/>
      <w:start w:val="1"/>
    </w:lvl>
  </w:abstractNum>
  <w:abstractNum w:abstractNumId="25">
    <w:nsid w:val="76272110"/>
    <w:multiLevelType w:val="hybridMultilevel"/>
    <w:lvl w:ilvl="0">
      <w:lvlJc w:val="left"/>
      <w:lvlText w:val="3"/>
      <w:numFmt w:val="bullet"/>
      <w:start w:val="1"/>
    </w:lvl>
  </w:abstractNum>
  <w:abstractNum w:abstractNumId="26">
    <w:nsid w:val="4C04A8AF"/>
    <w:multiLevelType w:val="hybridMultilevel"/>
    <w:lvl w:ilvl="0">
      <w:lvlJc w:val="left"/>
      <w:lvlText w:val="4"/>
      <w:numFmt w:val="bullet"/>
      <w:start w:val="1"/>
    </w:lvl>
  </w:abstractNum>
  <w:abstractNum w:abstractNumId="27">
    <w:nsid w:val="1716703B"/>
    <w:multiLevelType w:val="hybridMultilevel"/>
    <w:lvl w:ilvl="0">
      <w:lvlJc w:val="left"/>
      <w:lvlText w:val="5"/>
      <w:numFmt w:val="bullet"/>
      <w:start w:val="1"/>
    </w:lvl>
  </w:abstractNum>
  <w:abstractNum w:abstractNumId="28">
    <w:nsid w:val="14E17E33"/>
    <w:multiLevelType w:val="hybridMultilevel"/>
    <w:lvl w:ilvl="0">
      <w:lvlJc w:val="left"/>
      <w:lvlText w:val="6"/>
      <w:numFmt w:val="bullet"/>
      <w:start w:val="1"/>
    </w:lvl>
  </w:abstractNum>
  <w:abstractNum w:abstractNumId="29">
    <w:nsid w:val="3222E7CD"/>
    <w:multiLevelType w:val="hybridMultilevel"/>
    <w:lvl w:ilvl="0">
      <w:lvlJc w:val="left"/>
      <w:lvlText w:val="%1"/>
      <w:numFmt w:val="decimal"/>
      <w:start w:val="11"/>
    </w:lvl>
  </w:abstractNum>
  <w:abstractNum w:abstractNumId="30">
    <w:nsid w:val="74DE0EE3"/>
    <w:multiLevelType w:val="hybridMultilevel"/>
    <w:lvl w:ilvl="0">
      <w:lvlJc w:val="left"/>
      <w:lvlText w:val="1"/>
      <w:numFmt w:val="bullet"/>
      <w:start w:val="1"/>
    </w:lvl>
  </w:abstractNum>
  <w:abstractNum w:abstractNumId="31">
    <w:nsid w:val="68EBC550"/>
    <w:multiLevelType w:val="hybridMultilevel"/>
    <w:lvl w:ilvl="0">
      <w:lvlJc w:val="left"/>
      <w:lvlText w:val="2"/>
      <w:numFmt w:val="bullet"/>
      <w:start w:val="1"/>
    </w:lvl>
  </w:abstractNum>
  <w:abstractNum w:abstractNumId="32">
    <w:nsid w:val="2DF6D648"/>
    <w:multiLevelType w:val="hybridMultilevel"/>
    <w:lvl w:ilvl="0">
      <w:lvlJc w:val="left"/>
      <w:lvlText w:val="3"/>
      <w:numFmt w:val="bullet"/>
      <w:start w:val="1"/>
    </w:lvl>
  </w:abstractNum>
  <w:abstractNum w:abstractNumId="33">
    <w:nsid w:val="46B7D447"/>
    <w:multiLevelType w:val="hybridMultilevel"/>
    <w:lvl w:ilvl="0">
      <w:lvlJc w:val="left"/>
      <w:lvlText w:val="4"/>
      <w:numFmt w:val="bullet"/>
      <w:start w:val="1"/>
    </w:lvl>
  </w:abstractNum>
  <w:abstractNum w:abstractNumId="34">
    <w:nsid w:val="4A2AC315"/>
    <w:multiLevelType w:val="hybridMultilevel"/>
    <w:lvl w:ilvl="0">
      <w:lvlJc w:val="left"/>
      <w:lvlText w:val="5"/>
      <w:numFmt w:val="bullet"/>
      <w:start w:val="1"/>
    </w:lvl>
  </w:abstractNum>
  <w:abstractNum w:abstractNumId="35">
    <w:nsid w:val="39EE015C"/>
    <w:multiLevelType w:val="hybridMultilevel"/>
    <w:lvl w:ilvl="0">
      <w:lvlJc w:val="left"/>
      <w:lvlText w:val="6"/>
      <w:numFmt w:val="bullet"/>
      <w:start w:val="1"/>
    </w:lvl>
  </w:abstractNum>
  <w:abstractNum w:abstractNumId="36">
    <w:nsid w:val="57FC4FBB"/>
    <w:multiLevelType w:val="hybridMultilevel"/>
    <w:lvl w:ilvl="0">
      <w:lvlJc w:val="left"/>
      <w:lvlText w:val="%1"/>
      <w:numFmt w:val="decimal"/>
      <w:start w:val="11"/>
    </w:lvl>
  </w:abstractNum>
  <w:abstractNum w:abstractNumId="37">
    <w:nsid w:val="CC1016F"/>
    <w:multiLevelType w:val="hybridMultilevel"/>
    <w:lvl w:ilvl="0">
      <w:lvlJc w:val="left"/>
      <w:lvlText w:val="1"/>
      <w:numFmt w:val="bullet"/>
      <w:start w:val="1"/>
    </w:lvl>
  </w:abstractNum>
  <w:abstractNum w:abstractNumId="38">
    <w:nsid w:val="43F18422"/>
    <w:multiLevelType w:val="hybridMultilevel"/>
    <w:lvl w:ilvl="0">
      <w:lvlJc w:val="left"/>
      <w:lvlText w:val="2"/>
      <w:numFmt w:val="bullet"/>
      <w:start w:val="1"/>
    </w:lvl>
  </w:abstractNum>
  <w:abstractNum w:abstractNumId="39">
    <w:nsid w:val="60EF0119"/>
    <w:multiLevelType w:val="hybridMultilevel"/>
    <w:lvl w:ilvl="0">
      <w:lvlJc w:val="left"/>
      <w:lvlText w:val="3"/>
      <w:numFmt w:val="bullet"/>
      <w:start w:val="1"/>
    </w:lvl>
  </w:abstractNum>
  <w:abstractNum w:abstractNumId="40">
    <w:nsid w:val="26F324BA"/>
    <w:multiLevelType w:val="hybridMultilevel"/>
    <w:lvl w:ilvl="0">
      <w:lvlJc w:val="left"/>
      <w:lvlText w:val="4"/>
      <w:numFmt w:val="bullet"/>
      <w:start w:val="1"/>
    </w:lvl>
  </w:abstractNum>
  <w:abstractNum w:abstractNumId="41">
    <w:nsid w:val="7F01579B"/>
    <w:multiLevelType w:val="hybridMultilevel"/>
    <w:lvl w:ilvl="0">
      <w:lvlJc w:val="left"/>
      <w:lvlText w:val="5"/>
      <w:numFmt w:val="bullet"/>
      <w:start w:val="1"/>
    </w:lvl>
  </w:abstractNum>
  <w:abstractNum w:abstractNumId="42">
    <w:nsid w:val="49DA307D"/>
    <w:multiLevelType w:val="hybridMultilevel"/>
    <w:lvl w:ilvl="0">
      <w:lvlJc w:val="left"/>
      <w:lvlText w:val="6"/>
      <w:numFmt w:val="bullet"/>
      <w:start w:val="1"/>
    </w:lvl>
  </w:abstractNum>
  <w:abstractNum w:abstractNumId="43">
    <w:nsid w:val="7055A5F5"/>
    <w:multiLevelType w:val="hybridMultilevel"/>
    <w:lvl w:ilvl="0">
      <w:lvlJc w:val="left"/>
      <w:lvlText w:val="%1"/>
      <w:numFmt w:val="decimal"/>
      <w:start w:val="11"/>
    </w:lvl>
  </w:abstractNum>
  <w:abstractNum w:abstractNumId="44">
    <w:nsid w:val="5FB8370B"/>
    <w:multiLevelType w:val="hybridMultilevel"/>
    <w:lvl w:ilvl="0">
      <w:lvlJc w:val="left"/>
      <w:lvlText w:val="1"/>
      <w:numFmt w:val="bullet"/>
      <w:start w:val="1"/>
    </w:lvl>
  </w:abstractNum>
  <w:abstractNum w:abstractNumId="45">
    <w:nsid w:val="50801EE1"/>
    <w:multiLevelType w:val="hybridMultilevel"/>
    <w:lvl w:ilvl="0">
      <w:lvlJc w:val="left"/>
      <w:lvlText w:val="2"/>
      <w:numFmt w:val="bullet"/>
      <w:start w:val="1"/>
    </w:lvl>
  </w:abstractNum>
  <w:abstractNum w:abstractNumId="46">
    <w:nsid w:val="488AC1A"/>
    <w:multiLevelType w:val="hybridMultilevel"/>
    <w:lvl w:ilvl="0">
      <w:lvlJc w:val="left"/>
      <w:lvlText w:val="3"/>
      <w:numFmt w:val="bullet"/>
      <w:start w:val="1"/>
    </w:lvl>
  </w:abstractNum>
  <w:abstractNum w:abstractNumId="47">
    <w:nsid w:val="5FB8011C"/>
    <w:multiLevelType w:val="hybridMultilevel"/>
    <w:lvl w:ilvl="0">
      <w:lvlJc w:val="left"/>
      <w:lvlText w:val="4"/>
      <w:numFmt w:val="bullet"/>
      <w:start w:val="1"/>
    </w:lvl>
  </w:abstractNum>
  <w:abstractNum w:abstractNumId="48">
    <w:nsid w:val="6AA78F7F"/>
    <w:multiLevelType w:val="hybridMultilevel"/>
    <w:lvl w:ilvl="0">
      <w:lvlJc w:val="left"/>
      <w:lvlText w:val="5"/>
      <w:numFmt w:val="bullet"/>
      <w:start w:val="1"/>
    </w:lvl>
  </w:abstractNum>
  <w:abstractNum w:abstractNumId="49">
    <w:nsid w:val="7672BD23"/>
    <w:multiLevelType w:val="hybridMultilevel"/>
    <w:lvl w:ilvl="0">
      <w:lvlJc w:val="left"/>
      <w:lvlText w:val="6"/>
      <w:numFmt w:val="bullet"/>
      <w:start w:val="1"/>
    </w:lvl>
  </w:abstractNum>
  <w:abstractNum w:abstractNumId="50">
    <w:nsid w:val="6FC75AF8"/>
    <w:multiLevelType w:val="hybridMultilevel"/>
    <w:lvl w:ilvl="0">
      <w:lvlJc w:val="left"/>
      <w:lvlText w:val="%1"/>
      <w:numFmt w:val="decimal"/>
      <w:start w:val="11"/>
    </w:lvl>
  </w:abstractNum>
  <w:abstractNum w:abstractNumId="51">
    <w:nsid w:val="6A5F7029"/>
    <w:multiLevelType w:val="hybridMultilevel"/>
    <w:lvl w:ilvl="0">
      <w:lvlJc w:val="left"/>
      <w:lvlText w:val="1"/>
      <w:numFmt w:val="bullet"/>
      <w:start w:val="1"/>
    </w:lvl>
  </w:abstractNum>
  <w:abstractNum w:abstractNumId="52">
    <w:nsid w:val="7D5E18F8"/>
    <w:multiLevelType w:val="hybridMultilevel"/>
    <w:lvl w:ilvl="0">
      <w:lvlJc w:val="left"/>
      <w:lvlText w:val="2"/>
      <w:numFmt w:val="bullet"/>
      <w:start w:val="1"/>
    </w:lvl>
  </w:abstractNum>
  <w:abstractNum w:abstractNumId="53">
    <w:nsid w:val="5F3534A4"/>
    <w:multiLevelType w:val="hybridMultilevel"/>
    <w:lvl w:ilvl="0">
      <w:lvlJc w:val="left"/>
      <w:lvlText w:val="3"/>
      <w:numFmt w:val="bullet"/>
      <w:start w:val="1"/>
    </w:lvl>
  </w:abstractNum>
  <w:abstractNum w:abstractNumId="54">
    <w:nsid w:val="73A1821B"/>
    <w:multiLevelType w:val="hybridMultilevel"/>
    <w:lvl w:ilvl="0">
      <w:lvlJc w:val="left"/>
      <w:lvlText w:val="4"/>
      <w:numFmt w:val="bullet"/>
      <w:start w:val="1"/>
    </w:lvl>
  </w:abstractNum>
  <w:abstractNum w:abstractNumId="55">
    <w:nsid w:val="7DE67713"/>
    <w:multiLevelType w:val="hybridMultilevel"/>
    <w:lvl w:ilvl="0">
      <w:lvlJc w:val="left"/>
      <w:lvlText w:val="5"/>
      <w:numFmt w:val="bullet"/>
      <w:start w:val="1"/>
    </w:lvl>
  </w:abstractNum>
  <w:abstractNum w:abstractNumId="56">
    <w:nsid w:val="555C55B5"/>
    <w:multiLevelType w:val="hybridMultilevel"/>
    <w:lvl w:ilvl="0">
      <w:lvlJc w:val="left"/>
      <w:lvlText w:val="6"/>
      <w:numFmt w:val="bullet"/>
      <w:start w:val="1"/>
    </w:lvl>
  </w:abstractNum>
  <w:abstractNum w:abstractNumId="57">
    <w:nsid w:val="3FA62ACA"/>
    <w:multiLevelType w:val="hybridMultilevel"/>
    <w:lvl w:ilvl="0">
      <w:lvlJc w:val="left"/>
      <w:lvlText w:val="%1"/>
      <w:numFmt w:val="decimal"/>
      <w:start w:val="11"/>
    </w:lvl>
  </w:abstractNum>
  <w:abstractNum w:abstractNumId="58">
    <w:nsid w:val="14FCE74E"/>
    <w:multiLevelType w:val="hybridMultilevel"/>
    <w:lvl w:ilvl="0">
      <w:lvlJc w:val="left"/>
      <w:lvlText w:val="1"/>
      <w:numFmt w:val="bullet"/>
      <w:start w:val="1"/>
    </w:lvl>
  </w:abstractNum>
  <w:abstractNum w:abstractNumId="59">
    <w:nsid w:val="6A3DD3E8"/>
    <w:multiLevelType w:val="hybridMultilevel"/>
    <w:lvl w:ilvl="0">
      <w:lvlJc w:val="left"/>
      <w:lvlText w:val="2"/>
      <w:numFmt w:val="bullet"/>
      <w:start w:val="1"/>
    </w:lvl>
  </w:abstractNum>
  <w:abstractNum w:abstractNumId="60">
    <w:nsid w:val="71C91298"/>
    <w:multiLevelType w:val="hybridMultilevel"/>
    <w:lvl w:ilvl="0">
      <w:lvlJc w:val="left"/>
      <w:lvlText w:val="3"/>
      <w:numFmt w:val="bullet"/>
      <w:start w:val="1"/>
    </w:lvl>
  </w:abstractNum>
  <w:abstractNum w:abstractNumId="61">
    <w:nsid w:val="9DAF632"/>
    <w:multiLevelType w:val="hybridMultilevel"/>
    <w:lvl w:ilvl="0">
      <w:lvlJc w:val="left"/>
      <w:lvlText w:val="4"/>
      <w:numFmt w:val="bullet"/>
      <w:start w:val="1"/>
    </w:lvl>
  </w:abstractNum>
  <w:abstractNum w:abstractNumId="62">
    <w:nsid w:val="53299938"/>
    <w:multiLevelType w:val="hybridMultilevel"/>
    <w:lvl w:ilvl="0">
      <w:lvlJc w:val="left"/>
      <w:lvlText w:val="5"/>
      <w:numFmt w:val="bullet"/>
      <w:start w:val="1"/>
    </w:lvl>
  </w:abstractNum>
  <w:abstractNum w:abstractNumId="63">
    <w:nsid w:val="1FBFE8E0"/>
    <w:multiLevelType w:val="hybridMultilevel"/>
    <w:lvl w:ilvl="0">
      <w:lvlJc w:val="left"/>
      <w:lvlText w:val="6"/>
      <w:numFmt w:val="bullet"/>
      <w:start w:val="1"/>
    </w:lvl>
  </w:abstractNum>
  <w:abstractNum w:abstractNumId="64">
    <w:nsid w:val="5092CA79"/>
    <w:multiLevelType w:val="hybridMultilevel"/>
    <w:lvl w:ilvl="0">
      <w:lvlJc w:val="left"/>
      <w:lvlText w:val="%1"/>
      <w:numFmt w:val="decimal"/>
      <w:start w:val="11"/>
    </w:lvl>
  </w:abstractNum>
  <w:abstractNum w:abstractNumId="65">
    <w:nsid w:val="1D545C4D"/>
    <w:multiLevelType w:val="hybridMultilevel"/>
    <w:lvl w:ilvl="0">
      <w:lvlJc w:val="left"/>
      <w:lvlText w:val="1"/>
      <w:numFmt w:val="bullet"/>
      <w:start w:val="1"/>
    </w:lvl>
  </w:abstractNum>
  <w:abstractNum w:abstractNumId="66">
    <w:nsid w:val="59ADEA3D"/>
    <w:multiLevelType w:val="hybridMultilevel"/>
    <w:lvl w:ilvl="0">
      <w:lvlJc w:val="left"/>
      <w:lvlText w:val="2"/>
      <w:numFmt w:val="bullet"/>
      <w:start w:val="1"/>
    </w:lvl>
  </w:abstractNum>
  <w:abstractNum w:abstractNumId="67">
    <w:nsid w:val="288F1A34"/>
    <w:multiLevelType w:val="hybridMultilevel"/>
    <w:lvl w:ilvl="0">
      <w:lvlJc w:val="left"/>
      <w:lvlText w:val="3"/>
      <w:numFmt w:val="bullet"/>
      <w:start w:val="1"/>
    </w:lvl>
  </w:abstractNum>
  <w:abstractNum w:abstractNumId="68">
    <w:nsid w:val="2A155DBC"/>
    <w:multiLevelType w:val="hybridMultilevel"/>
    <w:lvl w:ilvl="0">
      <w:lvlJc w:val="left"/>
      <w:lvlText w:val="4"/>
      <w:numFmt w:val="bullet"/>
      <w:start w:val="1"/>
    </w:lvl>
  </w:abstractNum>
  <w:abstractNum w:abstractNumId="69">
    <w:nsid w:val="1D9F6E5F"/>
    <w:multiLevelType w:val="hybridMultilevel"/>
    <w:lvl w:ilvl="0">
      <w:lvlJc w:val="left"/>
      <w:lvlText w:val="5"/>
      <w:numFmt w:val="bullet"/>
      <w:start w:val="1"/>
    </w:lvl>
  </w:abstractNum>
  <w:abstractNum w:abstractNumId="70">
    <w:nsid w:val="97E1B4E"/>
    <w:multiLevelType w:val="hybridMultilevel"/>
    <w:lvl w:ilvl="0">
      <w:lvlJc w:val="left"/>
      <w:lvlText w:val="6"/>
      <w:numFmt w:val="bullet"/>
      <w:start w:val="1"/>
    </w:lvl>
  </w:abstractNum>
  <w:abstractNum w:abstractNumId="71">
    <w:nsid w:val="51088277"/>
    <w:multiLevelType w:val="hybridMultilevel"/>
    <w:lvl w:ilvl="0">
      <w:lvlJc w:val="left"/>
      <w:lvlText w:val="%1"/>
      <w:numFmt w:val="decimal"/>
      <w:start w:val="11"/>
    </w:lvl>
  </w:abstractNum>
  <w:abstractNum w:abstractNumId="72">
    <w:nsid w:val="1CA0C5FA"/>
    <w:multiLevelType w:val="hybridMultilevel"/>
    <w:lvl w:ilvl="0">
      <w:lvlJc w:val="left"/>
      <w:lvlText w:val="1"/>
      <w:numFmt w:val="bullet"/>
      <w:start w:val="1"/>
    </w:lvl>
  </w:abstractNum>
  <w:abstractNum w:abstractNumId="73">
    <w:nsid w:val="53584BCB"/>
    <w:multiLevelType w:val="hybridMultilevel"/>
    <w:lvl w:ilvl="0">
      <w:lvlJc w:val="left"/>
      <w:lvlText w:val="2"/>
      <w:numFmt w:val="bullet"/>
      <w:start w:val="1"/>
    </w:lvl>
  </w:abstractNum>
  <w:abstractNum w:abstractNumId="74">
    <w:nsid w:val="415E286C"/>
    <w:multiLevelType w:val="hybridMultilevel"/>
    <w:lvl w:ilvl="0">
      <w:lvlJc w:val="left"/>
      <w:lvlText w:val="3"/>
      <w:numFmt w:val="bullet"/>
      <w:start w:val="1"/>
    </w:lvl>
  </w:abstractNum>
  <w:abstractNum w:abstractNumId="75">
    <w:nsid w:val="7C58FD05"/>
    <w:multiLevelType w:val="hybridMultilevel"/>
    <w:lvl w:ilvl="0">
      <w:lvlJc w:val="left"/>
      <w:lvlText w:val="4"/>
      <w:numFmt w:val="bullet"/>
      <w:start w:val="1"/>
    </w:lvl>
  </w:abstractNum>
  <w:abstractNum w:abstractNumId="76">
    <w:nsid w:val="23D86AAC"/>
    <w:multiLevelType w:val="hybridMultilevel"/>
    <w:lvl w:ilvl="0">
      <w:lvlJc w:val="left"/>
      <w:lvlText w:val="5"/>
      <w:numFmt w:val="bullet"/>
      <w:start w:val="1"/>
    </w:lvl>
  </w:abstractNum>
  <w:abstractNum w:abstractNumId="77">
    <w:nsid w:val="45E6D486"/>
    <w:multiLevelType w:val="hybridMultilevel"/>
    <w:lvl w:ilvl="0">
      <w:lvlJc w:val="left"/>
      <w:lvlText w:val="6"/>
      <w:numFmt w:val="bullet"/>
      <w:start w:val="1"/>
    </w:lvl>
  </w:abstractNum>
  <w:abstractNum w:abstractNumId="78">
    <w:nsid w:val="5C10FE21"/>
    <w:multiLevelType w:val="hybridMultilevel"/>
    <w:lvl w:ilvl="0">
      <w:lvlJc w:val="left"/>
      <w:lvlText w:val="%1"/>
      <w:numFmt w:val="decimal"/>
      <w:start w:val="11"/>
    </w:lvl>
  </w:abstractNum>
  <w:abstractNum w:abstractNumId="79">
    <w:nsid w:val="E7FFA2B"/>
    <w:multiLevelType w:val="hybridMultilevel"/>
    <w:lvl w:ilvl="0">
      <w:lvlJc w:val="left"/>
      <w:lvlText w:val="1"/>
      <w:numFmt w:val="bullet"/>
      <w:start w:val="1"/>
    </w:lvl>
  </w:abstractNum>
  <w:abstractNum w:abstractNumId="80">
    <w:nsid w:val="3C5991AA"/>
    <w:multiLevelType w:val="hybridMultilevel"/>
    <w:lvl w:ilvl="0">
      <w:lvlJc w:val="left"/>
      <w:lvlText w:val="2"/>
      <w:numFmt w:val="bullet"/>
      <w:start w:val="1"/>
    </w:lvl>
  </w:abstractNum>
  <w:abstractNum w:abstractNumId="81">
    <w:nsid w:val="4BD8591A"/>
    <w:multiLevelType w:val="hybridMultilevel"/>
    <w:lvl w:ilvl="0">
      <w:lvlJc w:val="left"/>
      <w:lvlText w:val="3"/>
      <w:numFmt w:val="bullet"/>
      <w:start w:val="1"/>
    </w:lvl>
  </w:abstractNum>
  <w:abstractNum w:abstractNumId="82">
    <w:nsid w:val="78DF6A55"/>
    <w:multiLevelType w:val="hybridMultilevel"/>
    <w:lvl w:ilvl="0">
      <w:lvlJc w:val="left"/>
      <w:lvlText w:val="4"/>
      <w:numFmt w:val="bullet"/>
      <w:start w:val="1"/>
    </w:lvl>
  </w:abstractNum>
  <w:abstractNum w:abstractNumId="83">
    <w:nsid w:val="39B7AAA2"/>
    <w:multiLevelType w:val="hybridMultilevel"/>
    <w:lvl w:ilvl="0">
      <w:lvlJc w:val="left"/>
      <w:lvlText w:val="5"/>
      <w:numFmt w:val="bullet"/>
      <w:start w:val="1"/>
    </w:lvl>
  </w:abstractNum>
  <w:abstractNum w:abstractNumId="84">
    <w:nsid w:val="2B0D8DBE"/>
    <w:multiLevelType w:val="hybridMultilevel"/>
    <w:lvl w:ilvl="0">
      <w:lvlJc w:val="left"/>
      <w:lvlText w:val="6"/>
      <w:numFmt w:val="bullet"/>
      <w:start w:val="1"/>
    </w:lvl>
  </w:abstractNum>
  <w:abstractNum w:abstractNumId="85">
    <w:nsid w:val="6C80EC70"/>
    <w:multiLevelType w:val="hybridMultilevel"/>
    <w:lvl w:ilvl="0">
      <w:lvlJc w:val="left"/>
      <w:lvlText w:val="%1"/>
      <w:numFmt w:val="decimal"/>
      <w:start w:val="11"/>
    </w:lvl>
  </w:abstractNum>
  <w:abstractNum w:abstractNumId="86">
    <w:nsid w:val="379E21B5"/>
    <w:multiLevelType w:val="hybridMultilevel"/>
    <w:lvl w:ilvl="0">
      <w:lvlJc w:val="left"/>
      <w:lvlText w:val="1"/>
      <w:numFmt w:val="bullet"/>
      <w:start w:val="1"/>
    </w:lvl>
  </w:abstractNum>
  <w:abstractNum w:abstractNumId="87">
    <w:nsid w:val="69E373"/>
    <w:multiLevelType w:val="hybridMultilevel"/>
    <w:lvl w:ilvl="0">
      <w:lvlJc w:val="left"/>
      <w:lvlText w:val="2"/>
      <w:numFmt w:val="bullet"/>
      <w:start w:val="1"/>
    </w:lvl>
  </w:abstractNum>
  <w:abstractNum w:abstractNumId="88">
    <w:nsid w:val="2C27173B"/>
    <w:multiLevelType w:val="hybridMultilevel"/>
    <w:lvl w:ilvl="0">
      <w:lvlJc w:val="left"/>
      <w:lvlText w:val="3"/>
      <w:numFmt w:val="bullet"/>
      <w:start w:val="1"/>
    </w:lvl>
  </w:abstractNum>
  <w:abstractNum w:abstractNumId="89">
    <w:nsid w:val="4C9B0904"/>
    <w:multiLevelType w:val="hybridMultilevel"/>
    <w:lvl w:ilvl="0">
      <w:lvlJc w:val="left"/>
      <w:lvlText w:val="4"/>
      <w:numFmt w:val="bullet"/>
      <w:start w:val="1"/>
    </w:lvl>
  </w:abstractNum>
  <w:abstractNum w:abstractNumId="90">
    <w:nsid w:val="6AA7B75C"/>
    <w:multiLevelType w:val="hybridMultilevel"/>
    <w:lvl w:ilvl="0">
      <w:lvlJc w:val="left"/>
      <w:lvlText w:val="5"/>
      <w:numFmt w:val="bullet"/>
      <w:start w:val="1"/>
    </w:lvl>
  </w:abstractNum>
  <w:abstractNum w:abstractNumId="91">
    <w:nsid w:val="1DF029D3"/>
    <w:multiLevelType w:val="hybridMultilevel"/>
    <w:lvl w:ilvl="0">
      <w:lvlJc w:val="left"/>
      <w:lvlText w:val="6"/>
      <w:numFmt w:val="bullet"/>
      <w:start w:val="1"/>
    </w:lvl>
  </w:abstractNum>
  <w:abstractNum w:abstractNumId="92">
    <w:nsid w:val="5675FF36"/>
    <w:multiLevelType w:val="hybridMultilevel"/>
    <w:lvl w:ilvl="0">
      <w:lvlJc w:val="left"/>
      <w:lvlText w:val="%1"/>
      <w:numFmt w:val="decimal"/>
      <w:start w:val="11"/>
    </w:lvl>
  </w:abstractNum>
  <w:abstractNum w:abstractNumId="93">
    <w:nsid w:val="3DD15094"/>
    <w:multiLevelType w:val="hybridMultilevel"/>
    <w:lvl w:ilvl="0">
      <w:lvlJc w:val="left"/>
      <w:lvlText w:val="1"/>
      <w:numFmt w:val="bullet"/>
      <w:start w:val="1"/>
    </w:lvl>
  </w:abstractNum>
  <w:abstractNum w:abstractNumId="94">
    <w:nsid w:val="3DB012B3"/>
    <w:multiLevelType w:val="hybridMultilevel"/>
    <w:lvl w:ilvl="0">
      <w:lvlJc w:val="left"/>
      <w:lvlText w:val="2"/>
      <w:numFmt w:val="bullet"/>
      <w:start w:val="1"/>
    </w:lvl>
  </w:abstractNum>
  <w:abstractNum w:abstractNumId="95">
    <w:nsid w:val="2708C9AF"/>
    <w:multiLevelType w:val="hybridMultilevel"/>
    <w:lvl w:ilvl="0">
      <w:lvlJc w:val="left"/>
      <w:lvlText w:val="3"/>
      <w:numFmt w:val="bullet"/>
      <w:start w:val="1"/>
    </w:lvl>
  </w:abstractNum>
  <w:abstractNum w:abstractNumId="96">
    <w:nsid w:val="5B25ACE2"/>
    <w:multiLevelType w:val="hybridMultilevel"/>
    <w:lvl w:ilvl="0">
      <w:lvlJc w:val="left"/>
      <w:lvlText w:val="4"/>
      <w:numFmt w:val="bullet"/>
      <w:start w:val="1"/>
    </w:lvl>
  </w:abstractNum>
  <w:abstractNum w:abstractNumId="97">
    <w:nsid w:val="175DFCF0"/>
    <w:multiLevelType w:val="hybridMultilevel"/>
    <w:lvl w:ilvl="0">
      <w:lvlJc w:val="left"/>
      <w:lvlText w:val="5"/>
      <w:numFmt w:val="bullet"/>
      <w:start w:val="1"/>
    </w:lvl>
  </w:abstractNum>
  <w:abstractNum w:abstractNumId="98">
    <w:nsid w:val="4F97E3E4"/>
    <w:multiLevelType w:val="hybridMultilevel"/>
    <w:lvl w:ilvl="0">
      <w:lvlJc w:val="left"/>
      <w:lvlText w:val="6"/>
      <w:numFmt w:val="bullet"/>
      <w:start w:val="1"/>
    </w:lvl>
  </w:abstractNum>
  <w:abstractNum w:abstractNumId="99">
    <w:nsid w:val="53B0A9E"/>
    <w:multiLevelType w:val="hybridMultilevel"/>
    <w:lvl w:ilvl="0">
      <w:lvlJc w:val="left"/>
      <w:lvlText w:val="%1"/>
      <w:numFmt w:val="decimal"/>
      <w:start w:val="11"/>
    </w:lvl>
  </w:abstractNum>
  <w:abstractNum w:abstractNumId="100">
    <w:nsid w:val="34FD6B4F"/>
    <w:multiLevelType w:val="hybridMultilevel"/>
    <w:lvl w:ilvl="0">
      <w:lvlJc w:val="left"/>
      <w:lvlText w:val="1"/>
      <w:numFmt w:val="bullet"/>
      <w:start w:val="1"/>
    </w:lvl>
  </w:abstractNum>
  <w:abstractNum w:abstractNumId="101">
    <w:nsid w:val="5915FF32"/>
    <w:multiLevelType w:val="hybridMultilevel"/>
    <w:lvl w:ilvl="0">
      <w:lvlJc w:val="left"/>
      <w:lvlText w:val="2"/>
      <w:numFmt w:val="bullet"/>
      <w:start w:val="1"/>
    </w:lvl>
  </w:abstractNum>
  <w:abstractNum w:abstractNumId="102">
    <w:nsid w:val="56438D15"/>
    <w:multiLevelType w:val="hybridMultilevel"/>
    <w:lvl w:ilvl="0">
      <w:lvlJc w:val="left"/>
      <w:lvlText w:val="3"/>
      <w:numFmt w:val="bullet"/>
      <w:start w:val="1"/>
    </w:lvl>
  </w:abstractNum>
  <w:abstractNum w:abstractNumId="103">
    <w:nsid w:val="519E3149"/>
    <w:multiLevelType w:val="hybridMultilevel"/>
    <w:lvl w:ilvl="0">
      <w:lvlJc w:val="left"/>
      <w:lvlText w:val="4"/>
      <w:numFmt w:val="bullet"/>
      <w:start w:val="1"/>
    </w:lvl>
  </w:abstractNum>
  <w:abstractNum w:abstractNumId="104">
    <w:nsid w:val="2C6E4AFD"/>
    <w:multiLevelType w:val="hybridMultilevel"/>
    <w:lvl w:ilvl="0">
      <w:lvlJc w:val="left"/>
      <w:lvlText w:val="5"/>
      <w:numFmt w:val="bullet"/>
      <w:start w:val="1"/>
    </w:lvl>
  </w:abstractNum>
  <w:abstractNum w:abstractNumId="105">
    <w:nsid w:val="17A1B582"/>
    <w:multiLevelType w:val="hybridMultilevel"/>
    <w:lvl w:ilvl="0">
      <w:lvlJc w:val="left"/>
      <w:lvlText w:val="6"/>
      <w:numFmt w:val="bullet"/>
      <w:start w:val="1"/>
    </w:lvl>
  </w:abstractNum>
  <w:abstractNum w:abstractNumId="106">
    <w:nsid w:val="4DF72E4E"/>
    <w:multiLevelType w:val="hybridMultilevel"/>
    <w:lvl w:ilvl="0">
      <w:lvlJc w:val="left"/>
      <w:lvlText w:val="%1"/>
      <w:numFmt w:val="decimal"/>
      <w:start w:val="11"/>
    </w:lvl>
  </w:abstractNum>
  <w:abstractNum w:abstractNumId="107">
    <w:nsid w:val="5046B5A9"/>
    <w:multiLevelType w:val="hybridMultilevel"/>
    <w:lvl w:ilvl="0">
      <w:lvlJc w:val="left"/>
      <w:lvlText w:val="1"/>
      <w:numFmt w:val="bullet"/>
      <w:start w:val="1"/>
    </w:lvl>
  </w:abstractNum>
  <w:abstractNum w:abstractNumId="108">
    <w:nsid w:val="5D888A08"/>
    <w:multiLevelType w:val="hybridMultilevel"/>
    <w:lvl w:ilvl="0">
      <w:lvlJc w:val="left"/>
      <w:lvlText w:val="2"/>
      <w:numFmt w:val="bullet"/>
      <w:start w:val="1"/>
    </w:lvl>
  </w:abstractNum>
  <w:abstractNum w:abstractNumId="109">
    <w:nsid w:val="2A082C70"/>
    <w:multiLevelType w:val="hybridMultilevel"/>
    <w:lvl w:ilvl="0">
      <w:lvlJc w:val="left"/>
      <w:lvlText w:val="3"/>
      <w:numFmt w:val="bullet"/>
      <w:start w:val="1"/>
    </w:lvl>
  </w:abstractNum>
  <w:abstractNum w:abstractNumId="110">
    <w:nsid w:val="5EC6AFD4"/>
    <w:multiLevelType w:val="hybridMultilevel"/>
    <w:lvl w:ilvl="0">
      <w:lvlJc w:val="left"/>
      <w:lvlText w:val="4"/>
      <w:numFmt w:val="bullet"/>
      <w:start w:val="1"/>
    </w:lvl>
  </w:abstractNum>
  <w:abstractNum w:abstractNumId="111">
    <w:nsid w:val="19E21BB2"/>
    <w:multiLevelType w:val="hybridMultilevel"/>
    <w:lvl w:ilvl="0">
      <w:lvlJc w:val="left"/>
      <w:lvlText w:val="5"/>
      <w:numFmt w:val="bullet"/>
      <w:start w:val="1"/>
    </w:lvl>
  </w:abstractNum>
  <w:abstractNum w:abstractNumId="112">
    <w:nsid w:val="75E0858A"/>
    <w:multiLevelType w:val="hybridMultilevel"/>
    <w:lvl w:ilvl="0">
      <w:lvlJc w:val="left"/>
      <w:lvlText w:val="6"/>
      <w:numFmt w:val="bullet"/>
      <w:start w:val="1"/>
    </w:lvl>
  </w:abstractNum>
  <w:abstractNum w:abstractNumId="113">
    <w:nsid w:val="57A61A29"/>
    <w:multiLevelType w:val="hybridMultilevel"/>
    <w:lvl w:ilvl="0">
      <w:lvlJc w:val="left"/>
      <w:lvlText w:val="%1"/>
      <w:numFmt w:val="decimal"/>
      <w:start w:val="11"/>
    </w:lvl>
  </w:abstractNum>
  <w:abstractNum w:abstractNumId="114">
    <w:nsid w:val="5399C654"/>
    <w:multiLevelType w:val="hybridMultilevel"/>
    <w:lvl w:ilvl="0">
      <w:lvlJc w:val="left"/>
      <w:lvlText w:val="1"/>
      <w:numFmt w:val="bullet"/>
      <w:start w:val="1"/>
    </w:lvl>
  </w:abstractNum>
  <w:abstractNum w:abstractNumId="115">
    <w:nsid w:val="20EE1348"/>
    <w:multiLevelType w:val="hybridMultilevel"/>
    <w:lvl w:ilvl="0">
      <w:lvlJc w:val="left"/>
      <w:lvlText w:val="2"/>
      <w:numFmt w:val="bullet"/>
      <w:start w:val="1"/>
    </w:lvl>
  </w:abstractNum>
  <w:abstractNum w:abstractNumId="116">
    <w:nsid w:val="4427069A"/>
    <w:multiLevelType w:val="hybridMultilevel"/>
    <w:lvl w:ilvl="0">
      <w:lvlJc w:val="left"/>
      <w:lvlText w:val="3"/>
      <w:numFmt w:val="bullet"/>
      <w:start w:val="1"/>
    </w:lvl>
  </w:abstractNum>
  <w:abstractNum w:abstractNumId="117">
    <w:nsid w:val="B37E80A"/>
    <w:multiLevelType w:val="hybridMultilevel"/>
    <w:lvl w:ilvl="0">
      <w:lvlJc w:val="left"/>
      <w:lvlText w:val="4"/>
      <w:numFmt w:val="bullet"/>
      <w:start w:val="1"/>
    </w:lvl>
  </w:abstractNum>
  <w:abstractNum w:abstractNumId="118">
    <w:nsid w:val="2157F6BC"/>
    <w:multiLevelType w:val="hybridMultilevel"/>
    <w:lvl w:ilvl="0">
      <w:lvlJc w:val="left"/>
      <w:lvlText w:val="5"/>
      <w:numFmt w:val="bullet"/>
      <w:start w:val="1"/>
    </w:lvl>
  </w:abstractNum>
  <w:abstractNum w:abstractNumId="119">
    <w:nsid w:val="704E1DD5"/>
    <w:multiLevelType w:val="hybridMultilevel"/>
    <w:lvl w:ilvl="0">
      <w:lvlJc w:val="left"/>
      <w:lvlText w:val="6"/>
      <w:numFmt w:val="bullet"/>
      <w:start w:val="1"/>
    </w:lvl>
  </w:abstractNum>
  <w:abstractNum w:abstractNumId="120">
    <w:nsid w:val="57D2F10E"/>
    <w:multiLevelType w:val="hybridMultilevel"/>
    <w:lvl w:ilvl="0">
      <w:lvlJc w:val="left"/>
      <w:lvlText w:val="%1"/>
      <w:numFmt w:val="decimal"/>
      <w:start w:val="11"/>
    </w:lvl>
  </w:abstractNum>
  <w:abstractNum w:abstractNumId="121">
    <w:nsid w:val="BFFAE18"/>
    <w:multiLevelType w:val="hybridMultilevel"/>
    <w:lvl w:ilvl="0">
      <w:lvlJc w:val="left"/>
      <w:lvlText w:val="1"/>
      <w:numFmt w:val="bullet"/>
      <w:start w:val="1"/>
    </w:lvl>
  </w:abstractNum>
  <w:abstractNum w:abstractNumId="122">
    <w:nsid w:val="E3E47A8"/>
    <w:multiLevelType w:val="hybridMultilevel"/>
    <w:lvl w:ilvl="0">
      <w:lvlJc w:val="left"/>
      <w:lvlText w:val="2"/>
      <w:numFmt w:val="bullet"/>
      <w:start w:val="1"/>
    </w:lvl>
  </w:abstractNum>
  <w:abstractNum w:abstractNumId="123">
    <w:nsid w:val="2E48F044"/>
    <w:multiLevelType w:val="hybridMultilevel"/>
    <w:lvl w:ilvl="0">
      <w:lvlJc w:val="left"/>
      <w:lvlText w:val="3"/>
      <w:numFmt w:val="bullet"/>
      <w:start w:val="1"/>
    </w:lvl>
  </w:abstractNum>
  <w:abstractNum w:abstractNumId="124">
    <w:nsid w:val="49D0FEAC"/>
    <w:multiLevelType w:val="hybridMultilevel"/>
    <w:lvl w:ilvl="0">
      <w:lvlJc w:val="left"/>
      <w:lvlText w:val="4"/>
      <w:numFmt w:val="bullet"/>
      <w:start w:val="1"/>
    </w:lvl>
  </w:abstractNum>
  <w:abstractNum w:abstractNumId="125">
    <w:nsid w:val="4BEE5A5B"/>
    <w:multiLevelType w:val="hybridMultilevel"/>
    <w:lvl w:ilvl="0">
      <w:lvlJc w:val="left"/>
      <w:lvlText w:val="5"/>
      <w:numFmt w:val="bullet"/>
      <w:start w:val="1"/>
    </w:lvl>
  </w:abstractNum>
  <w:abstractNum w:abstractNumId="126">
    <w:nsid w:val="5551B9F3"/>
    <w:multiLevelType w:val="hybridMultilevel"/>
    <w:lvl w:ilvl="0">
      <w:lvlJc w:val="left"/>
      <w:lvlText w:val="6"/>
      <w:numFmt w:val="bullet"/>
      <w:start w:val="1"/>
    </w:lvl>
  </w:abstractNum>
  <w:abstractNum w:abstractNumId="127">
    <w:nsid w:val="24F6AB8E"/>
    <w:multiLevelType w:val="hybridMultilevel"/>
    <w:lvl w:ilvl="0">
      <w:lvlJc w:val="left"/>
      <w:lvlText w:val="%1"/>
      <w:numFmt w:val="decimal"/>
      <w:start w:val="11"/>
    </w:lvl>
  </w:abstractNum>
  <w:abstractNum w:abstractNumId="128">
    <w:nsid w:val="634C574C"/>
    <w:multiLevelType w:val="hybridMultilevel"/>
    <w:lvl w:ilvl="0">
      <w:lvlJc w:val="left"/>
      <w:lvlText w:val="1"/>
      <w:numFmt w:val="bullet"/>
      <w:start w:val="1"/>
    </w:lvl>
  </w:abstractNum>
  <w:abstractNum w:abstractNumId="129">
    <w:nsid w:val="24E99DD7"/>
    <w:multiLevelType w:val="hybridMultilevel"/>
    <w:lvl w:ilvl="0">
      <w:lvlJc w:val="left"/>
      <w:lvlText w:val="2"/>
      <w:numFmt w:val="bullet"/>
      <w:start w:val="1"/>
    </w:lvl>
  </w:abstractNum>
  <w:abstractNum w:abstractNumId="130">
    <w:nsid w:val="2A31B62D"/>
    <w:multiLevelType w:val="hybridMultilevel"/>
    <w:lvl w:ilvl="0">
      <w:lvlJc w:val="left"/>
      <w:lvlText w:val="3"/>
      <w:numFmt w:val="bullet"/>
      <w:start w:val="1"/>
    </w:lvl>
  </w:abstractNum>
  <w:abstractNum w:abstractNumId="131">
    <w:nsid w:val="1849C29B"/>
    <w:multiLevelType w:val="hybridMultilevel"/>
    <w:lvl w:ilvl="0">
      <w:lvlJc w:val="left"/>
      <w:lvlText w:val="4"/>
      <w:numFmt w:val="bullet"/>
      <w:start w:val="1"/>
    </w:lvl>
  </w:abstractNum>
  <w:abstractNum w:abstractNumId="132">
    <w:nsid w:val="7DFF9D09"/>
    <w:multiLevelType w:val="hybridMultilevel"/>
    <w:lvl w:ilvl="0">
      <w:lvlJc w:val="left"/>
      <w:lvlText w:val="5"/>
      <w:numFmt w:val="bullet"/>
      <w:start w:val="1"/>
    </w:lvl>
  </w:abstractNum>
  <w:abstractNum w:abstractNumId="133">
    <w:nsid w:val="754342"/>
    <w:multiLevelType w:val="hybridMultilevel"/>
    <w:lvl w:ilvl="0">
      <w:lvlJc w:val="left"/>
      <w:lvlText w:val="6"/>
      <w:numFmt w:val="bullet"/>
      <w:start w:val="1"/>
    </w:lvl>
  </w:abstractNum>
  <w:abstractNum w:abstractNumId="134">
    <w:nsid w:val="69E7F3E5"/>
    <w:multiLevelType w:val="hybridMultilevel"/>
    <w:lvl w:ilvl="0">
      <w:lvlJc w:val="left"/>
      <w:lvlText w:val="%1"/>
      <w:numFmt w:val="decimal"/>
      <w:start w:val="11"/>
    </w:lvl>
  </w:abstractNum>
  <w:abstractNum w:abstractNumId="135">
    <w:nsid w:val="2A6DE806"/>
    <w:multiLevelType w:val="hybridMultilevel"/>
    <w:lvl w:ilvl="0">
      <w:lvlJc w:val="left"/>
      <w:lvlText w:val="1"/>
      <w:numFmt w:val="bullet"/>
      <w:start w:val="1"/>
    </w:lvl>
  </w:abstractNum>
  <w:abstractNum w:abstractNumId="136">
    <w:nsid w:val="1816F8C4"/>
    <w:multiLevelType w:val="hybridMultilevel"/>
    <w:lvl w:ilvl="0">
      <w:lvlJc w:val="left"/>
      <w:lvlText w:val="2"/>
      <w:numFmt w:val="bullet"/>
      <w:start w:val="1"/>
    </w:lvl>
  </w:abstractNum>
  <w:abstractNum w:abstractNumId="137">
    <w:nsid w:val="37DF2233"/>
    <w:multiLevelType w:val="hybridMultilevel"/>
    <w:lvl w:ilvl="0">
      <w:lvlJc w:val="left"/>
      <w:lvlText w:val="3"/>
      <w:numFmt w:val="bullet"/>
      <w:start w:val="1"/>
    </w:lvl>
  </w:abstractNum>
  <w:abstractNum w:abstractNumId="138">
    <w:nsid w:val="7AB49DAF"/>
    <w:multiLevelType w:val="hybridMultilevel"/>
    <w:lvl w:ilvl="0">
      <w:lvlJc w:val="left"/>
      <w:lvlText w:val="4"/>
      <w:numFmt w:val="bullet"/>
      <w:start w:val="1"/>
    </w:lvl>
  </w:abstractNum>
  <w:abstractNum w:abstractNumId="139">
    <w:nsid w:val="759F82CD"/>
    <w:multiLevelType w:val="hybridMultilevel"/>
    <w:lvl w:ilvl="0">
      <w:lvlJc w:val="left"/>
      <w:lvlText w:val="5"/>
      <w:numFmt w:val="bullet"/>
      <w:start w:val="1"/>
    </w:lvl>
  </w:abstractNum>
  <w:abstractNum w:abstractNumId="140">
    <w:nsid w:val="61E74EA3"/>
    <w:multiLevelType w:val="hybridMultilevel"/>
    <w:lvl w:ilvl="0">
      <w:lvlJc w:val="left"/>
      <w:lvlText w:val="6"/>
      <w:numFmt w:val="bullet"/>
      <w:start w:val="1"/>
    </w:lvl>
  </w:abstractNum>
  <w:abstractNum w:abstractNumId="141">
    <w:nsid w:val="597B4D84"/>
    <w:multiLevelType w:val="hybridMultilevel"/>
    <w:lvl w:ilvl="0">
      <w:lvlJc w:val="left"/>
      <w:lvlText w:val="%1"/>
      <w:numFmt w:val="decimal"/>
      <w:start w:val="11"/>
    </w:lvl>
  </w:abstractNum>
  <w:abstractNum w:abstractNumId="142">
    <w:nsid w:val="F819E7F"/>
    <w:multiLevelType w:val="hybridMultilevel"/>
    <w:lvl w:ilvl="0">
      <w:lvlJc w:val="left"/>
      <w:lvlText w:val="(%1)"/>
      <w:numFmt w:val="lowerLetter"/>
      <w:start w:val="1"/>
    </w:lvl>
  </w:abstractNum>
  <w:abstractNum w:abstractNumId="143">
    <w:nsid w:val="57C7D42D"/>
    <w:multiLevelType w:val="hybridMultilevel"/>
    <w:lvl w:ilvl="0">
      <w:lvlJc w:val="left"/>
      <w:lvlText w:val="(%1)"/>
      <w:numFmt w:val="lowerRoman"/>
      <w:start w:val="1"/>
    </w:lvl>
  </w:abstractNum>
  <w:abstractNum w:abstractNumId="144">
    <w:nsid w:val="312167AD"/>
    <w:multiLevelType w:val="hybridMultilevel"/>
    <w:lvl w:ilvl="0">
      <w:lvlJc w:val="left"/>
      <w:lvlText w:val="(%1)"/>
      <w:numFmt w:val="lowerRoman"/>
      <w:start w:val="4"/>
    </w:lvl>
  </w:abstractNum>
  <w:abstractNum w:abstractNumId="145">
    <w:nsid w:val="631B64D4"/>
    <w:multiLevelType w:val="hybridMultilevel"/>
    <w:lvl w:ilvl="0">
      <w:lvlJc w:val="left"/>
      <w:lvlText w:val="(%1)"/>
      <w:numFmt w:val="lowerLetter"/>
      <w:start w:val="3"/>
    </w:lvl>
  </w:abstractNum>
  <w:abstractNum w:abstractNumId="146">
    <w:nsid w:val="78B5E776"/>
    <w:multiLevelType w:val="hybridMultilevel"/>
    <w:lvl w:ilvl="0">
      <w:lvlJc w:val="left"/>
      <w:lvlText w:val="*"/>
      <w:numFmt w:val="bullet"/>
      <w:start w:val="1"/>
    </w:lvl>
  </w:abstractNum>
  <w:abstractNum w:abstractNumId="147">
    <w:nsid w:val="75486E47"/>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2023-02-03T13:58:05Z</dcterms:created>
  <dcterms:modified xsi:type="dcterms:W3CDTF">2023-02-03T13:58:05Z</dcterms:modified>
</cp:coreProperties>
</file>