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4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5465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46544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60" w:space="260"/>
            <w:col w:w="856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Feeley Kevin</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380" w:type="dxa"/>
            <w:vAlign w:val="bottom"/>
          </w:tcPr>
          <w:p>
            <w:pPr>
              <w:ind w:left="16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8"/>
              </w:rPr>
              <w:t>C/O GENEDX HOLDINGS CORP.</w:t>
            </w:r>
          </w:p>
        </w:tc>
        <w:tc>
          <w:tcPr>
            <w:tcW w:w="1180" w:type="dxa"/>
            <w:vAlign w:val="bottom"/>
          </w:tcPr>
          <w:p>
            <w:pPr>
              <w:spacing w:after="0"/>
              <w:rPr>
                <w:sz w:val="23"/>
                <w:szCs w:val="23"/>
                <w:color w:val="auto"/>
              </w:rPr>
            </w:pPr>
          </w:p>
        </w:tc>
      </w:tr>
      <w:tr>
        <w:trPr>
          <w:trHeight w:val="260"/>
        </w:trPr>
        <w:tc>
          <w:tcPr>
            <w:tcW w:w="20" w:type="dxa"/>
            <w:vAlign w:val="bottom"/>
          </w:tcPr>
          <w:p>
            <w:pPr>
              <w:spacing w:after="0"/>
              <w:rPr>
                <w:sz w:val="22"/>
                <w:szCs w:val="22"/>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333 LUDLOW ST, NORTH TOWER</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r>
      <w:tr>
        <w:trPr>
          <w:trHeight w:val="263"/>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13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CT</w:t>
            </w: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06902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380" w:type="dxa"/>
            <w:vAlign w:val="bottom"/>
          </w:tcPr>
          <w:p>
            <w:pPr>
              <w:ind w:left="160"/>
              <w:spacing w:after="0"/>
              <w:rPr>
                <w:sz w:val="20"/>
                <w:szCs w:val="20"/>
                <w:color w:val="auto"/>
              </w:rPr>
            </w:pPr>
            <w:r>
              <w:rPr>
                <w:rFonts w:ascii="Arial" w:cs="Arial" w:eastAsia="Arial" w:hAnsi="Arial"/>
                <w:sz w:val="13"/>
                <w:szCs w:val="13"/>
                <w:color w:val="auto"/>
              </w:rPr>
              <w:t>(State)</w:t>
            </w:r>
          </w:p>
        </w:tc>
        <w:tc>
          <w:tcPr>
            <w:tcW w:w="1180" w:type="dxa"/>
            <w:vAlign w:val="bottom"/>
          </w:tcPr>
          <w:p>
            <w:pPr>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GeneDx Holdings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WGS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1900" w:type="dxa"/>
            <w:vAlign w:val="bottom"/>
            <w:tcBorders>
              <w:top w:val="single" w:sz="8" w:color="0000EE"/>
            </w:tcBorders>
          </w:tcPr>
          <w:p>
            <w:pPr>
              <w:spacing w:after="0"/>
              <w:rPr>
                <w:sz w:val="12"/>
                <w:szCs w:val="12"/>
                <w:color w:val="auto"/>
              </w:rPr>
            </w:pPr>
          </w:p>
        </w:tc>
        <w:tc>
          <w:tcPr>
            <w:tcW w:w="1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1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06/09/2024</w:t>
            </w:r>
          </w:p>
        </w:tc>
        <w:tc>
          <w:tcPr>
            <w:tcW w:w="1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900" w:type="dxa"/>
            <w:vAlign w:val="bottom"/>
            <w:tcBorders>
              <w:bottom w:val="single" w:sz="8" w:color="2C2C2C"/>
            </w:tcBorders>
          </w:tcPr>
          <w:p>
            <w:pPr>
              <w:spacing w:after="0"/>
              <w:rPr>
                <w:sz w:val="8"/>
                <w:szCs w:val="8"/>
                <w:color w:val="auto"/>
              </w:rPr>
            </w:pPr>
          </w:p>
        </w:tc>
        <w:tc>
          <w:tcPr>
            <w:tcW w:w="17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60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06/09/2024</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2,462</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center"/>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33,753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06/10/2024</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ind w:right="15"/>
              <w:spacing w:after="0"/>
              <w:rPr>
                <w:sz w:val="20"/>
                <w:szCs w:val="20"/>
                <w:color w:val="auto"/>
              </w:rPr>
            </w:pPr>
            <w:r>
              <w:rPr>
                <w:rFonts w:ascii="Times New Roman" w:cs="Times New Roman" w:eastAsia="Times New Roman" w:hAnsi="Times New Roman"/>
                <w:sz w:val="17"/>
                <w:szCs w:val="17"/>
                <w:color w:val="0000FF"/>
              </w:rPr>
              <w:t>895</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24.92</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32,858</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1"/>
                <w:szCs w:val="11"/>
                <w:color w:val="008000"/>
                <w:w w:val="93"/>
              </w:rPr>
              <w:t>(3)</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2,462</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06/09/2024</w:t>
            </w:r>
          </w:p>
        </w:tc>
        <w:tc>
          <w:tcPr>
            <w:tcW w:w="1100" w:type="dxa"/>
            <w:vAlign w:val="bottom"/>
          </w:tcPr>
          <w:p>
            <w:pPr>
              <w:spacing w:after="0"/>
              <w:rPr>
                <w:sz w:val="5"/>
                <w:szCs w:val="5"/>
                <w:color w:val="auto"/>
              </w:rPr>
            </w:pPr>
          </w:p>
        </w:tc>
        <w:tc>
          <w:tcPr>
            <w:tcW w:w="64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2,462</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restart"/>
          </w:tcPr>
          <w:p>
            <w:pPr>
              <w:ind w:left="2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20"/>
              <w:spacing w:after="0" w:line="143" w:lineRule="exact"/>
              <w:rPr>
                <w:sz w:val="20"/>
                <w:szCs w:val="20"/>
                <w:color w:val="auto"/>
              </w:rPr>
            </w:pPr>
            <w:r>
              <w:rPr>
                <w:rFonts w:ascii="Times New Roman" w:cs="Times New Roman" w:eastAsia="Times New Roman" w:hAnsi="Times New Roman"/>
                <w:sz w:val="13"/>
                <w:szCs w:val="13"/>
                <w:color w:val="0000FF"/>
              </w:rPr>
              <w:t>24,621</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5" w:lineRule="exact"/>
        <w:rPr>
          <w:rFonts w:ascii="Times New Roman" w:cs="Times New Roman" w:eastAsia="Times New Roman" w:hAnsi="Times New Roman"/>
          <w:sz w:val="13"/>
          <w:szCs w:val="13"/>
          <w:color w:val="008000"/>
        </w:rPr>
      </w:pPr>
    </w:p>
    <w:p>
      <w:pPr>
        <w:ind w:left="40" w:right="44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shares sold by the Reporting Person to cover tax withholding obligations in connection with the vesting and settlement of RSUs. The sales were to satisfy tax withholding obligations to be funded by a "sell to cover" transaction</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6.25% vest in quarterly installments over the 4-year period commencing on March 9, 2023 until fully vested, subject to the Reporting Person's continued service to the Issuer on each vesting date.</w:t>
      </w:r>
    </w:p>
    <w:p>
      <w:pPr>
        <w:spacing w:after="0" w:line="5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Devin Schaffer, Attorney-</w:t>
            </w:r>
          </w:p>
        </w:tc>
        <w:tc>
          <w:tcPr>
            <w:tcW w:w="2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06/11/2024</w:t>
            </w:r>
          </w:p>
        </w:tc>
        <w:tc>
          <w:tcPr>
            <w:tcW w:w="0" w:type="dxa"/>
            <w:vAlign w:val="bottom"/>
          </w:tcPr>
          <w:p>
            <w:pPr>
              <w:spacing w:after="0"/>
              <w:rPr>
                <w:sz w:val="1"/>
                <w:szCs w:val="1"/>
                <w:color w:val="auto"/>
              </w:rPr>
            </w:pPr>
          </w:p>
        </w:tc>
      </w:tr>
      <w:tr>
        <w:trPr>
          <w:trHeight w:val="89"/>
        </w:trPr>
        <w:tc>
          <w:tcPr>
            <w:tcW w:w="48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in-Fact</w:t>
            </w:r>
          </w:p>
        </w:tc>
        <w:tc>
          <w:tcPr>
            <w:tcW w:w="17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80" w:type="dxa"/>
            <w:vAlign w:val="bottom"/>
            <w:tcBorders>
              <w:bottom w:val="single" w:sz="8" w:color="auto"/>
            </w:tcBorders>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44119"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2024-06-11T15:18:01Z</dcterms:created>
  <dcterms:modified xsi:type="dcterms:W3CDTF">2024-06-11T15:18:01Z</dcterms:modified>
</cp:coreProperties>
</file>