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5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Assad Shawn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34,776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total shares vest on October 1, 2022, and thereafter vests as to 75% of the total shares underlying the award in quarterly installments until fully vested, subject to the Reporting Person's continued service to the Issuer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87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2021-10-06T20:14:21Z</dcterms:created>
  <dcterms:modified xsi:type="dcterms:W3CDTF">2021-10-06T20:14:21Z</dcterms:modified>
</cp:coreProperties>
</file>