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6"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SEMA4 HOLDINGS CORP.</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PRELIMINARY PROXY STATEMENT - SUBJECT TO COMPLETION, DATED MARCH 15,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Ludlow Street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North Tower, 8th Floor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Stamford, Connecticut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Stockholder of Sema4 Holdings Corp.:</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You are cordially invited to attend the special meeting of stockholders (the “</w:t>
      </w:r>
      <w:r>
        <w:rPr>
          <w:rFonts w:ascii="Arial" w:cs="Arial" w:eastAsia="Arial" w:hAnsi="Arial"/>
          <w:sz w:val="16"/>
          <w:szCs w:val="16"/>
          <w:i w:val="1"/>
          <w:iCs w:val="1"/>
          <w:color w:val="auto"/>
        </w:rPr>
        <w:t>Special Meeting</w:t>
      </w:r>
      <w:r>
        <w:rPr>
          <w:rFonts w:ascii="Arial" w:cs="Arial" w:eastAsia="Arial" w:hAnsi="Arial"/>
          <w:sz w:val="16"/>
          <w:szCs w:val="16"/>
          <w:color w:val="auto"/>
        </w:rPr>
        <w:t>”) of Sema4 Holdings Corp.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Sema4</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to be held on [ ] at [ ] Eastern time. In light of ongoing developments related to the coronavirus (“</w:t>
      </w:r>
      <w:r>
        <w:rPr>
          <w:rFonts w:ascii="Arial" w:cs="Arial" w:eastAsia="Arial" w:hAnsi="Arial"/>
          <w:sz w:val="16"/>
          <w:szCs w:val="16"/>
          <w:i w:val="1"/>
          <w:iCs w:val="1"/>
          <w:color w:val="auto"/>
        </w:rPr>
        <w:t>COVID-19</w:t>
      </w:r>
      <w:r>
        <w:rPr>
          <w:rFonts w:ascii="Arial" w:cs="Arial" w:eastAsia="Arial" w:hAnsi="Arial"/>
          <w:sz w:val="16"/>
          <w:szCs w:val="16"/>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At the Special Meeting, Company stockholders will be asked to, among other things, approve the issuance of shares of the Company’s Class A common stock, par value $0.0001 per share (the “</w:t>
      </w:r>
      <w:r>
        <w:rPr>
          <w:rFonts w:ascii="Arial" w:cs="Arial" w:eastAsia="Arial" w:hAnsi="Arial"/>
          <w:sz w:val="16"/>
          <w:szCs w:val="16"/>
          <w:i w:val="1"/>
          <w:iCs w:val="1"/>
          <w:color w:val="auto"/>
        </w:rPr>
        <w:t>Class A common stock</w:t>
      </w:r>
      <w:r>
        <w:rPr>
          <w:rFonts w:ascii="Arial" w:cs="Arial" w:eastAsia="Arial" w:hAnsi="Arial"/>
          <w:sz w:val="16"/>
          <w:szCs w:val="16"/>
          <w:color w:val="auto"/>
        </w:rPr>
        <w:t>”), in connection with our acquisition of GeneDx, Inc. (“</w:t>
      </w:r>
      <w:r>
        <w:rPr>
          <w:rFonts w:ascii="Arial" w:cs="Arial" w:eastAsia="Arial" w:hAnsi="Arial"/>
          <w:sz w:val="16"/>
          <w:szCs w:val="16"/>
          <w:i w:val="1"/>
          <w:iCs w:val="1"/>
          <w:color w:val="auto"/>
        </w:rPr>
        <w:t>GeneDx</w:t>
      </w:r>
      <w:r>
        <w:rPr>
          <w:rFonts w:ascii="Arial" w:cs="Arial" w:eastAsia="Arial" w:hAnsi="Arial"/>
          <w:sz w:val="16"/>
          <w:szCs w:val="16"/>
          <w:color w:val="auto"/>
        </w:rPr>
        <w:t>”), approve the issuance of shares of Class A common stock in connection with a related private placement financing and appoint two directors to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We believe our acquisition of GeneDx will provide significant value to the Company and our stockholders, as we expect the addition of GeneDx to provide the Company with additional revenue, synergistic product offerings that provide breadth to our overall product portfolio, and additional key personnel with expertise in our sector. </w:t>
      </w:r>
      <w:r>
        <w:rPr>
          <w:rFonts w:ascii="Arial" w:cs="Arial" w:eastAsia="Arial" w:hAnsi="Arial"/>
          <w:sz w:val="16"/>
          <w:szCs w:val="16"/>
          <w:b w:val="1"/>
          <w:bCs w:val="1"/>
          <w:color w:val="auto"/>
        </w:rPr>
        <w:t>Please note, we are asking stockholders to approve the Stock Consideration Issuance Proposal and the</w:t>
      </w:r>
    </w:p>
    <w:p>
      <w:pPr>
        <w:spacing w:after="0" w:line="4"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auto"/>
        </w:rPr>
        <w:t>PIPE Investment Proposal (as defined and described in more detail in the accompanying proxy statement) in order to comply with listing rule 5635 of the Nasdaq Stock Market, and we are not asking our stockholders to approve the acquisition or the private placement financing.</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are holding the Special Meeting in lieu of our 2022 annual meeting of stockholders and, accordingly, our stockholders will also be considering a proposal to elect three Class I directors for a three-year term to expire at our 2025 annual meeting of stockholders.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these proposals (and the other proposals) is more fully described in the proxy statement, which each stockholder is encouraged to carefully read.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Your vote is very important</w:t>
      </w:r>
      <w:r>
        <w:rPr>
          <w:rFonts w:ascii="Arial" w:cs="Arial" w:eastAsia="Arial" w:hAnsi="Arial"/>
          <w:sz w:val="18"/>
          <w:szCs w:val="18"/>
          <w:color w:val="auto"/>
        </w:rPr>
        <w:t>. Whether or not you plan to attend the Special Meeting, please vote as soon as possible by following the instructions in the proxy statement to make sure that your shares are represented at the Special Meeting. Even if you have voted by proxy, you may still vote during the Special Meeting by visiting https://www.cstproxy.com/sema4/2022 with your 12-digit control number assigned by Continental Stock Transfer &amp; Trust Company included on your proxy card or obtained from them via email.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Sema4 Holdings Corp. and look forward to a successful completion of the acquisition.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40" w:hanging="51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117475</wp:posOffset>
            </wp:positionV>
            <wp:extent cx="3051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7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Eric Schadt</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ind w:left="340"/>
        <w:spacing w:after="0"/>
        <w:tabs>
          <w:tab w:leader="none" w:pos="4040" w:val="left"/>
          <w:tab w:leader="none" w:pos="10280" w:val="left"/>
        </w:tabs>
        <w:rPr>
          <w:sz w:val="20"/>
          <w:szCs w:val="20"/>
          <w:color w:val="auto"/>
        </w:rPr>
      </w:pPr>
      <w:r>
        <w:rPr>
          <w:rFonts w:ascii="Arial" w:cs="Arial" w:eastAsia="Arial" w:hAnsi="Arial"/>
          <w:sz w:val="18"/>
          <w:szCs w:val="18"/>
          <w:color w:val="auto"/>
        </w:rPr>
        <w:t>The accompanying proxy statement is dated [</w:t>
      </w:r>
      <w:r>
        <w:rPr>
          <w:sz w:val="20"/>
          <w:szCs w:val="20"/>
          <w:color w:val="auto"/>
        </w:rPr>
        <w:tab/>
      </w:r>
      <w:r>
        <w:rPr>
          <w:rFonts w:ascii="Arial" w:cs="Arial" w:eastAsia="Arial" w:hAnsi="Arial"/>
          <w:sz w:val="18"/>
          <w:szCs w:val="18"/>
          <w:color w:val="auto"/>
        </w:rPr>
        <w:t>], 2022 and is expected to be first mailed to Company stockholders on or about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SEMA4 HOLDINGS CORP.</w:t>
      </w:r>
    </w:p>
    <w:p>
      <w:pPr>
        <w:spacing w:after="0" w:line="171"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TO BE HELD [</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of Sema4 Holdings Corp.: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a special meeting of the stockholders (the “</w:t>
      </w:r>
      <w:r>
        <w:rPr>
          <w:rFonts w:ascii="Arial" w:cs="Arial" w:eastAsia="Arial" w:hAnsi="Arial"/>
          <w:sz w:val="16"/>
          <w:szCs w:val="16"/>
          <w:i w:val="1"/>
          <w:iCs w:val="1"/>
          <w:color w:val="auto"/>
        </w:rPr>
        <w:t>Special Meeting”</w:t>
      </w:r>
      <w:r>
        <w:rPr>
          <w:rFonts w:ascii="Arial" w:cs="Arial" w:eastAsia="Arial" w:hAnsi="Arial"/>
          <w:sz w:val="16"/>
          <w:szCs w:val="16"/>
          <w:color w:val="auto"/>
        </w:rPr>
        <w:t>) of Sema4 Holdings Corp., a Delaware corporation</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Company</w:t>
      </w:r>
      <w:r>
        <w:rPr>
          <w:rFonts w:ascii="Arial" w:cs="Arial" w:eastAsia="Arial" w:hAnsi="Arial"/>
          <w:sz w:val="17"/>
          <w:szCs w:val="17"/>
          <w:color w:val="auto"/>
        </w:rPr>
        <w:t>”), will be held on [ ] at [ ] Eastern time. In light of ongoing developments related to the coronavirus (“</w:t>
      </w:r>
      <w:r>
        <w:rPr>
          <w:rFonts w:ascii="Arial" w:cs="Arial" w:eastAsia="Arial" w:hAnsi="Arial"/>
          <w:sz w:val="17"/>
          <w:szCs w:val="17"/>
          <w:i w:val="1"/>
          <w:iCs w:val="1"/>
          <w:color w:val="auto"/>
        </w:rPr>
        <w:t>COVID-19</w:t>
      </w:r>
      <w:r>
        <w:rPr>
          <w:rFonts w:ascii="Arial" w:cs="Arial" w:eastAsia="Arial" w:hAnsi="Arial"/>
          <w:sz w:val="17"/>
          <w:szCs w:val="17"/>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https://www.cstproxy.com/sema4/2022 and using a control number assigned by Continental Stock Transfer &amp; Trust Company. To register and receive access to the virtual meeting, registered stockholders and beneficial stockholders (those holding shares through a stock brokerage account or by a bank or other nominee) will need to follow the instructions applicable to them provided in the accompanying proxy statement.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(in lieu of the 2022 annual meeting of stockholders), you will be asked to consider and vote on:</w:t>
      </w:r>
    </w:p>
    <w:p>
      <w:pPr>
        <w:spacing w:after="0" w:line="167"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Stock Consideration Issuance Proposal </w:t>
      </w:r>
      <w:r>
        <w:rPr>
          <w:rFonts w:ascii="Arial" w:cs="Arial" w:eastAsia="Arial" w:hAnsi="Arial"/>
          <w:sz w:val="18"/>
          <w:szCs w:val="18"/>
          <w:color w:val="auto"/>
        </w:rPr>
        <w:t>- For purposes of complying with applicable Nasdaq Stock Market (the “</w:t>
      </w:r>
      <w:r>
        <w:rPr>
          <w:rFonts w:ascii="Arial" w:cs="Arial" w:eastAsia="Arial" w:hAnsi="Arial"/>
          <w:sz w:val="18"/>
          <w:szCs w:val="18"/>
          <w:i w:val="1"/>
          <w:iCs w:val="1"/>
          <w:color w:val="auto"/>
        </w:rPr>
        <w:t>Nasdaq</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rules (the “</w:t>
      </w:r>
      <w:r>
        <w:rPr>
          <w:rFonts w:ascii="Arial" w:cs="Arial" w:eastAsia="Arial" w:hAnsi="Arial"/>
          <w:sz w:val="18"/>
          <w:szCs w:val="18"/>
          <w:i w:val="1"/>
          <w:iCs w:val="1"/>
          <w:color w:val="auto"/>
        </w:rPr>
        <w:t>Nasdaq Listing Rules</w:t>
      </w:r>
      <w:r>
        <w:rPr>
          <w:rFonts w:ascii="Arial" w:cs="Arial" w:eastAsia="Arial" w:hAnsi="Arial"/>
          <w:sz w:val="18"/>
          <w:szCs w:val="18"/>
          <w:color w:val="auto"/>
        </w:rPr>
        <w:t>”), to approve the issuance of the Company’s Class A common stock, par value $0.0001 per share (the “</w:t>
      </w:r>
      <w:r>
        <w:rPr>
          <w:rFonts w:ascii="Arial" w:cs="Arial" w:eastAsia="Arial" w:hAnsi="Arial"/>
          <w:sz w:val="18"/>
          <w:szCs w:val="18"/>
          <w:i w:val="1"/>
          <w:iCs w:val="1"/>
          <w:color w:val="auto"/>
        </w:rPr>
        <w:t>Class A common stock</w:t>
      </w:r>
      <w:r>
        <w:rPr>
          <w:rFonts w:ascii="Arial" w:cs="Arial" w:eastAsia="Arial" w:hAnsi="Arial"/>
          <w:sz w:val="18"/>
          <w:szCs w:val="18"/>
          <w:color w:val="auto"/>
        </w:rPr>
        <w:t>”), in connection with the Acquisition (as defined in the accompanying proxy statement) and as contemplated by the Agreement and Plan of Merger and Reorganization dated January 14, 2022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the Company, GeneDx, Inc. (“</w:t>
      </w:r>
      <w:r>
        <w:rPr>
          <w:rFonts w:ascii="Arial" w:cs="Arial" w:eastAsia="Arial" w:hAnsi="Arial"/>
          <w:sz w:val="18"/>
          <w:szCs w:val="18"/>
          <w:i w:val="1"/>
          <w:iCs w:val="1"/>
          <w:color w:val="auto"/>
        </w:rPr>
        <w:t>GeneDx</w:t>
      </w:r>
      <w:r>
        <w:rPr>
          <w:rFonts w:ascii="Arial" w:cs="Arial" w:eastAsia="Arial" w:hAnsi="Arial"/>
          <w:sz w:val="18"/>
          <w:szCs w:val="18"/>
          <w:color w:val="auto"/>
        </w:rPr>
        <w:t>”), a wholly-owned subsidiary of OPKO Health, Inc. (“</w:t>
      </w:r>
      <w:r>
        <w:rPr>
          <w:rFonts w:ascii="Arial" w:cs="Arial" w:eastAsia="Arial" w:hAnsi="Arial"/>
          <w:sz w:val="18"/>
          <w:szCs w:val="18"/>
          <w:i w:val="1"/>
          <w:iCs w:val="1"/>
          <w:color w:val="auto"/>
        </w:rPr>
        <w:t>OPKO</w:t>
      </w:r>
      <w:r>
        <w:rPr>
          <w:rFonts w:ascii="Arial" w:cs="Arial" w:eastAsia="Arial" w:hAnsi="Arial"/>
          <w:sz w:val="18"/>
          <w:szCs w:val="18"/>
          <w:color w:val="auto"/>
        </w:rPr>
        <w:t>”), OPKO, Orion Merger Sub I, Inc. (“</w:t>
      </w:r>
      <w:r>
        <w:rPr>
          <w:rFonts w:ascii="Arial" w:cs="Arial" w:eastAsia="Arial" w:hAnsi="Arial"/>
          <w:sz w:val="18"/>
          <w:szCs w:val="18"/>
          <w:i w:val="1"/>
          <w:iCs w:val="1"/>
          <w:color w:val="auto"/>
        </w:rPr>
        <w:t>Merger Sub I</w:t>
      </w:r>
      <w:r>
        <w:rPr>
          <w:rFonts w:ascii="Arial" w:cs="Arial" w:eastAsia="Arial" w:hAnsi="Arial"/>
          <w:sz w:val="18"/>
          <w:szCs w:val="18"/>
          <w:color w:val="auto"/>
        </w:rPr>
        <w:t>”), a wholly-owned subsidiary of the Company, Orion Merger Sub II, LLC (“</w:t>
      </w:r>
      <w:r>
        <w:rPr>
          <w:rFonts w:ascii="Arial" w:cs="Arial" w:eastAsia="Arial" w:hAnsi="Arial"/>
          <w:sz w:val="18"/>
          <w:szCs w:val="18"/>
          <w:i w:val="1"/>
          <w:iCs w:val="1"/>
          <w:color w:val="auto"/>
        </w:rPr>
        <w:t>Merger Sub II</w:t>
      </w:r>
      <w:r>
        <w:rPr>
          <w:rFonts w:ascii="Arial" w:cs="Arial" w:eastAsia="Arial" w:hAnsi="Arial"/>
          <w:sz w:val="18"/>
          <w:szCs w:val="18"/>
          <w:color w:val="auto"/>
        </w:rPr>
        <w:t>” and together with Merger Sub I, “</w:t>
      </w:r>
      <w:r>
        <w:rPr>
          <w:rFonts w:ascii="Arial" w:cs="Arial" w:eastAsia="Arial" w:hAnsi="Arial"/>
          <w:sz w:val="18"/>
          <w:szCs w:val="18"/>
          <w:i w:val="1"/>
          <w:iCs w:val="1"/>
          <w:color w:val="auto"/>
        </w:rPr>
        <w:t>Merger Subs</w:t>
      </w:r>
      <w:r>
        <w:rPr>
          <w:rFonts w:ascii="Arial" w:cs="Arial" w:eastAsia="Arial" w:hAnsi="Arial"/>
          <w:sz w:val="18"/>
          <w:szCs w:val="18"/>
          <w:color w:val="auto"/>
        </w:rPr>
        <w:t>”), a wholly-owned subsidiary of the Company, and GeneDx Holding 2, Inc., which will own 100% of GeneDx at the Effective Time (as defined in the accompanying proxy statement) (“</w:t>
      </w:r>
      <w:r>
        <w:rPr>
          <w:rFonts w:ascii="Arial" w:cs="Arial" w:eastAsia="Arial" w:hAnsi="Arial"/>
          <w:sz w:val="18"/>
          <w:szCs w:val="18"/>
          <w:i w:val="1"/>
          <w:iCs w:val="1"/>
          <w:color w:val="auto"/>
        </w:rPr>
        <w:t>HoldCo</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For purposes of complying with the Nasdaq Listing Rules, to approve the issuance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in connection with the PIPE Investment (as defined in the accompanying proxy statement) and as contemplated by the Subscription Agreements (as defined in the accompanying proxy statement);</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w:t>
      </w:r>
      <w:r>
        <w:rPr>
          <w:rFonts w:ascii="Arial" w:cs="Arial" w:eastAsia="Arial" w:hAnsi="Arial"/>
          <w:sz w:val="18"/>
          <w:szCs w:val="18"/>
          <w:color w:val="auto"/>
        </w:rPr>
        <w:t>- To adopt an Amendment (the “</w:t>
      </w:r>
      <w:r>
        <w:rPr>
          <w:rFonts w:ascii="Arial" w:cs="Arial" w:eastAsia="Arial" w:hAnsi="Arial"/>
          <w:sz w:val="18"/>
          <w:szCs w:val="18"/>
          <w:i w:val="1"/>
          <w:iCs w:val="1"/>
          <w:color w:val="auto"/>
        </w:rPr>
        <w:t>Amendment</w:t>
      </w:r>
      <w:r>
        <w:rPr>
          <w:rFonts w:ascii="Arial" w:cs="Arial" w:eastAsia="Arial" w:hAnsi="Arial"/>
          <w:sz w:val="18"/>
          <w:szCs w:val="18"/>
          <w:color w:val="auto"/>
        </w:rPr>
        <w:t>”) to the Third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the Company, in the form attached hereto as Annex B (the “</w:t>
      </w:r>
      <w:r>
        <w:rPr>
          <w:rFonts w:ascii="Arial" w:cs="Arial" w:eastAsia="Arial" w:hAnsi="Arial"/>
          <w:sz w:val="18"/>
          <w:szCs w:val="18"/>
          <w:i w:val="1"/>
          <w:iCs w:val="1"/>
          <w:color w:val="auto"/>
        </w:rPr>
        <w:t>Charter</w:t>
      </w:r>
      <w:r>
        <w:rPr>
          <w:rFonts w:ascii="Arial" w:cs="Arial" w:eastAsia="Arial" w:hAnsi="Arial"/>
          <w:sz w:val="18"/>
          <w:szCs w:val="18"/>
          <w:color w:val="auto"/>
        </w:rPr>
        <w:t>”), which increases the number of authorized shares of Class A common stock from 380,000,000 to 1,000,000,000;</w:t>
      </w:r>
    </w:p>
    <w:p>
      <w:pPr>
        <w:spacing w:after="0" w:line="121"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 and</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proposals are more fully described in the accompanying proxy statement, which also includes, as Annex A, a copy of the Merger Agreement, and as Annex B, a copy of the proposed Amendment to the Charter. </w:t>
      </w:r>
      <w:r>
        <w:rPr>
          <w:rFonts w:ascii="Arial" w:cs="Arial" w:eastAsia="Arial" w:hAnsi="Arial"/>
          <w:sz w:val="18"/>
          <w:szCs w:val="18"/>
          <w:b w:val="1"/>
          <w:bCs w:val="1"/>
          <w:color w:val="auto"/>
        </w:rPr>
        <w:t>We urge you to carefully read the proxy statement in its entirety,</w:t>
      </w:r>
      <w:r>
        <w:rPr>
          <w:rFonts w:ascii="Arial" w:cs="Arial" w:eastAsia="Arial" w:hAnsi="Arial"/>
          <w:sz w:val="18"/>
          <w:szCs w:val="18"/>
          <w:color w:val="auto"/>
        </w:rPr>
        <w:t xml:space="preserve"> </w:t>
      </w:r>
      <w:r>
        <w:rPr>
          <w:rFonts w:ascii="Arial" w:cs="Arial" w:eastAsia="Arial" w:hAnsi="Arial"/>
          <w:sz w:val="18"/>
          <w:szCs w:val="18"/>
          <w:b w:val="1"/>
          <w:bCs w:val="1"/>
          <w:color w:val="auto"/>
        </w:rPr>
        <w:t>including the Annexes and accompanying financial statements of the Company and GeneDx.</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record date for the Special Meeting is [ ]. Only stockholders of record at the close of business on the record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https://www.cstproxy.com/sema4/2022.</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220345</wp:posOffset>
            </wp:positionV>
            <wp:extent cx="3051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Jason Ryan</w:t>
      </w:r>
    </w:p>
    <w:p>
      <w:pPr>
        <w:spacing w:after="0" w:line="185"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Executive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Stamford, Connecticut</w:t>
      </w:r>
    </w:p>
    <w:p>
      <w:pPr>
        <w:spacing w:after="0" w:line="184"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2022</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175"/>
        </w:trPr>
        <w:tc>
          <w:tcPr>
            <w:tcW w:w="2220" w:type="dxa"/>
            <w:vAlign w:val="bottom"/>
            <w:gridSpan w:val="7"/>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SUMMARY TERM SHEET</w:t>
              </w:r>
            </w:hyperlink>
          </w:p>
        </w:tc>
        <w:tc>
          <w:tcPr>
            <w:tcW w:w="8280" w:type="dxa"/>
            <w:vAlign w:val="bottom"/>
            <w:gridSpan w:val="30"/>
          </w:tcPr>
          <w:p>
            <w:pPr>
              <w:spacing w:after="0"/>
              <w:rPr>
                <w:sz w:val="15"/>
                <w:szCs w:val="15"/>
                <w:color w:val="auto"/>
              </w:rPr>
            </w:pPr>
          </w:p>
        </w:tc>
        <w:tc>
          <w:tcPr>
            <w:tcW w:w="720" w:type="dxa"/>
            <w:vAlign w:val="bottom"/>
            <w:gridSpan w:val="5"/>
          </w:tcPr>
          <w:p>
            <w:pPr>
              <w:jc w:val="right"/>
              <w:ind w:right="20"/>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1</w:t>
              </w:r>
            </w:hyperlink>
          </w:p>
        </w:tc>
      </w:tr>
      <w:tr>
        <w:trPr>
          <w:trHeight w:val="27"/>
        </w:trPr>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0500" w:type="dxa"/>
            <w:vAlign w:val="bottom"/>
            <w:gridSpan w:val="3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FREQUENTLY USED TERMS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4</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QUESTIONS AND ANSWERS ABOUT THE PROPOSALS FOR STOCKHOLDERS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7</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4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22">
              <w:r>
                <w:rPr>
                  <w:rFonts w:ascii="Arial" w:cs="Arial" w:eastAsia="Arial" w:hAnsi="Arial"/>
                  <w:sz w:val="18"/>
                  <w:szCs w:val="18"/>
                  <w:color w:val="0000FF"/>
                  <w:w w:val="96"/>
                </w:rPr>
                <w:t>SUMMARY OF THE PROXY STATEMENT</w:t>
              </w:r>
            </w:hyperlink>
          </w:p>
        </w:tc>
        <w:tc>
          <w:tcPr>
            <w:tcW w:w="2980" w:type="dxa"/>
            <w:vAlign w:val="bottom"/>
            <w:gridSpan w:val="18"/>
          </w:tcPr>
          <w:p>
            <w:pPr>
              <w:spacing w:after="0"/>
              <w:rPr>
                <w:sz w:val="18"/>
                <w:szCs w:val="18"/>
                <w:color w:val="auto"/>
              </w:rPr>
            </w:pPr>
          </w:p>
        </w:tc>
        <w:tc>
          <w:tcPr>
            <w:tcW w:w="418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CAUTIONARY NOTE REGARDING FORWARD-LOOKING STATEMENTS</w:t>
              </w:r>
            </w:hyperlink>
          </w:p>
        </w:tc>
        <w:tc>
          <w:tcPr>
            <w:tcW w:w="7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10"/>
        </w:trPr>
        <w:tc>
          <w:tcPr>
            <w:tcW w:w="126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RISK FACTORS</w:t>
              </w:r>
            </w:hyperlink>
          </w:p>
        </w:tc>
        <w:tc>
          <w:tcPr>
            <w:tcW w:w="4520" w:type="dxa"/>
            <w:vAlign w:val="bottom"/>
            <w:tcBorders>
              <w:top w:val="single" w:sz="8" w:color="0000FF"/>
            </w:tcBorders>
            <w:gridSpan w:val="29"/>
          </w:tcPr>
          <w:p>
            <w:pPr>
              <w:spacing w:after="0"/>
              <w:rPr>
                <w:sz w:val="18"/>
                <w:szCs w:val="18"/>
                <w:color w:val="auto"/>
              </w:rPr>
            </w:pPr>
          </w:p>
        </w:tc>
        <w:tc>
          <w:tcPr>
            <w:tcW w:w="472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27</w:t>
              </w:r>
            </w:hyperlink>
          </w:p>
        </w:tc>
        <w:tc>
          <w:tcPr>
            <w:tcW w:w="20" w:type="dxa"/>
            <w:vAlign w:val="bottom"/>
          </w:tcPr>
          <w:p>
            <w:pPr>
              <w:spacing w:after="0"/>
              <w:rPr>
                <w:sz w:val="18"/>
                <w:szCs w:val="18"/>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UNAUDITED PRO FORMA COMBINED FINANCIAL INFORMATION</w:t>
              </w:r>
            </w:hyperlink>
          </w:p>
        </w:tc>
        <w:tc>
          <w:tcPr>
            <w:tcW w:w="700" w:type="dxa"/>
            <w:vAlign w:val="bottom"/>
            <w:gridSpan w:val="4"/>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r>
      <w:tr>
        <w:trPr>
          <w:trHeight w:val="209"/>
        </w:trPr>
        <w:tc>
          <w:tcPr>
            <w:tcW w:w="5440" w:type="dxa"/>
            <w:vAlign w:val="bottom"/>
            <w:tcBorders>
              <w:top w:val="single" w:sz="8" w:color="0000FF"/>
            </w:tcBorders>
            <w:gridSpan w:val="27"/>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COMPARATIVE SHARE INFORMATION</w:t>
              </w:r>
            </w:hyperlink>
          </w:p>
        </w:tc>
        <w:tc>
          <w:tcPr>
            <w:tcW w:w="5060" w:type="dxa"/>
            <w:vAlign w:val="bottom"/>
            <w:gridSpan w:val="10"/>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04">
              <w:r>
                <w:rPr>
                  <w:rFonts w:ascii="Arial" w:cs="Arial" w:eastAsia="Arial" w:hAnsi="Arial"/>
                  <w:sz w:val="18"/>
                  <w:szCs w:val="18"/>
                  <w:color w:val="0000FF"/>
                  <w:w w:val="79"/>
                </w:rPr>
                <w:t>99</w:t>
              </w:r>
            </w:hyperlink>
          </w:p>
        </w:tc>
        <w:tc>
          <w:tcPr>
            <w:tcW w:w="20" w:type="dxa"/>
            <w:vAlign w:val="bottom"/>
          </w:tcPr>
          <w:p>
            <w:pPr>
              <w:spacing w:after="0"/>
              <w:rPr>
                <w:sz w:val="18"/>
                <w:szCs w:val="18"/>
                <w:color w:val="auto"/>
              </w:rPr>
            </w:pPr>
          </w:p>
        </w:tc>
      </w:tr>
      <w:tr>
        <w:trPr>
          <w:trHeight w:val="20"/>
        </w:trPr>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60" w:type="dxa"/>
            <w:vAlign w:val="bottom"/>
            <w:gridSpan w:val="20"/>
          </w:tcPr>
          <w:p>
            <w:pPr>
              <w:spacing w:after="0"/>
              <w:rPr>
                <w:rFonts w:ascii="Arial" w:cs="Arial" w:eastAsia="Arial" w:hAnsi="Arial"/>
                <w:sz w:val="18"/>
                <w:szCs w:val="18"/>
                <w:color w:val="0000FF"/>
                <w:w w:val="95"/>
              </w:rPr>
            </w:pPr>
            <w:hyperlink w:anchor="page105">
              <w:r>
                <w:rPr>
                  <w:rFonts w:ascii="Arial" w:cs="Arial" w:eastAsia="Arial" w:hAnsi="Arial"/>
                  <w:sz w:val="18"/>
                  <w:szCs w:val="18"/>
                  <w:color w:val="0000FF"/>
                  <w:w w:val="95"/>
                </w:rPr>
                <w:t>SPECIAL MEETING OF COMPANY STOCKHOLDERS</w:t>
              </w:r>
            </w:hyperlink>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05">
              <w:r>
                <w:rPr>
                  <w:rFonts w:ascii="Arial" w:cs="Arial" w:eastAsia="Arial" w:hAnsi="Arial"/>
                  <w:sz w:val="18"/>
                  <w:szCs w:val="18"/>
                  <w:color w:val="0000FF"/>
                </w:rPr>
                <w:t>100</w:t>
              </w:r>
            </w:hyperlink>
          </w:p>
        </w:tc>
      </w:tr>
      <w:tr>
        <w:trPr>
          <w:trHeight w:val="20"/>
        </w:trPr>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60" w:type="dxa"/>
            <w:vAlign w:val="bottom"/>
            <w:gridSpan w:val="2"/>
          </w:tcPr>
          <w:p>
            <w:pPr>
              <w:spacing w:after="0"/>
              <w:rPr>
                <w:rFonts w:ascii="Arial" w:cs="Arial" w:eastAsia="Arial" w:hAnsi="Arial"/>
                <w:sz w:val="18"/>
                <w:szCs w:val="18"/>
                <w:color w:val="0000FF"/>
                <w:w w:val="97"/>
              </w:rPr>
            </w:pPr>
            <w:hyperlink w:anchor="page110">
              <w:r>
                <w:rPr>
                  <w:rFonts w:ascii="Arial" w:cs="Arial" w:eastAsia="Arial" w:hAnsi="Arial"/>
                  <w:sz w:val="18"/>
                  <w:szCs w:val="18"/>
                  <w:color w:val="0000FF"/>
                  <w:w w:val="97"/>
                </w:rPr>
                <w:t>THE ACQUISITION</w:t>
              </w:r>
            </w:hyperlink>
          </w:p>
        </w:tc>
        <w:tc>
          <w:tcPr>
            <w:tcW w:w="2700" w:type="dxa"/>
            <w:vAlign w:val="bottom"/>
            <w:gridSpan w:val="18"/>
          </w:tcPr>
          <w:p>
            <w:pPr>
              <w:spacing w:after="0"/>
              <w:rPr>
                <w:sz w:val="18"/>
                <w:szCs w:val="18"/>
                <w:color w:val="auto"/>
              </w:rPr>
            </w:pPr>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105</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900" w:type="dxa"/>
            <w:vAlign w:val="bottom"/>
            <w:gridSpan w:val="31"/>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PROPOSAL NO. 1 - THE STOCK CONSIDERATION ISSUANCE PROPOSAL</w:t>
              </w:r>
            </w:hyperlink>
          </w:p>
        </w:tc>
        <w:tc>
          <w:tcPr>
            <w:tcW w:w="4600" w:type="dxa"/>
            <w:vAlign w:val="bottom"/>
            <w:gridSpan w:val="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0">
              <w:r>
                <w:rPr>
                  <w:rFonts w:ascii="Arial" w:cs="Arial" w:eastAsia="Arial" w:hAnsi="Arial"/>
                  <w:sz w:val="18"/>
                  <w:szCs w:val="18"/>
                  <w:color w:val="0000FF"/>
                </w:rPr>
                <w:t>145</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900" w:type="dxa"/>
            <w:vAlign w:val="bottom"/>
            <w:gridSpan w:val="31"/>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PROPOSAL NO. 2 - THE PIPE INVESTMENT PROPOSAL</w:t>
              </w:r>
            </w:hyperlink>
          </w:p>
        </w:tc>
        <w:tc>
          <w:tcPr>
            <w:tcW w:w="4600" w:type="dxa"/>
            <w:vAlign w:val="bottom"/>
            <w:gridSpan w:val="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1">
              <w:r>
                <w:rPr>
                  <w:rFonts w:ascii="Arial" w:cs="Arial" w:eastAsia="Arial" w:hAnsi="Arial"/>
                  <w:sz w:val="18"/>
                  <w:szCs w:val="18"/>
                  <w:color w:val="0000FF"/>
                </w:rPr>
                <w:t>146</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20" w:type="dxa"/>
            <w:vAlign w:val="bottom"/>
            <w:gridSpan w:val="33"/>
          </w:tcPr>
          <w:p>
            <w:pPr>
              <w:spacing w:after="0"/>
              <w:rPr>
                <w:rFonts w:ascii="Arial" w:cs="Arial" w:eastAsia="Arial" w:hAnsi="Arial"/>
                <w:sz w:val="18"/>
                <w:szCs w:val="18"/>
                <w:color w:val="0000FF"/>
                <w:w w:val="94"/>
              </w:rPr>
            </w:pPr>
            <w:hyperlink w:anchor="page152">
              <w:r>
                <w:rPr>
                  <w:rFonts w:ascii="Arial" w:cs="Arial" w:eastAsia="Arial" w:hAnsi="Arial"/>
                  <w:sz w:val="18"/>
                  <w:szCs w:val="18"/>
                  <w:color w:val="0000FF"/>
                  <w:w w:val="94"/>
                </w:rPr>
                <w:t>PROPOSAL NO. 3 - THE SPECIAL DESIGNEE DIRECTOR ELECTION PROPOSAL</w:t>
              </w:r>
            </w:hyperlink>
          </w:p>
        </w:tc>
        <w:tc>
          <w:tcPr>
            <w:tcW w:w="4080" w:type="dxa"/>
            <w:vAlign w:val="bottom"/>
            <w:gridSpan w:val="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2">
              <w:r>
                <w:rPr>
                  <w:rFonts w:ascii="Arial" w:cs="Arial" w:eastAsia="Arial" w:hAnsi="Arial"/>
                  <w:sz w:val="18"/>
                  <w:szCs w:val="18"/>
                  <w:color w:val="0000FF"/>
                </w:rPr>
                <w:t>147</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20" w:type="dxa"/>
            <w:vAlign w:val="bottom"/>
            <w:gridSpan w:val="33"/>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PROPOSAL NO. 4 - THE CHARTER AMENDMENT PROPOSAL</w:t>
              </w:r>
            </w:hyperlink>
          </w:p>
        </w:tc>
        <w:tc>
          <w:tcPr>
            <w:tcW w:w="4080" w:type="dxa"/>
            <w:vAlign w:val="bottom"/>
            <w:gridSpan w:val="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3">
              <w:r>
                <w:rPr>
                  <w:rFonts w:ascii="Arial" w:cs="Arial" w:eastAsia="Arial" w:hAnsi="Arial"/>
                  <w:sz w:val="18"/>
                  <w:szCs w:val="18"/>
                  <w:color w:val="0000FF"/>
                </w:rPr>
                <w:t>148</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PROPOSAL NO. 5 - THE CLASS I SPECIAL DESIGNEE DIRECTOR ELECTION PROPOSAL</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156">
              <w:r>
                <w:rPr>
                  <w:rFonts w:ascii="Arial" w:cs="Arial" w:eastAsia="Arial" w:hAnsi="Arial"/>
                  <w:sz w:val="18"/>
                  <w:szCs w:val="18"/>
                  <w:color w:val="0000FF"/>
                </w:rPr>
                <w:t>151</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980" w:type="dxa"/>
            <w:vAlign w:val="bottom"/>
            <w:gridSpan w:val="25"/>
          </w:tcPr>
          <w:p>
            <w:pPr>
              <w:spacing w:after="0"/>
              <w:rPr>
                <w:rFonts w:ascii="Arial" w:cs="Arial" w:eastAsia="Arial" w:hAnsi="Arial"/>
                <w:sz w:val="18"/>
                <w:szCs w:val="18"/>
                <w:color w:val="0000FF"/>
                <w:w w:val="94"/>
              </w:rPr>
            </w:pPr>
            <w:hyperlink w:anchor="page159">
              <w:r>
                <w:rPr>
                  <w:rFonts w:ascii="Arial" w:cs="Arial" w:eastAsia="Arial" w:hAnsi="Arial"/>
                  <w:sz w:val="18"/>
                  <w:szCs w:val="18"/>
                  <w:color w:val="0000FF"/>
                  <w:w w:val="94"/>
                </w:rPr>
                <w:t>PROPOSAL NO. 6 - THE AUDITOR RATIFICATION PROPOSAL</w:t>
              </w:r>
            </w:hyperlink>
          </w:p>
        </w:tc>
        <w:tc>
          <w:tcPr>
            <w:tcW w:w="2140" w:type="dxa"/>
            <w:vAlign w:val="bottom"/>
            <w:gridSpan w:val="9"/>
          </w:tcPr>
          <w:p>
            <w:pPr>
              <w:spacing w:after="0"/>
              <w:rPr>
                <w:sz w:val="18"/>
                <w:szCs w:val="18"/>
                <w:color w:val="auto"/>
              </w:rPr>
            </w:pPr>
          </w:p>
        </w:tc>
        <w:tc>
          <w:tcPr>
            <w:tcW w:w="3380" w:type="dxa"/>
            <w:vAlign w:val="bottom"/>
            <w:gridSpan w:val="3"/>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9">
              <w:r>
                <w:rPr>
                  <w:rFonts w:ascii="Arial" w:cs="Arial" w:eastAsia="Arial" w:hAnsi="Arial"/>
                  <w:sz w:val="18"/>
                  <w:szCs w:val="18"/>
                  <w:color w:val="0000FF"/>
                </w:rPr>
                <w:t>154</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60" w:type="dxa"/>
            <w:vAlign w:val="bottom"/>
            <w:gridSpan w:val="20"/>
          </w:tcPr>
          <w:p>
            <w:pPr>
              <w:spacing w:after="0"/>
              <w:rPr>
                <w:rFonts w:ascii="Arial" w:cs="Arial" w:eastAsia="Arial" w:hAnsi="Arial"/>
                <w:sz w:val="18"/>
                <w:szCs w:val="18"/>
                <w:color w:val="0000FF"/>
                <w:w w:val="93"/>
              </w:rPr>
            </w:pPr>
            <w:hyperlink w:anchor="page161">
              <w:r>
                <w:rPr>
                  <w:rFonts w:ascii="Arial" w:cs="Arial" w:eastAsia="Arial" w:hAnsi="Arial"/>
                  <w:sz w:val="18"/>
                  <w:szCs w:val="18"/>
                  <w:color w:val="0000FF"/>
                  <w:w w:val="93"/>
                </w:rPr>
                <w:t>PROPOSAL NO. 7 - THE ADJOURNMENT PROPOSAL</w:t>
              </w:r>
            </w:hyperlink>
          </w:p>
        </w:tc>
        <w:tc>
          <w:tcPr>
            <w:tcW w:w="720" w:type="dxa"/>
            <w:vAlign w:val="bottom"/>
            <w:gridSpan w:val="5"/>
          </w:tcPr>
          <w:p>
            <w:pPr>
              <w:spacing w:after="0"/>
              <w:rPr>
                <w:sz w:val="18"/>
                <w:szCs w:val="18"/>
                <w:color w:val="auto"/>
              </w:rPr>
            </w:pPr>
          </w:p>
        </w:tc>
        <w:tc>
          <w:tcPr>
            <w:tcW w:w="5520" w:type="dxa"/>
            <w:vAlign w:val="bottom"/>
            <w:gridSpan w:val="1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61">
              <w:r>
                <w:rPr>
                  <w:rFonts w:ascii="Arial" w:cs="Arial" w:eastAsia="Arial" w:hAnsi="Arial"/>
                  <w:sz w:val="18"/>
                  <w:szCs w:val="18"/>
                  <w:color w:val="0000FF"/>
                </w:rPr>
                <w:t>156</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60" w:type="dxa"/>
            <w:vAlign w:val="bottom"/>
            <w:gridSpan w:val="3"/>
          </w:tcPr>
          <w:p>
            <w:pPr>
              <w:spacing w:after="0"/>
              <w:rPr>
                <w:rFonts w:ascii="Arial" w:cs="Arial" w:eastAsia="Arial" w:hAnsi="Arial"/>
                <w:sz w:val="18"/>
                <w:szCs w:val="18"/>
                <w:color w:val="0000FF"/>
                <w:w w:val="94"/>
              </w:rPr>
            </w:pPr>
            <w:hyperlink w:anchor="page162">
              <w:r>
                <w:rPr>
                  <w:rFonts w:ascii="Arial" w:cs="Arial" w:eastAsia="Arial" w:hAnsi="Arial"/>
                  <w:sz w:val="18"/>
                  <w:szCs w:val="18"/>
                  <w:color w:val="0000FF"/>
                  <w:w w:val="94"/>
                </w:rPr>
                <w:t>SEMA4’S BUSINESS</w:t>
              </w:r>
            </w:hyperlink>
          </w:p>
        </w:tc>
        <w:tc>
          <w:tcPr>
            <w:tcW w:w="2600" w:type="dxa"/>
            <w:vAlign w:val="bottom"/>
            <w:gridSpan w:val="17"/>
          </w:tcPr>
          <w:p>
            <w:pPr>
              <w:spacing w:after="0"/>
              <w:rPr>
                <w:sz w:val="18"/>
                <w:szCs w:val="18"/>
                <w:color w:val="auto"/>
              </w:rPr>
            </w:pPr>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62">
              <w:r>
                <w:rPr>
                  <w:rFonts w:ascii="Arial" w:cs="Arial" w:eastAsia="Arial" w:hAnsi="Arial"/>
                  <w:sz w:val="18"/>
                  <w:szCs w:val="18"/>
                  <w:color w:val="0000FF"/>
                </w:rPr>
                <w:t>157</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gridSpan w:val="35"/>
          </w:tcPr>
          <w:p>
            <w:pPr>
              <w:spacing w:after="0"/>
              <w:rPr>
                <w:rFonts w:ascii="Arial" w:cs="Arial" w:eastAsia="Arial" w:hAnsi="Arial"/>
                <w:sz w:val="18"/>
                <w:szCs w:val="18"/>
                <w:color w:val="0000FF"/>
                <w:w w:val="97"/>
              </w:rPr>
            </w:pPr>
            <w:hyperlink w:anchor="page188">
              <w:r>
                <w:rPr>
                  <w:rFonts w:ascii="Arial" w:cs="Arial" w:eastAsia="Arial" w:hAnsi="Arial"/>
                  <w:sz w:val="18"/>
                  <w:szCs w:val="18"/>
                  <w:color w:val="0000FF"/>
                  <w:w w:val="97"/>
                </w:rPr>
                <w:t>SEMA4’S MANAGEMENT’S DISCUSSION AND ANALYSIS OF FINANCIAL CONDITION AND RESULTS OF OPERATIONS</w:t>
              </w:r>
            </w:hyperlink>
          </w:p>
        </w:tc>
        <w:tc>
          <w:tcPr>
            <w:tcW w:w="780" w:type="dxa"/>
            <w:vAlign w:val="bottom"/>
            <w:gridSpan w:val="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88">
              <w:r>
                <w:rPr>
                  <w:rFonts w:ascii="Arial" w:cs="Arial" w:eastAsia="Arial" w:hAnsi="Arial"/>
                  <w:sz w:val="18"/>
                  <w:szCs w:val="18"/>
                  <w:color w:val="0000FF"/>
                </w:rPr>
                <w:t>183</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gridSpan w:val="35"/>
          </w:tcPr>
          <w:p>
            <w:pPr>
              <w:spacing w:after="0"/>
              <w:rPr>
                <w:rFonts w:ascii="Arial" w:cs="Arial" w:eastAsia="Arial" w:hAnsi="Arial"/>
                <w:sz w:val="18"/>
                <w:szCs w:val="18"/>
                <w:color w:val="0000FF"/>
              </w:rPr>
            </w:pPr>
            <w:hyperlink w:anchor="page212">
              <w:r>
                <w:rPr>
                  <w:rFonts w:ascii="Arial" w:cs="Arial" w:eastAsia="Arial" w:hAnsi="Arial"/>
                  <w:sz w:val="18"/>
                  <w:szCs w:val="18"/>
                  <w:color w:val="0000FF"/>
                </w:rPr>
                <w:t>GENEDX’S BUSINESS</w:t>
              </w:r>
            </w:hyperlink>
          </w:p>
        </w:tc>
        <w:tc>
          <w:tcPr>
            <w:tcW w:w="780" w:type="dxa"/>
            <w:vAlign w:val="bottom"/>
            <w:gridSpan w:val="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12">
              <w:r>
                <w:rPr>
                  <w:rFonts w:ascii="Arial" w:cs="Arial" w:eastAsia="Arial" w:hAnsi="Arial"/>
                  <w:sz w:val="18"/>
                  <w:szCs w:val="18"/>
                  <w:color w:val="0000FF"/>
                </w:rPr>
                <w:t>207</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GENEDX’S MANAGEMENT’S DISCUSSION AND ANALYSIS OF FINANCIAL CONDITION AND RESULTS OF OPERATIONS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16">
              <w:r>
                <w:rPr>
                  <w:rFonts w:ascii="Arial" w:cs="Arial" w:eastAsia="Arial" w:hAnsi="Arial"/>
                  <w:sz w:val="18"/>
                  <w:szCs w:val="18"/>
                  <w:color w:val="0000FF"/>
                </w:rPr>
                <w:t>211</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60" w:type="dxa"/>
            <w:vAlign w:val="bottom"/>
            <w:gridSpan w:val="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60" w:type="dxa"/>
            <w:vAlign w:val="bottom"/>
            <w:gridSpan w:val="15"/>
          </w:tcPr>
          <w:p>
            <w:pPr>
              <w:spacing w:after="0"/>
              <w:rPr>
                <w:rFonts w:ascii="Arial" w:cs="Arial" w:eastAsia="Arial" w:hAnsi="Arial"/>
                <w:sz w:val="18"/>
                <w:szCs w:val="18"/>
                <w:color w:val="0000FF"/>
                <w:w w:val="95"/>
              </w:rPr>
            </w:pPr>
            <w:hyperlink w:anchor="page220">
              <w:r>
                <w:rPr>
                  <w:rFonts w:ascii="Arial" w:cs="Arial" w:eastAsia="Arial" w:hAnsi="Arial"/>
                  <w:sz w:val="18"/>
                  <w:szCs w:val="18"/>
                  <w:color w:val="0000FF"/>
                  <w:w w:val="95"/>
                </w:rPr>
                <w:t>EXECUTIVE COMPENSATION OF SEMA4</w:t>
              </w:r>
            </w:hyperlink>
          </w:p>
        </w:tc>
        <w:tc>
          <w:tcPr>
            <w:tcW w:w="6500" w:type="dxa"/>
            <w:vAlign w:val="bottom"/>
            <w:gridSpan w:val="21"/>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20">
              <w:r>
                <w:rPr>
                  <w:rFonts w:ascii="Arial" w:cs="Arial" w:eastAsia="Arial" w:hAnsi="Arial"/>
                  <w:sz w:val="18"/>
                  <w:szCs w:val="18"/>
                  <w:color w:val="0000FF"/>
                </w:rPr>
                <w:t>215</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32">
              <w:r>
                <w:rPr>
                  <w:rFonts w:ascii="Arial" w:cs="Arial" w:eastAsia="Arial" w:hAnsi="Arial"/>
                  <w:sz w:val="18"/>
                  <w:szCs w:val="18"/>
                  <w:color w:val="0000FF"/>
                </w:rPr>
                <w:t>EXECUTIVE COMPENSATION OF GENEDX</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32">
              <w:r>
                <w:rPr>
                  <w:rFonts w:ascii="Arial" w:cs="Arial" w:eastAsia="Arial" w:hAnsi="Arial"/>
                  <w:sz w:val="18"/>
                  <w:szCs w:val="18"/>
                  <w:color w:val="0000FF"/>
                </w:rPr>
                <w:t>226</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GOLDEN PARACHUTE COMPENSATION OF GENEDX</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38">
              <w:r>
                <w:rPr>
                  <w:rFonts w:ascii="Arial" w:cs="Arial" w:eastAsia="Arial" w:hAnsi="Arial"/>
                  <w:sz w:val="18"/>
                  <w:szCs w:val="18"/>
                  <w:color w:val="0000FF"/>
                </w:rPr>
                <w:t>232</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20" w:type="dxa"/>
            <w:vAlign w:val="bottom"/>
            <w:gridSpan w:val="7"/>
          </w:tcPr>
          <w:p>
            <w:pPr>
              <w:spacing w:after="0"/>
              <w:rPr>
                <w:rFonts w:ascii="Arial" w:cs="Arial" w:eastAsia="Arial" w:hAnsi="Arial"/>
                <w:sz w:val="18"/>
                <w:szCs w:val="18"/>
                <w:color w:val="0000FF"/>
                <w:w w:val="97"/>
              </w:rPr>
            </w:pPr>
            <w:r>
              <w:rPr>
                <w:rFonts w:ascii="Arial" w:cs="Arial" w:eastAsia="Arial" w:hAnsi="Arial"/>
                <w:sz w:val="18"/>
                <w:szCs w:val="18"/>
                <w:color w:val="0000FF"/>
                <w:w w:val="97"/>
              </w:rPr>
              <w:t xml:space="preserve">MANAGEMENT </w:t>
            </w:r>
            <w:hyperlink w:anchor="page240">
              <w:r>
                <w:rPr>
                  <w:rFonts w:ascii="Arial" w:cs="Arial" w:eastAsia="Arial" w:hAnsi="Arial"/>
                  <w:sz w:val="18"/>
                  <w:szCs w:val="18"/>
                  <w:color w:val="0000FF"/>
                  <w:w w:val="97"/>
                </w:rPr>
                <w:t>OF SEMA4</w:t>
              </w:r>
            </w:hyperlink>
          </w:p>
        </w:tc>
        <w:tc>
          <w:tcPr>
            <w:tcW w:w="2120" w:type="dxa"/>
            <w:vAlign w:val="bottom"/>
            <w:gridSpan w:val="14"/>
          </w:tcPr>
          <w:p>
            <w:pPr>
              <w:spacing w:after="0"/>
              <w:rPr>
                <w:sz w:val="18"/>
                <w:szCs w:val="18"/>
                <w:color w:val="auto"/>
              </w:rPr>
            </w:pPr>
          </w:p>
        </w:tc>
        <w:tc>
          <w:tcPr>
            <w:tcW w:w="6160" w:type="dxa"/>
            <w:vAlign w:val="bottom"/>
            <w:gridSpan w:val="1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0">
              <w:r>
                <w:rPr>
                  <w:rFonts w:ascii="Arial" w:cs="Arial" w:eastAsia="Arial" w:hAnsi="Arial"/>
                  <w:sz w:val="18"/>
                  <w:szCs w:val="18"/>
                  <w:color w:val="0000FF"/>
                </w:rPr>
                <w:t>234</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80" w:type="dxa"/>
            <w:vAlign w:val="bottom"/>
            <w:gridSpan w:val="16"/>
          </w:tcPr>
          <w:p>
            <w:pPr>
              <w:spacing w:after="0"/>
              <w:rPr>
                <w:rFonts w:ascii="Arial" w:cs="Arial" w:eastAsia="Arial" w:hAnsi="Arial"/>
                <w:sz w:val="18"/>
                <w:szCs w:val="18"/>
                <w:color w:val="0000FF"/>
                <w:w w:val="96"/>
              </w:rPr>
            </w:pPr>
            <w:hyperlink w:anchor="page245">
              <w:r>
                <w:rPr>
                  <w:rFonts w:ascii="Arial" w:cs="Arial" w:eastAsia="Arial" w:hAnsi="Arial"/>
                  <w:sz w:val="18"/>
                  <w:szCs w:val="18"/>
                  <w:color w:val="0000FF"/>
                  <w:w w:val="96"/>
                </w:rPr>
                <w:t>MANAGEMENT AFTER THE ACQUISITION</w:t>
              </w:r>
            </w:hyperlink>
          </w:p>
        </w:tc>
        <w:tc>
          <w:tcPr>
            <w:tcW w:w="7020" w:type="dxa"/>
            <w:vAlign w:val="bottom"/>
            <w:gridSpan w:val="21"/>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5">
              <w:r>
                <w:rPr>
                  <w:rFonts w:ascii="Arial" w:cs="Arial" w:eastAsia="Arial" w:hAnsi="Arial"/>
                  <w:sz w:val="18"/>
                  <w:szCs w:val="18"/>
                  <w:color w:val="0000FF"/>
                </w:rPr>
                <w:t>239</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60" w:type="dxa"/>
            <w:vAlign w:val="bottom"/>
            <w:gridSpan w:val="13"/>
          </w:tcPr>
          <w:p>
            <w:pPr>
              <w:spacing w:after="0"/>
              <w:rPr>
                <w:rFonts w:ascii="Arial" w:cs="Arial" w:eastAsia="Arial" w:hAnsi="Arial"/>
                <w:sz w:val="18"/>
                <w:szCs w:val="18"/>
                <w:color w:val="0000FF"/>
                <w:w w:val="94"/>
              </w:rPr>
            </w:pPr>
            <w:hyperlink w:anchor="page247">
              <w:r>
                <w:rPr>
                  <w:rFonts w:ascii="Arial" w:cs="Arial" w:eastAsia="Arial" w:hAnsi="Arial"/>
                  <w:sz w:val="18"/>
                  <w:szCs w:val="18"/>
                  <w:color w:val="0000FF"/>
                  <w:w w:val="94"/>
                </w:rPr>
                <w:t>CORPORATE GOVERNANCE OF SEMA4</w:t>
              </w:r>
            </w:hyperlink>
          </w:p>
        </w:tc>
        <w:tc>
          <w:tcPr>
            <w:tcW w:w="220" w:type="dxa"/>
            <w:vAlign w:val="bottom"/>
            <w:gridSpan w:val="3"/>
          </w:tcPr>
          <w:p>
            <w:pPr>
              <w:spacing w:after="0"/>
              <w:rPr>
                <w:sz w:val="18"/>
                <w:szCs w:val="18"/>
                <w:color w:val="auto"/>
              </w:rPr>
            </w:pPr>
          </w:p>
        </w:tc>
        <w:tc>
          <w:tcPr>
            <w:tcW w:w="7020" w:type="dxa"/>
            <w:vAlign w:val="bottom"/>
            <w:gridSpan w:val="21"/>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7">
              <w:r>
                <w:rPr>
                  <w:rFonts w:ascii="Arial" w:cs="Arial" w:eastAsia="Arial" w:hAnsi="Arial"/>
                  <w:sz w:val="18"/>
                  <w:szCs w:val="18"/>
                  <w:color w:val="0000FF"/>
                </w:rPr>
                <w:t>241</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EQUITY COMPENSATION PLAN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51">
              <w:r>
                <w:rPr>
                  <w:rFonts w:ascii="Arial" w:cs="Arial" w:eastAsia="Arial" w:hAnsi="Arial"/>
                  <w:sz w:val="18"/>
                  <w:szCs w:val="18"/>
                  <w:color w:val="0000FF"/>
                </w:rPr>
                <w:t>245</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80" w:type="dxa"/>
            <w:vAlign w:val="bottom"/>
            <w:gridSpan w:val="28"/>
          </w:tcPr>
          <w:p>
            <w:pPr>
              <w:spacing w:after="0"/>
              <w:rPr>
                <w:rFonts w:ascii="Arial" w:cs="Arial" w:eastAsia="Arial" w:hAnsi="Arial"/>
                <w:sz w:val="18"/>
                <w:szCs w:val="18"/>
                <w:color w:val="0000FF"/>
                <w:w w:val="95"/>
              </w:rPr>
            </w:pPr>
            <w:hyperlink w:anchor="page252">
              <w:r>
                <w:rPr>
                  <w:rFonts w:ascii="Arial" w:cs="Arial" w:eastAsia="Arial" w:hAnsi="Arial"/>
                  <w:sz w:val="18"/>
                  <w:szCs w:val="18"/>
                  <w:color w:val="0000FF"/>
                  <w:w w:val="95"/>
                </w:rPr>
                <w:t>CERTAIN RELATIONSHIPS AND RELATED PARTY TRANSACTIONS</w:t>
              </w:r>
            </w:hyperlink>
          </w:p>
        </w:tc>
        <w:tc>
          <w:tcPr>
            <w:tcW w:w="5020" w:type="dxa"/>
            <w:vAlign w:val="bottom"/>
            <w:gridSpan w:val="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52">
              <w:r>
                <w:rPr>
                  <w:rFonts w:ascii="Arial" w:cs="Arial" w:eastAsia="Arial" w:hAnsi="Arial"/>
                  <w:sz w:val="18"/>
                  <w:szCs w:val="18"/>
                  <w:color w:val="0000FF"/>
                </w:rPr>
                <w:t>246</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060" w:type="dxa"/>
            <w:vAlign w:val="bottom"/>
            <w:gridSpan w:val="11"/>
          </w:tcPr>
          <w:p>
            <w:pPr>
              <w:spacing w:after="0"/>
              <w:rPr>
                <w:rFonts w:ascii="Arial" w:cs="Arial" w:eastAsia="Arial" w:hAnsi="Arial"/>
                <w:sz w:val="18"/>
                <w:szCs w:val="18"/>
                <w:color w:val="0000FF"/>
                <w:w w:val="94"/>
              </w:rPr>
            </w:pPr>
            <w:hyperlink w:anchor="page259">
              <w:r>
                <w:rPr>
                  <w:rFonts w:ascii="Arial" w:cs="Arial" w:eastAsia="Arial" w:hAnsi="Arial"/>
                  <w:sz w:val="18"/>
                  <w:szCs w:val="18"/>
                  <w:color w:val="0000FF"/>
                  <w:w w:val="94"/>
                </w:rPr>
                <w:t>REPORT OF THE AUDIT COMMITTEE</w:t>
              </w:r>
            </w:hyperlink>
          </w:p>
        </w:tc>
        <w:tc>
          <w:tcPr>
            <w:tcW w:w="2420" w:type="dxa"/>
            <w:vAlign w:val="bottom"/>
            <w:gridSpan w:val="17"/>
          </w:tcPr>
          <w:p>
            <w:pPr>
              <w:spacing w:after="0"/>
              <w:rPr>
                <w:sz w:val="18"/>
                <w:szCs w:val="18"/>
                <w:color w:val="auto"/>
              </w:rPr>
            </w:pPr>
          </w:p>
        </w:tc>
        <w:tc>
          <w:tcPr>
            <w:tcW w:w="5020" w:type="dxa"/>
            <w:vAlign w:val="bottom"/>
            <w:gridSpan w:val="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59">
              <w:r>
                <w:rPr>
                  <w:rFonts w:ascii="Arial" w:cs="Arial" w:eastAsia="Arial" w:hAnsi="Arial"/>
                  <w:sz w:val="18"/>
                  <w:szCs w:val="18"/>
                  <w:color w:val="0000FF"/>
                </w:rPr>
                <w:t>253</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0">
              <w:r>
                <w:rPr>
                  <w:rFonts w:ascii="Arial" w:cs="Arial" w:eastAsia="Arial" w:hAnsi="Arial"/>
                  <w:sz w:val="18"/>
                  <w:szCs w:val="18"/>
                  <w:color w:val="0000FF"/>
                </w:rPr>
                <w:t>BENEFICIAL OWNERSHIP OF SECURITIES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0">
              <w:r>
                <w:rPr>
                  <w:rFonts w:ascii="Arial" w:cs="Arial" w:eastAsia="Arial" w:hAnsi="Arial"/>
                  <w:sz w:val="18"/>
                  <w:szCs w:val="18"/>
                  <w:color w:val="0000FF"/>
                </w:rPr>
                <w:t>254</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500" w:type="dxa"/>
            <w:vAlign w:val="bottom"/>
            <w:gridSpan w:val="29"/>
          </w:tcPr>
          <w:p>
            <w:pPr>
              <w:spacing w:after="0"/>
              <w:rPr>
                <w:rFonts w:ascii="Arial" w:cs="Arial" w:eastAsia="Arial" w:hAnsi="Arial"/>
                <w:sz w:val="18"/>
                <w:szCs w:val="18"/>
                <w:color w:val="0000FF"/>
                <w:w w:val="98"/>
              </w:rPr>
            </w:pPr>
            <w:hyperlink w:anchor="page264">
              <w:r>
                <w:rPr>
                  <w:rFonts w:ascii="Arial" w:cs="Arial" w:eastAsia="Arial" w:hAnsi="Arial"/>
                  <w:sz w:val="18"/>
                  <w:szCs w:val="18"/>
                  <w:color w:val="0000FF"/>
                  <w:w w:val="98"/>
                </w:rPr>
                <w:t>MARKET PRICE, TICKER SYMBOL AND DIVIDEND INFORMATION</w:t>
              </w:r>
            </w:hyperlink>
          </w:p>
        </w:tc>
        <w:tc>
          <w:tcPr>
            <w:tcW w:w="5000" w:type="dxa"/>
            <w:vAlign w:val="bottom"/>
            <w:gridSpan w:val="8"/>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4">
              <w:r>
                <w:rPr>
                  <w:rFonts w:ascii="Arial" w:cs="Arial" w:eastAsia="Arial" w:hAnsi="Arial"/>
                  <w:sz w:val="18"/>
                  <w:szCs w:val="18"/>
                  <w:color w:val="0000FF"/>
                </w:rPr>
                <w:t>257</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500" w:type="dxa"/>
            <w:vAlign w:val="bottom"/>
            <w:gridSpan w:val="29"/>
          </w:tcPr>
          <w:p>
            <w:pPr>
              <w:spacing w:after="0"/>
              <w:rPr>
                <w:rFonts w:ascii="Arial" w:cs="Arial" w:eastAsia="Arial" w:hAnsi="Arial"/>
                <w:sz w:val="18"/>
                <w:szCs w:val="18"/>
                <w:color w:val="0000FF"/>
              </w:rPr>
            </w:pPr>
            <w:hyperlink w:anchor="page264">
              <w:r>
                <w:rPr>
                  <w:rFonts w:ascii="Arial" w:cs="Arial" w:eastAsia="Arial" w:hAnsi="Arial"/>
                  <w:sz w:val="18"/>
                  <w:szCs w:val="18"/>
                  <w:color w:val="0000FF"/>
                </w:rPr>
                <w:t>INDEPENDENT REGISTERED PUBLIC ACCOUNTING FIRM</w:t>
              </w:r>
            </w:hyperlink>
          </w:p>
        </w:tc>
        <w:tc>
          <w:tcPr>
            <w:tcW w:w="5000" w:type="dxa"/>
            <w:vAlign w:val="bottom"/>
            <w:gridSpan w:val="8"/>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4">
              <w:r>
                <w:rPr>
                  <w:rFonts w:ascii="Arial" w:cs="Arial" w:eastAsia="Arial" w:hAnsi="Arial"/>
                  <w:sz w:val="18"/>
                  <w:szCs w:val="18"/>
                  <w:color w:val="0000FF"/>
                </w:rPr>
                <w:t>258</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0" w:type="dxa"/>
            <w:vAlign w:val="bottom"/>
            <w:gridSpan w:val="23"/>
          </w:tcPr>
          <w:p>
            <w:pPr>
              <w:spacing w:after="0"/>
              <w:rPr>
                <w:rFonts w:ascii="Arial" w:cs="Arial" w:eastAsia="Arial" w:hAnsi="Arial"/>
                <w:sz w:val="18"/>
                <w:szCs w:val="18"/>
                <w:color w:val="0000FF"/>
              </w:rPr>
            </w:pPr>
            <w:hyperlink w:anchor="page265">
              <w:r>
                <w:rPr>
                  <w:rFonts w:ascii="Arial" w:cs="Arial" w:eastAsia="Arial" w:hAnsi="Arial"/>
                  <w:sz w:val="18"/>
                  <w:szCs w:val="18"/>
                  <w:color w:val="0000FF"/>
                </w:rPr>
                <w:t>APPRAISAL RIGHTS</w:t>
              </w:r>
            </w:hyperlink>
          </w:p>
        </w:tc>
        <w:tc>
          <w:tcPr>
            <w:tcW w:w="5700" w:type="dxa"/>
            <w:vAlign w:val="bottom"/>
            <w:gridSpan w:val="1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258</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5">
              <w:r>
                <w:rPr>
                  <w:rFonts w:ascii="Arial" w:cs="Arial" w:eastAsia="Arial" w:hAnsi="Arial"/>
                  <w:sz w:val="18"/>
                  <w:szCs w:val="18"/>
                  <w:color w:val="0000FF"/>
                </w:rPr>
                <w:t>ADDITIONAL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258</w:t>
              </w:r>
            </w:hyperlink>
          </w:p>
        </w:tc>
      </w:tr>
      <w:tr>
        <w:trPr>
          <w:trHeight w:val="20"/>
        </w:trPr>
        <w:tc>
          <w:tcPr>
            <w:tcW w:w="2400" w:type="dxa"/>
            <w:vAlign w:val="bottom"/>
            <w:gridSpan w:val="9"/>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5">
              <w:r>
                <w:rPr>
                  <w:rFonts w:ascii="Arial" w:cs="Arial" w:eastAsia="Arial" w:hAnsi="Arial"/>
                  <w:sz w:val="18"/>
                  <w:szCs w:val="18"/>
                  <w:color w:val="0000FF"/>
                </w:rPr>
                <w:t>HOUSEHOLDING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258</w:t>
              </w:r>
            </w:hyperlink>
          </w:p>
        </w:tc>
      </w:tr>
      <w:tr>
        <w:trPr>
          <w:trHeight w:val="20"/>
        </w:trPr>
        <w:tc>
          <w:tcPr>
            <w:tcW w:w="2700" w:type="dxa"/>
            <w:vAlign w:val="bottom"/>
            <w:gridSpan w:val="10"/>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060" w:type="dxa"/>
            <w:vAlign w:val="bottom"/>
            <w:gridSpan w:val="11"/>
          </w:tcPr>
          <w:p>
            <w:pPr>
              <w:spacing w:after="0"/>
              <w:rPr>
                <w:rFonts w:ascii="Arial" w:cs="Arial" w:eastAsia="Arial" w:hAnsi="Arial"/>
                <w:sz w:val="18"/>
                <w:szCs w:val="18"/>
                <w:color w:val="0000FF"/>
                <w:w w:val="95"/>
              </w:rPr>
            </w:pPr>
            <w:hyperlink w:anchor="page265">
              <w:r>
                <w:rPr>
                  <w:rFonts w:ascii="Arial" w:cs="Arial" w:eastAsia="Arial" w:hAnsi="Arial"/>
                  <w:sz w:val="18"/>
                  <w:szCs w:val="18"/>
                  <w:color w:val="0000FF"/>
                  <w:w w:val="95"/>
                </w:rPr>
                <w:t>TRANSFER AGENT AND REGISTRAR</w:t>
              </w:r>
            </w:hyperlink>
          </w:p>
        </w:tc>
        <w:tc>
          <w:tcPr>
            <w:tcW w:w="7440" w:type="dxa"/>
            <w:vAlign w:val="bottom"/>
            <w:gridSpan w:val="2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258</w:t>
              </w:r>
            </w:hyperlink>
          </w:p>
        </w:tc>
      </w:tr>
      <w:tr>
        <w:trPr>
          <w:trHeight w:val="20"/>
        </w:trPr>
        <w:tc>
          <w:tcPr>
            <w:tcW w:w="306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800" w:type="dxa"/>
            <w:vAlign w:val="bottom"/>
            <w:gridSpan w:val="17"/>
          </w:tcPr>
          <w:p>
            <w:pPr>
              <w:spacing w:after="0"/>
              <w:rPr>
                <w:rFonts w:ascii="Arial" w:cs="Arial" w:eastAsia="Arial" w:hAnsi="Arial"/>
                <w:sz w:val="18"/>
                <w:szCs w:val="18"/>
                <w:color w:val="0000FF"/>
                <w:w w:val="94"/>
              </w:rPr>
            </w:pPr>
            <w:hyperlink w:anchor="page265">
              <w:r>
                <w:rPr>
                  <w:rFonts w:ascii="Arial" w:cs="Arial" w:eastAsia="Arial" w:hAnsi="Arial"/>
                  <w:sz w:val="18"/>
                  <w:szCs w:val="18"/>
                  <w:color w:val="0000FF"/>
                  <w:w w:val="94"/>
                </w:rPr>
                <w:t>SUBMISSION OF STOCKHOLDER PROPOSALS</w:t>
              </w:r>
            </w:hyperlink>
          </w:p>
        </w:tc>
        <w:tc>
          <w:tcPr>
            <w:tcW w:w="6700" w:type="dxa"/>
            <w:vAlign w:val="bottom"/>
            <w:gridSpan w:val="20"/>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258</w:t>
              </w:r>
            </w:hyperlink>
          </w:p>
        </w:tc>
      </w:tr>
      <w:tr>
        <w:trPr>
          <w:trHeight w:val="20"/>
        </w:trPr>
        <w:tc>
          <w:tcPr>
            <w:tcW w:w="3140" w:type="dxa"/>
            <w:vAlign w:val="bottom"/>
            <w:gridSpan w:val="12"/>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40" w:type="dxa"/>
            <w:vAlign w:val="bottom"/>
            <w:gridSpan w:val="12"/>
          </w:tcPr>
          <w:p>
            <w:pPr>
              <w:spacing w:after="0"/>
              <w:rPr>
                <w:rFonts w:ascii="Arial" w:cs="Arial" w:eastAsia="Arial" w:hAnsi="Arial"/>
                <w:sz w:val="18"/>
                <w:szCs w:val="18"/>
                <w:color w:val="0000FF"/>
                <w:w w:val="93"/>
              </w:rPr>
            </w:pPr>
            <w:hyperlink w:anchor="page265">
              <w:r>
                <w:rPr>
                  <w:rFonts w:ascii="Arial" w:cs="Arial" w:eastAsia="Arial" w:hAnsi="Arial"/>
                  <w:sz w:val="18"/>
                  <w:szCs w:val="18"/>
                  <w:color w:val="0000FF"/>
                  <w:w w:val="93"/>
                </w:rPr>
                <w:t>FUTURE STOCKHOLDER PROPOSALS</w:t>
              </w:r>
            </w:hyperlink>
          </w:p>
        </w:tc>
        <w:tc>
          <w:tcPr>
            <w:tcW w:w="660" w:type="dxa"/>
            <w:vAlign w:val="bottom"/>
            <w:gridSpan w:val="5"/>
          </w:tcPr>
          <w:p>
            <w:pPr>
              <w:spacing w:after="0"/>
              <w:rPr>
                <w:sz w:val="18"/>
                <w:szCs w:val="18"/>
                <w:color w:val="auto"/>
              </w:rPr>
            </w:pPr>
          </w:p>
        </w:tc>
        <w:tc>
          <w:tcPr>
            <w:tcW w:w="6700" w:type="dxa"/>
            <w:vAlign w:val="bottom"/>
            <w:gridSpan w:val="20"/>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5">
              <w:r>
                <w:rPr>
                  <w:rFonts w:ascii="Arial" w:cs="Arial" w:eastAsia="Arial" w:hAnsi="Arial"/>
                  <w:sz w:val="18"/>
                  <w:szCs w:val="18"/>
                  <w:color w:val="0000FF"/>
                </w:rPr>
                <w:t>259</w:t>
              </w:r>
            </w:hyperlink>
          </w:p>
        </w:tc>
      </w:tr>
      <w:tr>
        <w:trPr>
          <w:trHeight w:val="20"/>
        </w:trPr>
        <w:tc>
          <w:tcPr>
            <w:tcW w:w="3140" w:type="dxa"/>
            <w:vAlign w:val="bottom"/>
            <w:gridSpan w:val="12"/>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w w:val="97"/>
              </w:rPr>
            </w:pPr>
            <w:hyperlink w:anchor="page266">
              <w:r>
                <w:rPr>
                  <w:rFonts w:ascii="Arial" w:cs="Arial" w:eastAsia="Arial" w:hAnsi="Arial"/>
                  <w:sz w:val="18"/>
                  <w:szCs w:val="18"/>
                  <w:color w:val="0000FF"/>
                  <w:w w:val="97"/>
                </w:rPr>
                <w:t>WHERE YOU CAN FIND MORE INFORMATION</w:t>
              </w:r>
            </w:hyperlink>
          </w:p>
        </w:tc>
        <w:tc>
          <w:tcPr>
            <w:tcW w:w="6680" w:type="dxa"/>
            <w:vAlign w:val="bottom"/>
            <w:gridSpan w:val="1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6">
              <w:r>
                <w:rPr>
                  <w:rFonts w:ascii="Arial" w:cs="Arial" w:eastAsia="Arial" w:hAnsi="Arial"/>
                  <w:sz w:val="18"/>
                  <w:szCs w:val="18"/>
                  <w:color w:val="0000FF"/>
                </w:rPr>
                <w:t>259</w:t>
              </w:r>
            </w:hyperlink>
          </w:p>
        </w:tc>
      </w:tr>
      <w:tr>
        <w:trPr>
          <w:trHeight w:val="20"/>
        </w:trPr>
        <w:tc>
          <w:tcPr>
            <w:tcW w:w="3820" w:type="dxa"/>
            <w:vAlign w:val="bottom"/>
            <w:gridSpan w:val="18"/>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SEMA4 HOLDING CORP. INDEX TO FINANCIAL STATEMENTS</w:t>
              </w:r>
            </w:hyperlink>
          </w:p>
        </w:tc>
        <w:tc>
          <w:tcPr>
            <w:tcW w:w="280" w:type="dxa"/>
            <w:vAlign w:val="bottom"/>
          </w:tcPr>
          <w:p>
            <w:pPr>
              <w:spacing w:after="0"/>
              <w:rPr>
                <w:sz w:val="18"/>
                <w:szCs w:val="18"/>
                <w:color w:val="auto"/>
              </w:rPr>
            </w:pPr>
          </w:p>
        </w:tc>
        <w:tc>
          <w:tcPr>
            <w:tcW w:w="440" w:type="dxa"/>
            <w:vAlign w:val="bottom"/>
            <w:gridSpan w:val="4"/>
          </w:tcPr>
          <w:p>
            <w:pPr>
              <w:jc w:val="right"/>
              <w:ind w:right="20"/>
              <w:spacing w:after="0"/>
              <w:rPr>
                <w:rFonts w:ascii="Arial" w:cs="Arial" w:eastAsia="Arial" w:hAnsi="Arial"/>
                <w:sz w:val="18"/>
                <w:szCs w:val="18"/>
                <w:color w:val="0000FF"/>
                <w:w w:val="84"/>
              </w:rPr>
            </w:pPr>
            <w:hyperlink w:anchor="page267">
              <w:r>
                <w:rPr>
                  <w:rFonts w:ascii="Arial" w:cs="Arial" w:eastAsia="Arial" w:hAnsi="Arial"/>
                  <w:sz w:val="18"/>
                  <w:szCs w:val="18"/>
                  <w:color w:val="0000FF"/>
                  <w:w w:val="84"/>
                </w:rPr>
                <w:t>F-261</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5" w:name="page6"/>
    <w:bookmarkEnd w:id="5"/>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80" w:type="dxa"/>
            <w:vAlign w:val="bottom"/>
            <w:gridSpan w:val="5"/>
          </w:tcPr>
          <w:p>
            <w:pPr>
              <w:spacing w:after="0"/>
              <w:rPr>
                <w:rFonts w:ascii="Arial" w:cs="Arial" w:eastAsia="Arial" w:hAnsi="Arial"/>
                <w:sz w:val="18"/>
                <w:szCs w:val="18"/>
                <w:color w:val="0000FF"/>
              </w:rPr>
            </w:pPr>
            <w:hyperlink w:anchor="page307">
              <w:r>
                <w:rPr>
                  <w:rFonts w:ascii="Arial" w:cs="Arial" w:eastAsia="Arial" w:hAnsi="Arial"/>
                  <w:sz w:val="18"/>
                  <w:szCs w:val="18"/>
                  <w:color w:val="0000FF"/>
                </w:rPr>
                <w:t>GENEDX. INC. FINANCIAL STATEMENTS</w:t>
              </w:r>
            </w:hyperlink>
          </w:p>
        </w:tc>
        <w:tc>
          <w:tcPr>
            <w:tcW w:w="420" w:type="dxa"/>
            <w:vAlign w:val="bottom"/>
            <w:gridSpan w:val="2"/>
          </w:tcPr>
          <w:p>
            <w:pPr>
              <w:jc w:val="right"/>
              <w:spacing w:after="0"/>
              <w:rPr>
                <w:rFonts w:ascii="Arial" w:cs="Arial" w:eastAsia="Arial" w:hAnsi="Arial"/>
                <w:sz w:val="18"/>
                <w:szCs w:val="18"/>
                <w:color w:val="0000FF"/>
                <w:w w:val="84"/>
              </w:rPr>
            </w:pPr>
            <w:hyperlink w:anchor="page307">
              <w:r>
                <w:rPr>
                  <w:rFonts w:ascii="Arial" w:cs="Arial" w:eastAsia="Arial" w:hAnsi="Arial"/>
                  <w:sz w:val="18"/>
                  <w:szCs w:val="18"/>
                  <w:color w:val="0000FF"/>
                  <w:w w:val="84"/>
                </w:rPr>
                <w:t>F-301</w:t>
              </w:r>
            </w:hyperlink>
          </w:p>
        </w:tc>
      </w:tr>
      <w:tr>
        <w:trPr>
          <w:trHeight w:val="209"/>
        </w:trPr>
        <w:tc>
          <w:tcPr>
            <w:tcW w:w="82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29">
              <w:r>
                <w:rPr>
                  <w:rFonts w:ascii="Arial" w:cs="Arial" w:eastAsia="Arial" w:hAnsi="Arial"/>
                  <w:sz w:val="18"/>
                  <w:szCs w:val="18"/>
                  <w:color w:val="0000FF"/>
                </w:rPr>
                <w:t>ANNEX A</w:t>
              </w:r>
            </w:hyperlink>
          </w:p>
        </w:tc>
        <w:tc>
          <w:tcPr>
            <w:tcW w:w="2560" w:type="dxa"/>
            <w:vAlign w:val="bottom"/>
            <w:tcBorders>
              <w:top w:val="single" w:sz="8" w:color="0000FF"/>
            </w:tcBorders>
            <w:gridSpan w:val="2"/>
          </w:tcPr>
          <w:p>
            <w:pPr>
              <w:spacing w:after="0"/>
              <w:rPr>
                <w:sz w:val="18"/>
                <w:szCs w:val="18"/>
                <w:color w:val="auto"/>
              </w:rPr>
            </w:pPr>
          </w:p>
        </w:tc>
        <w:tc>
          <w:tcPr>
            <w:tcW w:w="740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bottom w:val="single" w:sz="8" w:color="0000FF"/>
            </w:tcBorders>
          </w:tcPr>
          <w:p>
            <w:pPr>
              <w:jc w:val="right"/>
              <w:spacing w:after="0"/>
              <w:rPr>
                <w:rFonts w:ascii="Arial" w:cs="Arial" w:eastAsia="Arial" w:hAnsi="Arial"/>
                <w:sz w:val="18"/>
                <w:szCs w:val="18"/>
                <w:color w:val="0000FF"/>
                <w:w w:val="85"/>
              </w:rPr>
            </w:pPr>
            <w:hyperlink w:anchor="page329">
              <w:r>
                <w:rPr>
                  <w:rFonts w:ascii="Arial" w:cs="Arial" w:eastAsia="Arial" w:hAnsi="Arial"/>
                  <w:sz w:val="18"/>
                  <w:szCs w:val="18"/>
                  <w:color w:val="0000FF"/>
                  <w:w w:val="85"/>
                </w:rPr>
                <w:t>A-1</w:t>
              </w:r>
            </w:hyperlink>
          </w:p>
        </w:tc>
      </w:tr>
      <w:tr>
        <w:trPr>
          <w:trHeight w:val="210"/>
        </w:trPr>
        <w:tc>
          <w:tcPr>
            <w:tcW w:w="10780" w:type="dxa"/>
            <w:vAlign w:val="bottom"/>
            <w:gridSpan w:val="5"/>
          </w:tcPr>
          <w:p>
            <w:pPr>
              <w:spacing w:after="0"/>
              <w:rPr>
                <w:rFonts w:ascii="Arial" w:cs="Arial" w:eastAsia="Arial" w:hAnsi="Arial"/>
                <w:sz w:val="18"/>
                <w:szCs w:val="18"/>
                <w:color w:val="0000FF"/>
              </w:rPr>
            </w:pPr>
            <w:hyperlink w:anchor="page470">
              <w:r>
                <w:rPr>
                  <w:rFonts w:ascii="Arial" w:cs="Arial" w:eastAsia="Arial" w:hAnsi="Arial"/>
                  <w:sz w:val="18"/>
                  <w:szCs w:val="18"/>
                  <w:color w:val="0000FF"/>
                </w:rPr>
                <w:t>ANNEX B</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5"/>
              </w:rPr>
            </w:pPr>
            <w:hyperlink w:anchor="page470">
              <w:r>
                <w:rPr>
                  <w:rFonts w:ascii="Arial" w:cs="Arial" w:eastAsia="Arial" w:hAnsi="Arial"/>
                  <w:sz w:val="18"/>
                  <w:szCs w:val="18"/>
                  <w:color w:val="0000FF"/>
                  <w:w w:val="85"/>
                </w:rPr>
                <w:t>B-1</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780" w:type="dxa"/>
            <w:vAlign w:val="bottom"/>
            <w:gridSpan w:val="5"/>
          </w:tcPr>
          <w:p>
            <w:pPr>
              <w:spacing w:after="0"/>
              <w:rPr>
                <w:rFonts w:ascii="Arial" w:cs="Arial" w:eastAsia="Arial" w:hAnsi="Arial"/>
                <w:sz w:val="18"/>
                <w:szCs w:val="18"/>
                <w:color w:val="0000FF"/>
              </w:rPr>
            </w:pPr>
            <w:hyperlink w:anchor="page462">
              <w:r>
                <w:rPr>
                  <w:rFonts w:ascii="Arial" w:cs="Arial" w:eastAsia="Arial" w:hAnsi="Arial"/>
                  <w:sz w:val="18"/>
                  <w:szCs w:val="18"/>
                  <w:color w:val="0000FF"/>
                </w:rPr>
                <w:t>ANNEX C</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2"/>
              </w:rPr>
            </w:pPr>
            <w:hyperlink w:anchor="page471">
              <w:r>
                <w:rPr>
                  <w:rFonts w:ascii="Arial" w:cs="Arial" w:eastAsia="Arial" w:hAnsi="Arial"/>
                  <w:sz w:val="18"/>
                  <w:szCs w:val="18"/>
                  <w:color w:val="0000FF"/>
                  <w:w w:val="82"/>
                </w:rPr>
                <w:t>C-1</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82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74">
              <w:r>
                <w:rPr>
                  <w:rFonts w:ascii="Arial" w:cs="Arial" w:eastAsia="Arial" w:hAnsi="Arial"/>
                  <w:sz w:val="18"/>
                  <w:szCs w:val="18"/>
                  <w:color w:val="0000FF"/>
                  <w:w w:val="99"/>
                </w:rPr>
                <w:t>ANNEX D</w:t>
              </w:r>
            </w:hyperlink>
          </w:p>
        </w:tc>
        <w:tc>
          <w:tcPr>
            <w:tcW w:w="9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2"/>
              </w:rPr>
            </w:pPr>
            <w:hyperlink w:anchor="page474">
              <w:r>
                <w:rPr>
                  <w:rFonts w:ascii="Arial" w:cs="Arial" w:eastAsia="Arial" w:hAnsi="Arial"/>
                  <w:sz w:val="18"/>
                  <w:szCs w:val="18"/>
                  <w:color w:val="0000FF"/>
                  <w:w w:val="82"/>
                </w:rPr>
                <w:t>D-1</w:t>
              </w:r>
            </w:hyperlink>
          </w:p>
        </w:tc>
      </w:tr>
      <w:tr>
        <w:trPr>
          <w:trHeight w:val="209"/>
        </w:trPr>
        <w:tc>
          <w:tcPr>
            <w:tcW w:w="10780" w:type="dxa"/>
            <w:vAlign w:val="bottom"/>
            <w:gridSpan w:val="5"/>
          </w:tcPr>
          <w:p>
            <w:pPr>
              <w:spacing w:after="0"/>
              <w:rPr>
                <w:rFonts w:ascii="Arial" w:cs="Arial" w:eastAsia="Arial" w:hAnsi="Arial"/>
                <w:sz w:val="18"/>
                <w:szCs w:val="18"/>
                <w:color w:val="0000FF"/>
              </w:rPr>
            </w:pPr>
            <w:hyperlink w:anchor="page500">
              <w:r>
                <w:rPr>
                  <w:rFonts w:ascii="Arial" w:cs="Arial" w:eastAsia="Arial" w:hAnsi="Arial"/>
                  <w:sz w:val="18"/>
                  <w:szCs w:val="18"/>
                  <w:color w:val="0000FF"/>
                </w:rPr>
                <w:t>PRELIMINARY PROXY CARD</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2"/>
              </w:rPr>
            </w:pPr>
            <w:hyperlink w:anchor="page500">
              <w:r>
                <w:rPr>
                  <w:rFonts w:ascii="Arial" w:cs="Arial" w:eastAsia="Arial" w:hAnsi="Arial"/>
                  <w:sz w:val="18"/>
                  <w:szCs w:val="18"/>
                  <w:color w:val="0000FF"/>
                  <w:w w:val="82"/>
                </w:rPr>
                <w:t>D-4</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40" w:top="1440" w:right="359" w:bottom="1440" w:gutter="0" w:footer="0" w:header="0"/>
        </w:sectPr>
      </w:pPr>
    </w:p>
    <w:bookmarkStart w:id="6" w:name="page7"/>
    <w:bookmarkEnd w:id="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SPECIAL MEETING OF STOCKHOLDERS TO BE HELD ON</w:t>
      </w:r>
    </w:p>
    <w:p>
      <w:pPr>
        <w:spacing w:after="0" w:line="27" w:lineRule="exact"/>
        <w:rPr>
          <w:sz w:val="20"/>
          <w:szCs w:val="20"/>
          <w:color w:val="auto"/>
        </w:rPr>
      </w:pPr>
    </w:p>
    <w:p>
      <w:pPr>
        <w:ind w:left="5620" w:hanging="506"/>
        <w:spacing w:after="0"/>
        <w:tabs>
          <w:tab w:leader="none" w:pos="5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2022</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Sema4 Holdings Corp., a Delaware corporation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Sema4</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is soliciting proxies for use at a special meeting of the stockholders to be held on [ ] at [ ] Eastern time (the “</w:t>
      </w:r>
      <w:r>
        <w:rPr>
          <w:rFonts w:ascii="Arial" w:cs="Arial" w:eastAsia="Arial" w:hAnsi="Arial"/>
          <w:sz w:val="18"/>
          <w:szCs w:val="18"/>
          <w:i w:val="1"/>
          <w:iCs w:val="1"/>
          <w:color w:val="auto"/>
        </w:rPr>
        <w:t>Special Meeting</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 For more information about the Company, please see the sections entitled “</w:t>
      </w:r>
      <w:r>
        <w:rPr>
          <w:rFonts w:ascii="Arial" w:cs="Arial" w:eastAsia="Arial" w:hAnsi="Arial"/>
          <w:sz w:val="18"/>
          <w:szCs w:val="18"/>
          <w:i w:val="1"/>
          <w:iCs w:val="1"/>
          <w:color w:val="auto"/>
        </w:rPr>
        <w:t>Sema4’s Business</w:t>
      </w:r>
      <w:r>
        <w:rPr>
          <w:rFonts w:ascii="Arial" w:cs="Arial" w:eastAsia="Arial" w:hAnsi="Arial"/>
          <w:sz w:val="18"/>
          <w:szCs w:val="18"/>
          <w:color w:val="auto"/>
        </w:rPr>
        <w:t>,”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of Sema4” and “Management after the Acquisition</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were 244,727,239 shares of Class A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of the Company, issued and outstanding as of February 22, 2022. There were no shares of Company preferred stock issued and outstanding as of February 22, 2022. In addition, the Company had 21,994,972 public and private warrants to purchase Class A common stock outstanding as of February 22, 2022.</w:t>
      </w:r>
    </w:p>
    <w:p>
      <w:pPr>
        <w:spacing w:after="0" w:line="94"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GeneDx, Inc. (“</w:t>
      </w:r>
      <w:r>
        <w:rPr>
          <w:rFonts w:ascii="Arial" w:cs="Arial" w:eastAsia="Arial" w:hAnsi="Arial"/>
          <w:sz w:val="17"/>
          <w:szCs w:val="17"/>
          <w:i w:val="1"/>
          <w:iCs w:val="1"/>
          <w:color w:val="auto"/>
        </w:rPr>
        <w:t>GeneDx</w:t>
      </w:r>
      <w:r>
        <w:rPr>
          <w:rFonts w:ascii="Arial" w:cs="Arial" w:eastAsia="Arial" w:hAnsi="Arial"/>
          <w:sz w:val="17"/>
          <w:szCs w:val="17"/>
          <w:color w:val="auto"/>
        </w:rPr>
        <w:t>”), a wholly-owned subsidiary of OPKO Health, Inc. (“</w:t>
      </w:r>
      <w:r>
        <w:rPr>
          <w:rFonts w:ascii="Arial" w:cs="Arial" w:eastAsia="Arial" w:hAnsi="Arial"/>
          <w:sz w:val="17"/>
          <w:szCs w:val="17"/>
          <w:i w:val="1"/>
          <w:iCs w:val="1"/>
          <w:color w:val="auto"/>
        </w:rPr>
        <w:t>OPKO</w:t>
      </w:r>
      <w:r>
        <w:rPr>
          <w:rFonts w:ascii="Arial" w:cs="Arial" w:eastAsia="Arial" w:hAnsi="Arial"/>
          <w:sz w:val="17"/>
          <w:szCs w:val="17"/>
          <w:color w:val="auto"/>
        </w:rPr>
        <w:t>”),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 For more information about GeneDx, please see the sections entitled “</w:t>
      </w:r>
      <w:r>
        <w:rPr>
          <w:rFonts w:ascii="Arial" w:cs="Arial" w:eastAsia="Arial" w:hAnsi="Arial"/>
          <w:sz w:val="17"/>
          <w:szCs w:val="17"/>
          <w:i w:val="1"/>
          <w:iCs w:val="1"/>
          <w:color w:val="auto"/>
        </w:rPr>
        <w:t>Business of GeneDx,</w:t>
      </w:r>
      <w:r>
        <w:rPr>
          <w:rFonts w:ascii="Arial" w:cs="Arial" w:eastAsia="Arial" w:hAnsi="Arial"/>
          <w:sz w:val="17"/>
          <w:szCs w:val="17"/>
          <w:color w:val="auto"/>
        </w:rPr>
        <w:t>”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of GeneDx” and “Management after the Acquisition”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14, 2022, the Company, Orion Merger Sub I, Inc. (“</w:t>
      </w:r>
      <w:r>
        <w:rPr>
          <w:rFonts w:ascii="Arial" w:cs="Arial" w:eastAsia="Arial" w:hAnsi="Arial"/>
          <w:sz w:val="16"/>
          <w:szCs w:val="16"/>
          <w:i w:val="1"/>
          <w:iCs w:val="1"/>
          <w:color w:val="auto"/>
        </w:rPr>
        <w:t>Merger Sub I</w:t>
      </w:r>
      <w:r>
        <w:rPr>
          <w:rFonts w:ascii="Arial" w:cs="Arial" w:eastAsia="Arial" w:hAnsi="Arial"/>
          <w:sz w:val="16"/>
          <w:szCs w:val="16"/>
          <w:color w:val="auto"/>
        </w:rPr>
        <w:t>”), a wholly-owned subsidiary of the Company, and Orion Merger Sub II, LLC (“</w:t>
      </w:r>
      <w:r>
        <w:rPr>
          <w:rFonts w:ascii="Arial" w:cs="Arial" w:eastAsia="Arial" w:hAnsi="Arial"/>
          <w:sz w:val="16"/>
          <w:szCs w:val="16"/>
          <w:i w:val="1"/>
          <w:iCs w:val="1"/>
          <w:color w:val="auto"/>
        </w:rPr>
        <w:t>Merger Sub II</w:t>
      </w:r>
      <w:r>
        <w:rPr>
          <w:rFonts w:ascii="Arial" w:cs="Arial" w:eastAsia="Arial" w:hAnsi="Arial"/>
          <w:sz w:val="16"/>
          <w:szCs w:val="16"/>
          <w:color w:val="auto"/>
        </w:rPr>
        <w:t>” and together with Merger Sub I, “</w:t>
      </w:r>
      <w:r>
        <w:rPr>
          <w:rFonts w:ascii="Arial" w:cs="Arial" w:eastAsia="Arial" w:hAnsi="Arial"/>
          <w:sz w:val="16"/>
          <w:szCs w:val="16"/>
          <w:i w:val="1"/>
          <w:iCs w:val="1"/>
          <w:color w:val="auto"/>
        </w:rPr>
        <w:t>Merger Subs</w:t>
      </w:r>
      <w:r>
        <w:rPr>
          <w:rFonts w:ascii="Arial" w:cs="Arial" w:eastAsia="Arial" w:hAnsi="Arial"/>
          <w:sz w:val="16"/>
          <w:szCs w:val="16"/>
          <w:color w:val="auto"/>
        </w:rPr>
        <w:t>”), a wholly-owned subsidiary of the Company, entered into the Agreement and Plan of Merger and Reorganization dated January 14, 2022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GeneDx, OPKO, Merger Subs, and GeneDx Holding 2, Inc., which will own 100% of GeneDx at the Effective Time (as defined herein) (“</w:t>
      </w:r>
      <w:r>
        <w:rPr>
          <w:rFonts w:ascii="Arial" w:cs="Arial" w:eastAsia="Arial" w:hAnsi="Arial"/>
          <w:sz w:val="16"/>
          <w:szCs w:val="16"/>
          <w:i w:val="1"/>
          <w:iCs w:val="1"/>
          <w:color w:val="auto"/>
        </w:rPr>
        <w:t>HoldCo</w:t>
      </w:r>
      <w:r>
        <w:rPr>
          <w:rFonts w:ascii="Arial" w:cs="Arial" w:eastAsia="Arial" w:hAnsi="Arial"/>
          <w:sz w:val="16"/>
          <w:szCs w:val="16"/>
          <w:color w:val="auto"/>
        </w:rPr>
        <w:t>”). The transactions contemplated by the Merger Agreement, including the Mergers (as defined below), are referred to herein as the “</w:t>
      </w:r>
      <w:r>
        <w:rPr>
          <w:rFonts w:ascii="Arial" w:cs="Arial" w:eastAsia="Arial" w:hAnsi="Arial"/>
          <w:sz w:val="16"/>
          <w:szCs w:val="16"/>
          <w:i w:val="1"/>
          <w:iCs w:val="1"/>
          <w:color w:val="auto"/>
        </w:rPr>
        <w:t>Acquisition</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left="660" w:hanging="328"/>
        <w:spacing w:after="0" w:line="293"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terms of the Merger Agreement, Merger Sub I will merge with and into HoldCo (the “</w:t>
      </w:r>
      <w:r>
        <w:rPr>
          <w:rFonts w:ascii="Arial" w:cs="Arial" w:eastAsia="Arial" w:hAnsi="Arial"/>
          <w:sz w:val="16"/>
          <w:szCs w:val="16"/>
          <w:i w:val="1"/>
          <w:iCs w:val="1"/>
          <w:color w:val="auto"/>
        </w:rPr>
        <w:t>First Merger</w:t>
      </w:r>
      <w:r>
        <w:rPr>
          <w:rFonts w:ascii="Arial" w:cs="Arial" w:eastAsia="Arial" w:hAnsi="Arial"/>
          <w:sz w:val="16"/>
          <w:szCs w:val="16"/>
          <w:color w:val="auto"/>
        </w:rPr>
        <w:t>”), with HoldCo being the surviving entity of the First Merger and immediately following the First Merger, HoldCo will merge with and into Merger Sub II, with Merger Sub II being the surviving entity of this second merger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Mergers</w:t>
      </w:r>
      <w:r>
        <w:rPr>
          <w:rFonts w:ascii="Arial" w:cs="Arial" w:eastAsia="Arial" w:hAnsi="Arial"/>
          <w:sz w:val="16"/>
          <w:szCs w:val="16"/>
          <w:color w:val="auto"/>
        </w:rPr>
        <w:t>”). After giving effect to the Acquisition and the other transactions contemplated by the Merger Agreement, GeneDx will have been converted into a Delaware limited liability company and be a wholly-owned indirect subsidiary of the Company. The Mergers are intended to qualify for federal income tax purposes as a tax-free reorganization under the provisions of Section 368(a)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ind w:left="328" w:hanging="328"/>
        <w:spacing w:after="0" w:line="25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the Company will pay consideration to OPKO for the Acquisition of (i) $150 million in cash at the closing of the Acquisition (the “</w:t>
      </w:r>
      <w:r>
        <w:rPr>
          <w:rFonts w:ascii="Arial" w:cs="Arial" w:eastAsia="Arial" w:hAnsi="Arial"/>
          <w:sz w:val="18"/>
          <w:szCs w:val="18"/>
          <w:i w:val="1"/>
          <w:iCs w:val="1"/>
          <w:color w:val="auto"/>
        </w:rPr>
        <w:t>Closing</w:t>
      </w:r>
      <w:r>
        <w:rPr>
          <w:rFonts w:ascii="Arial" w:cs="Arial" w:eastAsia="Arial" w:hAnsi="Arial"/>
          <w:sz w:val="18"/>
          <w:szCs w:val="18"/>
          <w:color w:val="auto"/>
        </w:rPr>
        <w:t>”), subject to certain adjustments as provided in the Merger Agreement (the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w:t>
      </w:r>
      <w:r>
        <w:rPr>
          <w:rFonts w:ascii="Arial" w:cs="Arial" w:eastAsia="Arial" w:hAnsi="Arial"/>
          <w:sz w:val="18"/>
          <w:szCs w:val="18"/>
          <w:color w:val="auto"/>
        </w:rPr>
        <w:t>”), (ii) 80 million shares of Class A common stock (the “</w:t>
      </w:r>
      <w:r>
        <w:rPr>
          <w:rFonts w:ascii="Arial" w:cs="Arial" w:eastAsia="Arial" w:hAnsi="Arial"/>
          <w:sz w:val="18"/>
          <w:szCs w:val="18"/>
          <w:i w:val="1"/>
          <w:iCs w:val="1"/>
          <w:color w:val="auto"/>
        </w:rPr>
        <w:t>Stock Consideration</w:t>
      </w:r>
      <w:r>
        <w:rPr>
          <w:rFonts w:ascii="Arial" w:cs="Arial" w:eastAsia="Arial" w:hAnsi="Arial"/>
          <w:sz w:val="18"/>
          <w:szCs w:val="18"/>
          <w:color w:val="auto"/>
        </w:rPr>
        <w:t>”), to be issued at the Closing and (iii) up to $150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payable in cash and/or shares following the Closing, if certain revenue-based milestones are achieved for each of the fiscal years ending December 31, 2022 and December 31, 2023 (the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 If the Milestone Payment in respect of the fiscal year ending December 31, 2022 becomes payable in full, then the Milestone Payment in respect of the fiscal year ending December 31, 2023 is subject to acceleration upon the occurrence of an Acquirer Change in Control, as further described in the Merger Agreement.</w:t>
      </w:r>
    </w:p>
    <w:p>
      <w:pPr>
        <w:spacing w:after="0" w:line="138" w:lineRule="exact"/>
        <w:rPr>
          <w:rFonts w:ascii="Arial" w:cs="Arial" w:eastAsia="Arial" w:hAnsi="Arial"/>
          <w:sz w:val="18"/>
          <w:szCs w:val="18"/>
          <w:color w:val="auto"/>
        </w:rPr>
      </w:pPr>
    </w:p>
    <w:p>
      <w:pPr>
        <w:jc w:val="both"/>
        <w:ind w:left="328" w:hanging="328"/>
        <w:spacing w:after="0" w:line="271" w:lineRule="auto"/>
        <w:tabs>
          <w:tab w:leader="none" w:pos="3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Concurrently with the execution of the Merger Agreement, the Company entered into subscription agreements (collectively, the “</w:t>
      </w:r>
      <w:r>
        <w:rPr>
          <w:rFonts w:ascii="Arial" w:cs="Arial" w:eastAsia="Arial" w:hAnsi="Arial"/>
          <w:sz w:val="17"/>
          <w:szCs w:val="17"/>
          <w:i w:val="1"/>
          <w:iCs w:val="1"/>
          <w:color w:val="auto"/>
        </w:rPr>
        <w:t>Subscription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with certain institutional investors (collectively, the “</w:t>
      </w:r>
      <w:r>
        <w:rPr>
          <w:rFonts w:ascii="Arial" w:cs="Arial" w:eastAsia="Arial" w:hAnsi="Arial"/>
          <w:sz w:val="17"/>
          <w:szCs w:val="17"/>
          <w:i w:val="1"/>
          <w:iCs w:val="1"/>
          <w:color w:val="auto"/>
        </w:rPr>
        <w:t>PIPE Investors</w:t>
      </w:r>
      <w:r>
        <w:rPr>
          <w:rFonts w:ascii="Arial" w:cs="Arial" w:eastAsia="Arial" w:hAnsi="Arial"/>
          <w:sz w:val="17"/>
          <w:szCs w:val="17"/>
          <w:color w:val="auto"/>
        </w:rPr>
        <w:t>”). The PIPE Investors include certain existing equity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(the “</w:t>
      </w:r>
      <w:r>
        <w:rPr>
          <w:rFonts w:ascii="Arial" w:cs="Arial" w:eastAsia="Arial" w:hAnsi="Arial"/>
          <w:sz w:val="17"/>
          <w:szCs w:val="17"/>
          <w:i w:val="1"/>
          <w:iCs w:val="1"/>
          <w:color w:val="auto"/>
        </w:rPr>
        <w:t>PIPE Investment</w:t>
      </w:r>
      <w:r>
        <w:rPr>
          <w:rFonts w:ascii="Arial" w:cs="Arial" w:eastAsia="Arial" w:hAnsi="Arial"/>
          <w:sz w:val="17"/>
          <w:szCs w:val="17"/>
          <w:color w:val="auto"/>
        </w:rPr>
        <w:t>,” and together with the Acquisition, the “</w:t>
      </w:r>
      <w:r>
        <w:rPr>
          <w:rFonts w:ascii="Arial" w:cs="Arial" w:eastAsia="Arial" w:hAnsi="Arial"/>
          <w:sz w:val="17"/>
          <w:szCs w:val="17"/>
          <w:i w:val="1"/>
          <w:iCs w:val="1"/>
          <w:color w:val="auto"/>
        </w:rPr>
        <w:t>Transactions</w:t>
      </w:r>
      <w:r>
        <w:rPr>
          <w:rFonts w:ascii="Arial" w:cs="Arial" w:eastAsia="Arial" w:hAnsi="Arial"/>
          <w:sz w:val="17"/>
          <w:szCs w:val="17"/>
          <w:color w:val="auto"/>
        </w:rPr>
        <w:t>”), before fees and expenses. The Company expects to fund the payment of the Cash Consideration in part with the net proceeds of the PIPE Investment.</w:t>
      </w:r>
    </w:p>
    <w:p>
      <w:pPr>
        <w:spacing w:after="0" w:line="124" w:lineRule="exact"/>
        <w:rPr>
          <w:rFonts w:ascii="Arial" w:cs="Arial" w:eastAsia="Arial" w:hAnsi="Arial"/>
          <w:sz w:val="17"/>
          <w:szCs w:val="17"/>
          <w:color w:val="auto"/>
        </w:rPr>
      </w:pPr>
    </w:p>
    <w:p>
      <w:pPr>
        <w:jc w:val="both"/>
        <w:ind w:left="328"/>
        <w:spacing w:after="0" w:line="275" w:lineRule="auto"/>
        <w:rPr>
          <w:rFonts w:ascii="Arial" w:cs="Arial" w:eastAsia="Arial" w:hAnsi="Arial"/>
          <w:sz w:val="17"/>
          <w:szCs w:val="17"/>
          <w:color w:val="auto"/>
        </w:rPr>
      </w:pPr>
      <w:r>
        <w:rPr>
          <w:rFonts w:ascii="Arial" w:cs="Arial" w:eastAsia="Arial" w:hAnsi="Arial"/>
          <w:sz w:val="17"/>
          <w:szCs w:val="17"/>
          <w:color w:val="auto"/>
        </w:rPr>
        <w:t>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spacing w:after="0" w:line="12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management and Board considered various factors in determining whether to approve the PIPE Investment, Merger Agreement and the Acquisition. For more information about the Company’s decision-making process,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Stock Consideration Issuance 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Special Meeting, the stockholders of the Company will be asked to vote on:</w:t>
      </w:r>
    </w:p>
    <w:p>
      <w:pPr>
        <w:spacing w:after="0" w:line="171" w:lineRule="exact"/>
        <w:rPr>
          <w:rFonts w:ascii="Arial" w:cs="Arial" w:eastAsia="Arial" w:hAnsi="Arial"/>
          <w:sz w:val="18"/>
          <w:szCs w:val="18"/>
          <w:color w:val="auto"/>
        </w:rPr>
      </w:pPr>
    </w:p>
    <w:p>
      <w:pPr>
        <w:ind w:left="648" w:right="20" w:hanging="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1 - The Stock Consideration Issuance Proposal</w:t>
      </w:r>
      <w:r>
        <w:rPr>
          <w:rFonts w:ascii="Arial" w:cs="Arial" w:eastAsia="Arial" w:hAnsi="Arial"/>
          <w:sz w:val="18"/>
          <w:szCs w:val="18"/>
          <w:color w:val="auto"/>
        </w:rPr>
        <w:t xml:space="preserve"> - To approve the issuance the Class A common stock in connection with the Acquisition and as contemplated by the Merger Agreement for purposes of complying with the Nasdaq listing rules (the “</w:t>
      </w:r>
      <w:r>
        <w:rPr>
          <w:rFonts w:ascii="Arial" w:cs="Arial" w:eastAsia="Arial" w:hAnsi="Arial"/>
          <w:sz w:val="18"/>
          <w:szCs w:val="18"/>
          <w:i w:val="1"/>
          <w:iCs w:val="1"/>
          <w:color w:val="auto"/>
        </w:rPr>
        <w:t>Nasdaq Listing</w:t>
      </w:r>
      <w:r>
        <w:rPr>
          <w:rFonts w:ascii="Arial" w:cs="Arial" w:eastAsia="Arial" w:hAnsi="Arial"/>
          <w:sz w:val="18"/>
          <w:szCs w:val="18"/>
          <w:color w:val="auto"/>
        </w:rPr>
        <w:t xml:space="preserve"> </w:t>
      </w:r>
      <w:r>
        <w:rPr>
          <w:rFonts w:ascii="Arial" w:cs="Arial" w:eastAsia="Arial" w:hAnsi="Arial"/>
          <w:sz w:val="18"/>
          <w:szCs w:val="18"/>
          <w:i w:val="1"/>
          <w:iCs w:val="1"/>
          <w:color w:val="auto"/>
        </w:rPr>
        <w:t>Rules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48" w:hanging="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2 - The PIPE Investment Proposal</w:t>
      </w:r>
      <w:r>
        <w:rPr>
          <w:rFonts w:ascii="Arial" w:cs="Arial" w:eastAsia="Arial" w:hAnsi="Arial"/>
          <w:sz w:val="18"/>
          <w:szCs w:val="18"/>
          <w:color w:val="auto"/>
        </w:rPr>
        <w:t xml:space="preserve"> - To approve the issuance of the Class A common stock in connection with the PIPE Investment and as contemplated by the Subscription Agreements for purposes of complying with the Nasdaq Listing Rules;</w:t>
      </w:r>
    </w:p>
    <w:p>
      <w:pPr>
        <w:spacing w:after="0" w:line="116" w:lineRule="exact"/>
        <w:rPr>
          <w:rFonts w:ascii="Arial" w:cs="Arial" w:eastAsia="Arial" w:hAnsi="Arial"/>
          <w:sz w:val="18"/>
          <w:szCs w:val="18"/>
          <w:color w:val="auto"/>
        </w:rPr>
      </w:pPr>
    </w:p>
    <w:p>
      <w:pPr>
        <w:ind w:left="648" w:hanging="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 xml:space="preserve"> - Assuming the Stock Consideration Issuance Proposal and the Charter Amendment Proposal are approved and adopted and the Acquisition is consummated, to appoint two directors who will become directors of the Company effective upon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40" w:right="339" w:bottom="1440" w:gutter="0" w:footer="0" w:header="0"/>
        </w:sectPr>
      </w:pPr>
    </w:p>
    <w:bookmarkStart w:id="8" w:name="page9"/>
    <w:bookmarkEnd w:id="8"/>
    <w:p>
      <w:pPr>
        <w:spacing w:after="0" w:line="144" w:lineRule="exact"/>
        <w:rPr>
          <w:sz w:val="20"/>
          <w:szCs w:val="20"/>
          <w:color w:val="auto"/>
        </w:rPr>
      </w:pPr>
    </w:p>
    <w:p>
      <w:pPr>
        <w:jc w:val="both"/>
        <w:ind w:left="648" w:hanging="324"/>
        <w:spacing w:after="0" w:line="263" w:lineRule="auto"/>
        <w:tabs>
          <w:tab w:leader="none" w:pos="67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 The Charter Amendment Proposal </w:t>
      </w:r>
      <w:r>
        <w:rPr>
          <w:rFonts w:ascii="Arial" w:cs="Arial" w:eastAsia="Arial" w:hAnsi="Arial"/>
          <w:sz w:val="18"/>
          <w:szCs w:val="18"/>
          <w:color w:val="auto"/>
        </w:rPr>
        <w:t>- To adopt an Amendment (the “Amendment”) to the Third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of the Company, in the form attached hereto as Annex B (the “Charter”), which increases the number of authorized shares of Class A common stock from 380,000,000 to 1,000,000,000;</w:t>
      </w:r>
    </w:p>
    <w:p>
      <w:pPr>
        <w:spacing w:after="0" w:line="129" w:lineRule="exact"/>
        <w:rPr>
          <w:rFonts w:ascii="Arial" w:cs="Arial" w:eastAsia="Arial" w:hAnsi="Arial"/>
          <w:sz w:val="18"/>
          <w:szCs w:val="18"/>
          <w:color w:val="auto"/>
        </w:rPr>
      </w:pPr>
    </w:p>
    <w:p>
      <w:pPr>
        <w:ind w:left="648" w:hanging="324"/>
        <w:spacing w:after="0" w:line="308" w:lineRule="auto"/>
        <w:tabs>
          <w:tab w:leader="none" w:pos="658"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i w:val="1"/>
          <w:i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92" w:lineRule="exact"/>
        <w:rPr>
          <w:rFonts w:ascii="Arial" w:cs="Arial" w:eastAsia="Arial" w:hAnsi="Arial"/>
          <w:sz w:val="17"/>
          <w:szCs w:val="17"/>
          <w:color w:val="auto"/>
        </w:rPr>
      </w:pPr>
    </w:p>
    <w:p>
      <w:pPr>
        <w:ind w:left="648" w:hanging="324"/>
        <w:spacing w:after="0" w:line="277" w:lineRule="auto"/>
        <w:tabs>
          <w:tab w:leader="none" w:pos="67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for the fiscal year ending December 31, 2022; and</w:t>
      </w:r>
    </w:p>
    <w:p>
      <w:pPr>
        <w:spacing w:after="0" w:line="116" w:lineRule="exact"/>
        <w:rPr>
          <w:rFonts w:ascii="Arial" w:cs="Arial" w:eastAsia="Arial" w:hAnsi="Arial"/>
          <w:sz w:val="18"/>
          <w:szCs w:val="18"/>
          <w:color w:val="auto"/>
        </w:rPr>
      </w:pPr>
    </w:p>
    <w:p>
      <w:pPr>
        <w:jc w:val="both"/>
        <w:ind w:left="648" w:hanging="324"/>
        <w:spacing w:after="0" w:line="263" w:lineRule="auto"/>
        <w:tabs>
          <w:tab w:leader="none" w:pos="64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9"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Please see the sections entitled “</w:t>
      </w:r>
      <w:r>
        <w:rPr>
          <w:rFonts w:ascii="Arial" w:cs="Arial" w:eastAsia="Arial" w:hAnsi="Arial"/>
          <w:sz w:val="17"/>
          <w:szCs w:val="17"/>
          <w:i w:val="1"/>
          <w:iCs w:val="1"/>
          <w:color w:val="auto"/>
        </w:rPr>
        <w:t>Proposal No. 1 - The Stock Consideration Issuance Proposal,</w:t>
      </w:r>
      <w:r>
        <w:rPr>
          <w:rFonts w:ascii="Arial" w:cs="Arial" w:eastAsia="Arial" w:hAnsi="Arial"/>
          <w:sz w:val="17"/>
          <w:szCs w:val="17"/>
          <w:color w:val="auto"/>
        </w:rPr>
        <w:t>”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Special Designee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4 - The Charter Amendment Proposal</w:t>
      </w:r>
      <w:r>
        <w:rPr>
          <w:rFonts w:ascii="Arial" w:cs="Arial" w:eastAsia="Arial" w:hAnsi="Arial"/>
          <w:sz w:val="17"/>
          <w:szCs w:val="17"/>
          <w:color w:val="auto"/>
        </w:rPr>
        <w:t>,” “</w:t>
      </w:r>
      <w:r>
        <w:rPr>
          <w:rFonts w:ascii="Arial" w:cs="Arial" w:eastAsia="Arial" w:hAnsi="Arial"/>
          <w:sz w:val="17"/>
          <w:szCs w:val="17"/>
          <w:i w:val="1"/>
          <w:iCs w:val="1"/>
          <w:color w:val="auto"/>
        </w:rPr>
        <w:t>Proposal No. 5 - The</w:t>
      </w:r>
      <w:r>
        <w:rPr>
          <w:rFonts w:ascii="Arial" w:cs="Arial" w:eastAsia="Arial" w:hAnsi="Arial"/>
          <w:sz w:val="17"/>
          <w:szCs w:val="17"/>
          <w:color w:val="auto"/>
        </w:rPr>
        <w:t xml:space="preserve"> </w:t>
      </w:r>
      <w:r>
        <w:rPr>
          <w:rFonts w:ascii="Arial" w:cs="Arial" w:eastAsia="Arial" w:hAnsi="Arial"/>
          <w:sz w:val="17"/>
          <w:szCs w:val="17"/>
          <w:i w:val="1"/>
          <w:iCs w:val="1"/>
          <w:color w:val="auto"/>
        </w:rPr>
        <w:t>Class I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6 - The Auditor Ratification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7 - The Adjournment Proposal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PIPE Investment Proposal and the Special Designee Director Election Proposal are conditioned upon stockholders’ approval of the Stock Consideration Issuance Proposal and the Charter Amendment Proposal.</w:t>
      </w:r>
    </w:p>
    <w:p>
      <w:pPr>
        <w:spacing w:after="0" w:line="122"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Acquisition, OPKO and the Company have entered into support agreements (the “</w:t>
      </w:r>
      <w:r>
        <w:rPr>
          <w:rFonts w:ascii="Arial" w:cs="Arial" w:eastAsia="Arial" w:hAnsi="Arial"/>
          <w:sz w:val="18"/>
          <w:szCs w:val="18"/>
          <w:i w:val="1"/>
          <w:iCs w:val="1"/>
          <w:color w:val="auto"/>
        </w:rPr>
        <w:t>Support Agreements</w:t>
      </w:r>
      <w:r>
        <w:rPr>
          <w:rFonts w:ascii="Arial" w:cs="Arial" w:eastAsia="Arial" w:hAnsi="Arial"/>
          <w:sz w:val="18"/>
          <w:szCs w:val="18"/>
          <w:color w:val="auto"/>
        </w:rPr>
        <w:t>”) with certain stockholders of the Company (including certain stockholders that own more than 5% of the outstanding shares of Class A common stock and certain entities affiliated with the Company’s directors), whereby such stockholders have agreed to, among other things, vote at the Special Meeting all of their shares of Class A common stock held of record or beneficially (i) to approve the Stock Consideration Proposal, the PIPE Investment Proposal, the Special Designee Director Election Proposal, the Charter Amendment Proposal and the Adjournment Proposal; (ii) to approve any other proposal included in this proxy statement that is recommended by the Board as necessary to consummate the Transactions; and (iii) against any and all other proposals that could reasonably be expected to delay or impair the ability of the Company to consummate the Transactions.</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Agreement may be terminated at any time prior to the consummation of the Acquisition upon agreement of the parties thereto, or by the Company or OPKO in specified circumstances. For more information about the termination rights under the Merger Agreement,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proposed Acquisition involves numerous risks. For more information about these risks, please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9" w:name="page10"/>
    <w:bookmarkEnd w:id="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otherwise stated or unless the context otherwise requires, the terms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Sema4</w:t>
      </w:r>
      <w:r>
        <w:rPr>
          <w:rFonts w:ascii="Arial" w:cs="Arial" w:eastAsia="Arial" w:hAnsi="Arial"/>
          <w:sz w:val="18"/>
          <w:szCs w:val="18"/>
          <w:color w:val="auto"/>
        </w:rPr>
        <w:t>” refer to Sema4 Holdings Corp., a Delaware corporation. In this proxy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transactions contemplated by the Merger Agreement, including the Mergers.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w:t>
      </w:r>
      <w:r>
        <w:rPr>
          <w:rFonts w:ascii="Arial" w:cs="Arial" w:eastAsia="Arial" w:hAnsi="Arial"/>
          <w:sz w:val="18"/>
          <w:szCs w:val="18"/>
          <w:color w:val="auto"/>
        </w:rPr>
        <w:t>” means the proposed Amendment to the Charter, a form of which, as amended in accordance with the proposal contained in this proxy statement is attached hereto as Annex B.</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$150 million in cash to be paid by the Company to OPKO at the Closing pursuant to the Merger Agreement, subject to certain adjustments as provided in the Merger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Acquisition.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Charter</w:t>
      </w:r>
      <w:r>
        <w:rPr>
          <w:rFonts w:ascii="Arial" w:cs="Arial" w:eastAsia="Arial" w:hAnsi="Arial"/>
          <w:sz w:val="18"/>
          <w:szCs w:val="18"/>
          <w:color w:val="auto"/>
        </w:rPr>
        <w:t>” means our Third Amended and Restated Certificate of Incorporation, dated as of July 22,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Class A common stock issuable pursuant to the Prior Merger Agreement upon the achievement of certain vesting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time the First Merger becomes effective.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w:t>
      </w:r>
      <w:r>
        <w:rPr>
          <w:rFonts w:ascii="Arial" w:cs="Arial" w:eastAsia="Arial" w:hAnsi="Arial"/>
          <w:sz w:val="18"/>
          <w:szCs w:val="18"/>
          <w:color w:val="auto"/>
        </w:rPr>
        <w:t>” means GeneDx, Inc., a New Jersey corporation.</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 Group</w:t>
      </w:r>
      <w:r>
        <w:rPr>
          <w:rFonts w:ascii="Arial" w:cs="Arial" w:eastAsia="Arial" w:hAnsi="Arial"/>
          <w:sz w:val="18"/>
          <w:szCs w:val="18"/>
          <w:color w:val="auto"/>
        </w:rPr>
        <w:t>” means (x) GeneDx and its subsidiaries as of the date of the Merger Agreement and (y) immediately following consummation of the Pre-Closing Restructuring, HoldCo and its direct subsidiary, GeneDx Delaware LLC, together with the subsidiaries of GeneDx Delaware LLC immediately following the Pre-Closing Restructuring.</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 Parties</w:t>
      </w:r>
      <w:r>
        <w:rPr>
          <w:rFonts w:ascii="Arial" w:cs="Arial" w:eastAsia="Arial" w:hAnsi="Arial"/>
          <w:sz w:val="18"/>
          <w:szCs w:val="18"/>
          <w:color w:val="auto"/>
        </w:rPr>
        <w:t>” means (x) GeneDx and HoldCo as of the date of the Merger Agreement until immediately prior to consummation of the Pre-Closing Restructuring and (y) HoldCo and GeneDx Delaware LLC following consummation of the Pre-Closing Restructuring.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HoldCo</w:t>
      </w:r>
      <w:r>
        <w:rPr>
          <w:rFonts w:ascii="Arial" w:cs="Arial" w:eastAsia="Arial" w:hAnsi="Arial"/>
          <w:sz w:val="18"/>
          <w:szCs w:val="18"/>
          <w:color w:val="auto"/>
        </w:rPr>
        <w:t>” means GeneDx Holding 2, Inc., which will own 100% of GeneDx immediately following the Effective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EIP”</w:t>
      </w:r>
      <w:r>
        <w:rPr>
          <w:rFonts w:ascii="Arial" w:cs="Arial" w:eastAsia="Arial" w:hAnsi="Arial"/>
          <w:sz w:val="18"/>
          <w:szCs w:val="18"/>
          <w:color w:val="auto"/>
        </w:rPr>
        <w:t xml:space="preserve"> means the Sema4 Holdings Corp.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The Acquisition</w:t>
      </w:r>
      <w:r>
        <w:rPr>
          <w:rFonts w:ascii="Arial" w:cs="Arial" w:eastAsia="Arial" w:hAnsi="Arial"/>
          <w:sz w:val="17"/>
          <w:szCs w:val="17"/>
          <w:color w:val="auto"/>
        </w:rPr>
        <w:t>,” “</w:t>
      </w:r>
      <w:r>
        <w:rPr>
          <w:rFonts w:ascii="Arial" w:cs="Arial" w:eastAsia="Arial" w:hAnsi="Arial"/>
          <w:sz w:val="17"/>
          <w:szCs w:val="17"/>
          <w:i w:val="1"/>
          <w:iCs w:val="1"/>
          <w:color w:val="auto"/>
        </w:rPr>
        <w:t>Sem</w:t>
      </w:r>
      <w:r>
        <w:rPr>
          <w:rFonts w:ascii="Arial" w:cs="Arial" w:eastAsia="Arial" w:hAnsi="Arial"/>
          <w:sz w:val="17"/>
          <w:szCs w:val="17"/>
          <w:color w:val="auto"/>
        </w:rPr>
        <w:t>a</w:t>
      </w:r>
      <w:r>
        <w:rPr>
          <w:rFonts w:ascii="Arial" w:cs="Arial" w:eastAsia="Arial" w:hAnsi="Arial"/>
          <w:sz w:val="17"/>
          <w:szCs w:val="17"/>
          <w:i w:val="1"/>
          <w:iCs w:val="1"/>
          <w:color w:val="auto"/>
        </w:rPr>
        <w:t>4’s Business</w:t>
      </w:r>
      <w:r>
        <w:rPr>
          <w:rFonts w:ascii="Arial" w:cs="Arial" w:eastAsia="Arial" w:hAnsi="Arial"/>
          <w:sz w:val="17"/>
          <w:szCs w:val="17"/>
          <w:color w:val="auto"/>
        </w:rPr>
        <w:t>,”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of Sema4</w:t>
      </w:r>
      <w:r>
        <w:rPr>
          <w:rFonts w:ascii="Arial" w:cs="Arial" w:eastAsia="Arial" w:hAnsi="Arial"/>
          <w:sz w:val="17"/>
          <w:szCs w:val="17"/>
          <w:color w:val="auto"/>
        </w:rPr>
        <w:t>,” “</w:t>
      </w:r>
      <w:r>
        <w:rPr>
          <w:rFonts w:ascii="Arial" w:cs="Arial" w:eastAsia="Arial" w:hAnsi="Arial"/>
          <w:sz w:val="17"/>
          <w:szCs w:val="17"/>
          <w:i w:val="1"/>
          <w:iCs w:val="1"/>
          <w:color w:val="auto"/>
        </w:rPr>
        <w:t xml:space="preserve">Business of GeneDx”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of GeneDx</w:t>
      </w:r>
      <w:r>
        <w:rPr>
          <w:rFonts w:ascii="Arial" w:cs="Arial" w:eastAsia="Arial" w:hAnsi="Arial"/>
          <w:sz w:val="17"/>
          <w:szCs w:val="17"/>
          <w:color w:val="auto"/>
        </w:rPr>
        <w:t>” regarding (i) Sema4 and its products and services are based on Sema4’s belief in its competitive advantages in data, analytics and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and provider engagement, in particular with respect to Sema4’s diagnostic solutions and genomic platform and (ii) GeneDx and its products and services are based on Sema4’s belief in GeneDx’s competitive advantages in the rare disease diagnostics market. Sema4 bases its beliefs regarding these matters, including its estimates of its and GeneDx’s respective market share in its sector, on Sema4’s collective institutional knowledge and expertise regarding its and GeneDx’s industries, markets and technology, which are based on, among other things, publicly available information, reports of government agencies, RFPs and the results of contract bids and awards, industry research firms, and information supplied to Sema4 by GeneDx, as well as Sema4’s internal research, calculations and assumptions based on its analysis of such information and data. Sema4 believes these assertions to be reasonable and accurate as of the date of this proxy statement.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Holder</w:t>
      </w:r>
      <w:r>
        <w:rPr>
          <w:rFonts w:ascii="Arial" w:cs="Arial" w:eastAsia="Arial" w:hAnsi="Arial"/>
          <w:sz w:val="18"/>
          <w:szCs w:val="18"/>
          <w:color w:val="auto"/>
        </w:rPr>
        <w:t>” means certain stockholders of OPKO who entered into the Shareholder Agreements with Sema4.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and Reorganization, dated as of January 14, 2022, by and among the Company, Merger Sub I, Merger Sub II, GeneDx, OPKO, and Holdco.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means the Cash Consideration and the Stock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w:t>
      </w:r>
      <w:r>
        <w:rPr>
          <w:rFonts w:ascii="Arial" w:cs="Arial" w:eastAsia="Arial" w:hAnsi="Arial"/>
          <w:sz w:val="18"/>
          <w:szCs w:val="18"/>
          <w:color w:val="auto"/>
        </w:rPr>
        <w:t>” means Orion Merger Sub I,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II</w:t>
      </w:r>
      <w:r>
        <w:rPr>
          <w:rFonts w:ascii="Arial" w:cs="Arial" w:eastAsia="Arial" w:hAnsi="Arial"/>
          <w:sz w:val="18"/>
          <w:szCs w:val="18"/>
          <w:color w:val="auto"/>
        </w:rPr>
        <w:t>” means Orion Merger Sub II, LLC.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Subs</w:t>
      </w:r>
      <w:r>
        <w:rPr>
          <w:rFonts w:ascii="Arial" w:cs="Arial" w:eastAsia="Arial" w:hAnsi="Arial"/>
          <w:sz w:val="18"/>
          <w:szCs w:val="18"/>
          <w:color w:val="auto"/>
        </w:rPr>
        <w:t>” means Merger Sub I and Merger Sub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the First Merger and the Second Merger.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Milestone Payments</w:t>
      </w:r>
      <w:r>
        <w:rPr>
          <w:rFonts w:ascii="Arial" w:cs="Arial" w:eastAsia="Arial" w:hAnsi="Arial"/>
          <w:sz w:val="16"/>
          <w:szCs w:val="16"/>
          <w:color w:val="auto"/>
        </w:rPr>
        <w:t>” means the up to $150 million payable by the Company to OPKO pursuant to the Merger Agreement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OPKO</w:t>
      </w:r>
      <w:r>
        <w:rPr>
          <w:rFonts w:ascii="Arial" w:cs="Arial" w:eastAsia="Arial" w:hAnsi="Arial"/>
          <w:sz w:val="18"/>
          <w:szCs w:val="18"/>
          <w:color w:val="auto"/>
        </w:rPr>
        <w:t>” means OPKO Health, Inc.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the PIPE Shares at $4.00 per share, for an aggregate purchase price of $200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have committed to invest in the PIPE Investment pursuant to, and on the terms and subject to the conditions of, the Subscription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50 million shares of Class A common stock to be issued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has the meaning ascribed to it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Merger Agreement</w:t>
      </w:r>
      <w:r>
        <w:rPr>
          <w:rFonts w:ascii="Arial" w:cs="Arial" w:eastAsia="Arial" w:hAnsi="Arial"/>
          <w:sz w:val="18"/>
          <w:szCs w:val="18"/>
          <w:color w:val="auto"/>
        </w:rPr>
        <w:t>” means that certain Agreement and Plan of Merger, dated as of February 9, 2021, as amended, by and among CM Life Sciences, Inc., S-IV Sub, Inc. and Mount Sinai Genomics, Inc. d/b/a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 means, collectively, the Shareholder Agreements, the Subscription Agreements and the Support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HoldCo, as the surviving corporation in the First Merger, with and into Merger Sub II, with Merger Sub II as the surviving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Agreements</w:t>
      </w:r>
      <w:r>
        <w:rPr>
          <w:rFonts w:ascii="Arial" w:cs="Arial" w:eastAsia="Arial" w:hAnsi="Arial"/>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to be issued pursuant to the Merger Agreement, which agreement is substantially in the form attached as Exhibit A to the Merger Agreement in Annex A hereto.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(in lieu of the 2022 annual meeting of stockholders) that is the subject of this proxy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80 million shares of Class A common stock to be issued by the Company to OPKO at the Closing pursuant to the Merger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w:t>
      </w:r>
      <w:r>
        <w:rPr>
          <w:rFonts w:ascii="Arial" w:cs="Arial" w:eastAsia="Arial" w:hAnsi="Arial"/>
          <w:sz w:val="18"/>
          <w:szCs w:val="18"/>
          <w:color w:val="auto"/>
        </w:rPr>
        <w:t>” means holders of shares of the Company’s 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January 14, 2022, between the Company and the PIPE Investors, pursuant to which such investors have agreed to purchase the PIPE Shares in the PIPE Investment on the terms and subject to the conditions of the Subscription Agreements, and substantially in the form attached hereto as Annex 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Agreements</w:t>
      </w:r>
      <w:r>
        <w:rPr>
          <w:rFonts w:ascii="Arial" w:cs="Arial" w:eastAsia="Arial" w:hAnsi="Arial"/>
          <w:sz w:val="18"/>
          <w:szCs w:val="18"/>
          <w:color w:val="auto"/>
        </w:rPr>
        <w:t>” means, collectively, those certain support agreements entered into on January 14, 2022, between OPKO, the Company and certain stockholders of the Company, pursuant to which stockholders have agreed to, among other things, vote all of their shares of Class A common stock held of record or beneficially at the Special Meeting (i) to approve the Stock Consideration Proposal, the PIPE Investment Proposal, the Special Designee Director Election Proposal, the Charter Amendment Proposal and the Adjournment Proposal, and substantially in the form attached hereto as Exhibit B to the Merger Agreement in Annex 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questions and answers below highlight only selected information from this proxy statement and only briefly address some commonly asked questions about the proposals to be presented at the Special Meeting, including with respect to the Stock Consideration Issuance Proposal. The following questions and answers do not include all the information that is important to our stockholders. We urge stockholders to carefully read this entire proxy statement, including the Annexes and the other documents referred to herein, to fully understand the proposals and the voting procedures for the Special Meeting, which will be held on [ ], 2022 at [ ] Eastern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Our stockholders are being asked to consider and vote upon the proposals described in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its Annexes contain important information about the proposals and the other matters to be acted upon at the Special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proxy statement and its Annexes carefully and in their entirety.</w:t>
      </w:r>
    </w:p>
    <w:p>
      <w:pPr>
        <w:spacing w:after="0" w:line="15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Your vote is important. You are encouraged to submit your proxy as soon as possible after carefully reviewing this proxy statement and its Annexes.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When is the Special Meeting?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The Special Meeting will be held on [ ] at [ ] Eastern time. In light of ongoing developments related to the coronavirus (“</w:t>
      </w:r>
      <w:r>
        <w:rPr>
          <w:rFonts w:ascii="Arial" w:cs="Arial" w:eastAsia="Arial" w:hAnsi="Arial"/>
          <w:sz w:val="17"/>
          <w:szCs w:val="17"/>
          <w:i w:val="1"/>
          <w:iCs w:val="1"/>
          <w:color w:val="auto"/>
        </w:rPr>
        <w:t>COVID-19</w:t>
      </w:r>
      <w:r>
        <w:rPr>
          <w:rFonts w:ascii="Arial" w:cs="Arial" w:eastAsia="Arial" w:hAnsi="Arial"/>
          <w:sz w:val="17"/>
          <w:szCs w:val="17"/>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https://www.cstproxy.com/sema4/2022 and using a control number assigned by Continental Stock Transfer &amp; Trust Company. To register and receive access to the virtual meeting, registered stockholders and beneficial stockholders (those holding shares through a stock brokerage account or by a bank or other nominee) will need to follow the instructions applicable to them provided in this proxy statement. Because the Special Meeting is completely virtual and being conducted via live webcast, stockholders will not be able to attend the meeting in person.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these instructions as applicable to the nature of your ownership of our Class A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To register for the Special Meeting, please follow</w:t>
      </w:r>
    </w:p>
    <w:p>
      <w:pPr>
        <w:spacing w:after="0" w:line="398" w:lineRule="exact"/>
        <w:rPr>
          <w:sz w:val="20"/>
          <w:szCs w:val="20"/>
          <w:color w:val="auto"/>
        </w:rPr>
      </w:pPr>
    </w:p>
    <w:p>
      <w:pPr>
        <w:sectPr>
          <w:pgSz w:w="11900" w:h="16838" w:orient="portrait"/>
          <w:cols w:equalWidth="0" w:num="2">
            <w:col w:w="6960" w:space="460"/>
            <w:col w:w="38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stockholders (those holding shares through a stock brokerage account or by a bank or other nominee)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entering the virtual meeting. Beneficial stockholders should contact Continental Stock Transfer &amp; Trust Company at least five (5) business days prior to the meeting date in order to ensure access.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You are being asked to consider and vote on proposals to:</w:t>
      </w:r>
    </w:p>
    <w:p>
      <w:pPr>
        <w:spacing w:after="0" w:line="167" w:lineRule="exact"/>
        <w:rPr>
          <w:sz w:val="20"/>
          <w:szCs w:val="20"/>
          <w:color w:val="auto"/>
        </w:rPr>
      </w:pPr>
    </w:p>
    <w:p>
      <w:pPr>
        <w:ind w:left="660" w:hanging="328"/>
        <w:spacing w:after="0" w:line="34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Stock Consideration Issuance Proposal </w:t>
      </w:r>
      <w:r>
        <w:rPr>
          <w:rFonts w:ascii="Arial" w:cs="Arial" w:eastAsia="Arial" w:hAnsi="Arial"/>
          <w:sz w:val="16"/>
          <w:szCs w:val="16"/>
          <w:color w:val="auto"/>
        </w:rPr>
        <w:t>- To approve the issuance of the Company’s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Acquisition and as contemplated by the Merger Agreement for purposes of complying with applicable Nasdaq Listing Rules;</w:t>
      </w:r>
    </w:p>
    <w:p>
      <w:pPr>
        <w:spacing w:after="0" w:line="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To approve the issuance of the Class A common stock in connection with the PIPE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contemplated by the Subscription Agreements for purposes of complying with the Nasdaq Listing Rules;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w:t>
      </w:r>
      <w:r>
        <w:rPr>
          <w:rFonts w:ascii="Arial" w:cs="Arial" w:eastAsia="Arial" w:hAnsi="Arial"/>
          <w:sz w:val="18"/>
          <w:szCs w:val="18"/>
          <w:color w:val="auto"/>
        </w:rPr>
        <w:t>- To adopt the Amendment to the Charter, in the form attached hereto as Annex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the number of authorized shares of Class A common stock from 380,000,000 to 1,000,000,000;</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does the Board recommend that I vote?</w:t>
      </w:r>
    </w:p>
    <w:p>
      <w:pPr>
        <w:spacing w:after="0" w:line="175" w:lineRule="exact"/>
        <w:rPr>
          <w:sz w:val="20"/>
          <w:szCs w:val="20"/>
          <w:color w:val="auto"/>
        </w:rPr>
      </w:pPr>
    </w:p>
    <w:p>
      <w:pPr>
        <w:ind w:left="560" w:hanging="22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recommends that the stockholders of the Company vote:</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Stock Consideration Issuance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PIPE Investment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each of the Special Designee Directors;</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Charter Amendment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each of the Class I director nominees;</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Auditor Ratification Proposal; and</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Adjournment Proposal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Are certain of the proposals conditioned on one another?</w:t>
      </w:r>
    </w:p>
    <w:p>
      <w:pPr>
        <w:spacing w:after="0" w:line="175" w:lineRule="exact"/>
        <w:rPr>
          <w:sz w:val="20"/>
          <w:szCs w:val="20"/>
          <w:color w:val="auto"/>
        </w:rPr>
      </w:pPr>
    </w:p>
    <w:p>
      <w:pPr>
        <w:ind w:firstLine="33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Under the Merger Agreement, the approval of the Stock Consideration Issuance Proposal and the Charter Amendment Proposal presented at the Special Meeting is a condition to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and the PIPE Investment Proposal and the Special Designee Director Election Proposal are conditioned upon stockholders’ approval of the Stock Consideration Issuance Proposal and the Charter Amendment Proposal.</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It is important for you to note that in the event that the Stock Consideration Issuance Proposal or the Charter Amendment Proposal do not receive the requisite vote for approval (including following any adjournments), we will not consummate the Acquisition.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in the Acquisition?</w:t>
      </w:r>
    </w:p>
    <w:p>
      <w:pPr>
        <w:spacing w:after="0" w:line="175" w:lineRule="exact"/>
        <w:rPr>
          <w:sz w:val="20"/>
          <w:szCs w:val="20"/>
          <w:color w:val="auto"/>
        </w:rPr>
      </w:pPr>
    </w:p>
    <w:p>
      <w:pPr>
        <w:jc w:val="both"/>
        <w:ind w:firstLine="332"/>
        <w:spacing w:after="0" w:line="255" w:lineRule="auto"/>
        <w:tabs>
          <w:tab w:leader="none" w:pos="5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the Merger Agreement, the Company’s wholly owned subsidiary, Merger Sub I, will merge with and into HoldCo, with Holdco as the surviving entity. HoldCo will then immediately merge into the Company’s wholly owned subsidiary, Merger Sub II, with Merger Sub II surviving the merger as a wholly owned subsidiary of the Company. The Company will pay consideration to OPKO for the Acquisition of (i) $150 million in cash at the Closing, subject to certain adjustments as provided in the Merger Agreement, (ii) 80 million shares of Class A common stock, to be issued at the Closing and (iii) up to $150 million payable in cash and/or shares following the Closing, if certain revenue-based milestones are achieved for each of the fiscal years ending December 31, 2022 and December 31, 2023.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 How has the announcement of the Acquisition affected the trading price of the Company’s Class A common stock and warrants?</w:t>
      </w:r>
    </w:p>
    <w:p>
      <w:pPr>
        <w:spacing w:after="0" w:line="187" w:lineRule="exact"/>
        <w:rPr>
          <w:sz w:val="20"/>
          <w:szCs w:val="20"/>
          <w:color w:val="auto"/>
        </w:rPr>
      </w:pPr>
    </w:p>
    <w:p>
      <w:pPr>
        <w:jc w:val="both"/>
        <w:ind w:firstLine="332"/>
        <w:spacing w:after="0" w:line="263"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14, 2022, the trading date before the public announcement of the Acquisition, the Company’s Class A common stock and public warrants closed at $4.04 and $0.75, respectively. On March 14, 2022 the trading date immediately prior to the date of this proxy statement, the Company’s Class A common stock and public warrants closed at $2.65 and $0.57, respectively.</w:t>
      </w:r>
    </w:p>
    <w:p>
      <w:pPr>
        <w:spacing w:after="0" w:line="126" w:lineRule="exact"/>
        <w:rPr>
          <w:sz w:val="20"/>
          <w:szCs w:val="20"/>
          <w:color w:val="auto"/>
        </w:rPr>
      </w:pPr>
    </w:p>
    <w:p>
      <w:pPr>
        <w:ind w:firstLine="332"/>
        <w:spacing w:after="0" w:line="282" w:lineRule="auto"/>
        <w:tabs>
          <w:tab w:leader="none" w:pos="5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Acquisition and the PIPE Investment impact the shares of the Company’s Class A common stock outstanding after the Transactions?</w:t>
      </w:r>
    </w:p>
    <w:p>
      <w:pPr>
        <w:spacing w:after="0" w:line="112" w:lineRule="exact"/>
        <w:rPr>
          <w:sz w:val="20"/>
          <w:szCs w:val="20"/>
          <w:color w:val="auto"/>
        </w:rPr>
      </w:pPr>
    </w:p>
    <w:p>
      <w:pPr>
        <w:jc w:val="both"/>
        <w:ind w:firstLine="332"/>
        <w:spacing w:after="0" w:line="259" w:lineRule="auto"/>
        <w:tabs>
          <w:tab w:leader="none" w:pos="5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Closing, the issuance of the Stock Consideration and the PIPE Shares will increase the amount of Class A common stock issued and outstanding will increase by 130,000,000 shares of Class A common stock. Additional shares of Class A common stock may also be issued in the future pursuant to the Merger Agreement in connection with the Milestone Payments. The issuance and sale of such shares in the public market could adversely impact the market price of our Class A common stock, even if our business is doing well.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Will the management of the Company change in the Acquisition?</w:t>
      </w:r>
    </w:p>
    <w:p>
      <w:pPr>
        <w:spacing w:after="0" w:line="175" w:lineRule="exact"/>
        <w:rPr>
          <w:sz w:val="20"/>
          <w:szCs w:val="20"/>
          <w:color w:val="auto"/>
        </w:rPr>
      </w:pPr>
    </w:p>
    <w:p>
      <w:pPr>
        <w:jc w:val="both"/>
        <w:ind w:firstLine="332"/>
        <w:spacing w:after="0" w:line="279" w:lineRule="auto"/>
        <w:tabs>
          <w:tab w:leader="none" w:pos="5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GeneDx will become employees of the Company following the Acquisition. In addition, pursuant to the Merger Agreement, Katherine Stueland, the current Chief Executive Officer of GeneDx, will become co-Chief Executive Officer of the Company. In accordance with the terms of the Merger Agreement and following the Closing, the Specified Designees (as defined in the Merger Agreement) will join our Board. Please see the sections entitled “</w:t>
      </w:r>
      <w:r>
        <w:rPr>
          <w:rFonts w:ascii="Arial" w:cs="Arial" w:eastAsia="Arial" w:hAnsi="Arial"/>
          <w:sz w:val="17"/>
          <w:szCs w:val="17"/>
          <w:i w:val="1"/>
          <w:iCs w:val="1"/>
          <w:color w:val="auto"/>
        </w:rPr>
        <w:t>Management After the Acquisition</w:t>
      </w:r>
      <w:r>
        <w:rPr>
          <w:rFonts w:ascii="Arial" w:cs="Arial" w:eastAsia="Arial" w:hAnsi="Arial"/>
          <w:sz w:val="17"/>
          <w:szCs w:val="17"/>
          <w:color w:val="auto"/>
        </w:rPr>
        <w:t>” and “</w:t>
      </w:r>
      <w:r>
        <w:rPr>
          <w:rFonts w:ascii="Arial" w:cs="Arial" w:eastAsia="Arial" w:hAnsi="Arial"/>
          <w:sz w:val="17"/>
          <w:szCs w:val="17"/>
          <w:i w:val="1"/>
          <w:iCs w:val="1"/>
          <w:color w:val="auto"/>
        </w:rPr>
        <w:t>The Acquisition</w:t>
      </w:r>
      <w:r>
        <w:rPr>
          <w:rFonts w:ascii="Arial" w:cs="Arial" w:eastAsia="Arial" w:hAnsi="Arial"/>
          <w:sz w:val="17"/>
          <w:szCs w:val="17"/>
          <w:color w:val="auto"/>
        </w:rPr>
        <w:t>”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 What equity stake will current stockholders of the Company, the PIPE Investors and OPKO hold in the company after the Closing?</w:t>
      </w:r>
    </w:p>
    <w:p>
      <w:pPr>
        <w:spacing w:after="0" w:line="187" w:lineRule="exact"/>
        <w:rPr>
          <w:sz w:val="20"/>
          <w:szCs w:val="20"/>
          <w:color w:val="auto"/>
        </w:rPr>
      </w:pPr>
    </w:p>
    <w:p>
      <w:pPr>
        <w:jc w:val="both"/>
        <w:ind w:firstLine="332"/>
        <w:spacing w:after="0" w:line="257" w:lineRule="auto"/>
        <w:tabs>
          <w:tab w:leader="none" w:pos="5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Will the Company obtain new financing in connection with the Acquisition?</w:t>
      </w:r>
    </w:p>
    <w:p>
      <w:pPr>
        <w:spacing w:after="0" w:line="175" w:lineRule="exact"/>
        <w:rPr>
          <w:sz w:val="20"/>
          <w:szCs w:val="20"/>
          <w:color w:val="auto"/>
        </w:rPr>
      </w:pPr>
    </w:p>
    <w:p>
      <w:pPr>
        <w:jc w:val="both"/>
        <w:ind w:firstLine="332"/>
        <w:spacing w:after="0" w:line="255" w:lineRule="auto"/>
        <w:tabs>
          <w:tab w:leader="none" w:pos="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The PIPE Investors have agreed to purchase 50 million shares of Class A common stock in the aggregate, for $200 million of gross proceeds, pursuant to the Subscription Agreements. Consummation of the PIPE Investment pursuant to the Subscription Agreements is contingent upon, among other things, stockholder approval of the PIPE Investment Proposal and the Closing of the Acquisition being scheduled to occur substantially concurrently with or immediately following the closing of the PIPE Investment. However, consummation of the PIPE Investment is not a condition to the Closing of the Acquisition. See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The Company does not currently anticipate obtaining any new debt financing to fund the Acquisition.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conditions must be satisfied to complete the Acquisition?</w:t>
      </w:r>
    </w:p>
    <w:p>
      <w:pPr>
        <w:spacing w:after="0" w:line="175" w:lineRule="exact"/>
        <w:rPr>
          <w:sz w:val="20"/>
          <w:szCs w:val="20"/>
          <w:color w:val="auto"/>
        </w:rPr>
      </w:pPr>
    </w:p>
    <w:p>
      <w:pPr>
        <w:jc w:val="both"/>
        <w:ind w:firstLine="332"/>
        <w:spacing w:after="0" w:line="263" w:lineRule="auto"/>
        <w:tabs>
          <w:tab w:leader="none" w:pos="5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Stock Consideration Issuance Proposal and the Charter Amendment Proposal. For a summary of the conditions that must be satisfied or waived prior to completion of the Acquisition,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Are there any arrangements to help ensure that the Company will have sufficient funds to pay the Cash Consideration?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Company expects to fund the payment of the Cash Consideration with the net proceeds of the PIPE Investment and cash on hand.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Company will use the net proceeds of the PIPE Investment and cash on hand to pay the Cash Consideration and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Acquisition, and pursuant to the terms of the Merger Agreement. The Company additionally has cash and cash equivalents of $400.6 million as of December 31, 2021 and $125.0 million of available credit under its existing senior secured credit facility.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Stock Consideration Issuance Proposal?</w:t>
      </w:r>
    </w:p>
    <w:p>
      <w:pPr>
        <w:spacing w:after="0" w:line="175" w:lineRule="exact"/>
        <w:rPr>
          <w:sz w:val="20"/>
          <w:szCs w:val="20"/>
          <w:color w:val="auto"/>
        </w:rPr>
      </w:pPr>
    </w:p>
    <w:p>
      <w:pPr>
        <w:ind w:firstLine="332"/>
        <w:spacing w:after="0" w:line="277" w:lineRule="auto"/>
        <w:tabs>
          <w:tab w:leader="none" w:pos="5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the Stock Consideration Issuance Proposal is required under Nasdaq Listing Rules. In addition, the approval of the Stock Consideration Issuance Proposal is a condition to the Closing under the Merger Agreement.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we have agreed to issue 80 million shares of Class A common stock in respect of with the payment of the Stock Consideration. We may also issue, in our sole discretion, a maximum of up to approximately 30.9 million shares of Class A common stock in connection with the potential Milestone Payments. We also expect to issue an aggregate of 50 million shares of Class A common stock at the Closing in connection with the PIPE Investment, which is related to the Acquisition. Because we may issue 20% or more of our outstanding Class A common stock when considering together the Stock Consideration, the PIPE Investment and the potential Milestone Payments, we are required to obtain stockholder approval of such issuances pursuant to Nasdaq Listing Rule 5635(a). For more information, please see the section entitled “</w:t>
      </w:r>
      <w:r>
        <w:rPr>
          <w:rFonts w:ascii="Arial" w:cs="Arial" w:eastAsia="Arial" w:hAnsi="Arial"/>
          <w:sz w:val="18"/>
          <w:szCs w:val="18"/>
          <w:i w:val="1"/>
          <w:iCs w:val="1"/>
          <w:color w:val="auto"/>
        </w:rPr>
        <w:t>Proposal No. 1 - The Stock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PIPE Investment Proposal?</w:t>
      </w:r>
    </w:p>
    <w:p>
      <w:pPr>
        <w:spacing w:after="0" w:line="175" w:lineRule="exact"/>
        <w:rPr>
          <w:sz w:val="20"/>
          <w:szCs w:val="20"/>
          <w:color w:val="auto"/>
        </w:rPr>
      </w:pPr>
    </w:p>
    <w:p>
      <w:pPr>
        <w:ind w:firstLine="332"/>
        <w:spacing w:after="0" w:line="27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also proposing the PIPE Investment Proposal in order to comply with Nasdaq Listing Rule 5635(a), as the issuance of the PIPE Shares is occurring in connection with the Acquisition.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described above, because we may issue 20% or more of our outstanding Class A common stock when considering together the Stock Consideration, the PIPE Investment and the potential Milestone Payments, we are required to obtain stockholder approval of such issuances pursuant to Nasdaq Listing Rule 5635(a). For more information, please see the section entitled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Special Designee Director Election Proposal?</w:t>
      </w:r>
    </w:p>
    <w:p>
      <w:pPr>
        <w:spacing w:after="0" w:line="175" w:lineRule="exact"/>
        <w:rPr>
          <w:sz w:val="20"/>
          <w:szCs w:val="20"/>
          <w:color w:val="auto"/>
        </w:rPr>
      </w:pPr>
    </w:p>
    <w:p>
      <w:pPr>
        <w:jc w:val="both"/>
        <w:ind w:firstLine="332"/>
        <w:spacing w:after="0" w:line="275" w:lineRule="auto"/>
        <w:tabs>
          <w:tab w:leader="none" w:pos="5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Assuming the Stock Consideration Issuance Proposal and the Charter Amendment Proposal are approved and adopted and the Acquisition is consummated, our stockholders are being asked to appoint two directors, Katherine Stueland and Richard C. Pfenniger, Jr., who will become directors of the Company effective upon consummation of the Acquisition. The Company believes it is in the best interests of stockholders to allow stockholders to vote upon the election of newly appointed directors. In addition, the inclusion of this proposal is a requirement under the Merger Agreement. Please see the section entitled “</w:t>
      </w:r>
      <w:r>
        <w:rPr>
          <w:rFonts w:ascii="Arial" w:cs="Arial" w:eastAsia="Arial" w:hAnsi="Arial"/>
          <w:sz w:val="17"/>
          <w:szCs w:val="17"/>
          <w:i w:val="1"/>
          <w:iCs w:val="1"/>
          <w:color w:val="auto"/>
        </w:rPr>
        <w:t>Proposal No. 3 - The Special Designee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Charter Amendment Proposal?</w:t>
      </w:r>
    </w:p>
    <w:p>
      <w:pPr>
        <w:spacing w:after="0" w:line="175" w:lineRule="exact"/>
        <w:rPr>
          <w:sz w:val="20"/>
          <w:szCs w:val="20"/>
          <w:color w:val="auto"/>
        </w:rPr>
      </w:pPr>
    </w:p>
    <w:p>
      <w:pPr>
        <w:jc w:val="both"/>
        <w:ind w:firstLine="332"/>
        <w:spacing w:after="0" w:line="301" w:lineRule="auto"/>
        <w:tabs>
          <w:tab w:leader="none" w:pos="5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Amendment that we are asking our stockholders to adopt in connection with the other proposals provides for an amendment to our Charter to increase the number of authorized shares of our Class A common stock from 380,000,000 to 1,000,000,000. Pursuant to Delaware law, we are required to submit the Charter Amendment Proposal to the Company’s stockholders for adoption. In addition, such approval is also a condition to the Closing under the Merger Agreement. For additional information please see the section entitled “</w:t>
      </w:r>
      <w:r>
        <w:rPr>
          <w:rFonts w:ascii="Arial" w:cs="Arial" w:eastAsia="Arial" w:hAnsi="Arial"/>
          <w:sz w:val="16"/>
          <w:szCs w:val="16"/>
          <w:i w:val="1"/>
          <w:iCs w:val="1"/>
          <w:color w:val="auto"/>
        </w:rPr>
        <w:t>Proposal No. 4 - The Charter Amendment Proposal</w:t>
      </w:r>
      <w:r>
        <w:rPr>
          <w:rFonts w:ascii="Arial" w:cs="Arial" w:eastAsia="Arial" w:hAnsi="Arial"/>
          <w:sz w:val="16"/>
          <w:szCs w:val="16"/>
          <w:color w:val="auto"/>
        </w:rPr>
        <w: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Class I Director Election Proposal?</w:t>
      </w:r>
    </w:p>
    <w:p>
      <w:pPr>
        <w:spacing w:after="0" w:line="175" w:lineRule="exact"/>
        <w:rPr>
          <w:sz w:val="20"/>
          <w:szCs w:val="20"/>
          <w:color w:val="auto"/>
        </w:rPr>
      </w:pPr>
    </w:p>
    <w:p>
      <w:pPr>
        <w:jc w:val="both"/>
        <w:ind w:firstLine="332"/>
        <w:spacing w:after="0" w:line="257" w:lineRule="auto"/>
        <w:tabs>
          <w:tab w:leader="none" w:pos="5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holding the Special Meeting in lieu of our 2022 annual meeting of stockholders. Pursuant to our Charter, the initial term of office of the Company’s Class I directors would otherwise expire at our 2022 annual meeting of stockholders. Accordingly, our stockholders are also being asked to elect three Class I directors to serve on the Board each for a three-year term or until such director’s successor has been duly elected and qualified, or until such director’s earlier death, resignation, retirement or removal. Please see the section entitled “</w:t>
      </w:r>
      <w:r>
        <w:rPr>
          <w:rFonts w:ascii="Arial" w:cs="Arial" w:eastAsia="Arial" w:hAnsi="Arial"/>
          <w:sz w:val="18"/>
          <w:szCs w:val="18"/>
          <w:i w:val="1"/>
          <w:iCs w:val="1"/>
          <w:color w:val="auto"/>
        </w:rPr>
        <w:t>Proposal No. 5 - The Class I Director Election Proposal</w:t>
      </w:r>
      <w:r>
        <w:rPr>
          <w:rFonts w:ascii="Arial" w:cs="Arial" w:eastAsia="Arial" w:hAnsi="Arial"/>
          <w:sz w:val="18"/>
          <w:szCs w:val="18"/>
          <w:color w:val="auto"/>
        </w:rPr>
        <w:t>” for additional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firstLine="332"/>
        <w:spacing w:after="0" w:line="293" w:lineRule="auto"/>
        <w:tabs>
          <w:tab w:leader="none" w:pos="5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our bylaws or other governing documents or law require stockholder ratification of the appointment of Ernst &amp; Young LLP, as the Company’s independent registered public accounting firm. However, the Board is submitting the appointment of Ernst &amp; Young LLP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Please see the section entitled “</w:t>
      </w:r>
      <w:r>
        <w:rPr>
          <w:rFonts w:ascii="Arial" w:cs="Arial" w:eastAsia="Arial" w:hAnsi="Arial"/>
          <w:sz w:val="16"/>
          <w:szCs w:val="16"/>
          <w:i w:val="1"/>
          <w:iCs w:val="1"/>
          <w:color w:val="auto"/>
        </w:rPr>
        <w:t>Proposal No. 6 - The Auditor Ratification Proposal</w:t>
      </w:r>
      <w:r>
        <w:rPr>
          <w:rFonts w:ascii="Arial" w:cs="Arial" w:eastAsia="Arial" w:hAnsi="Arial"/>
          <w:sz w:val="16"/>
          <w:szCs w:val="16"/>
          <w:color w:val="auto"/>
        </w:rPr>
        <w:t>” for additional information.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firstLine="332"/>
        <w:spacing w:after="0" w:line="286" w:lineRule="auto"/>
        <w:tabs>
          <w:tab w:leader="none" w:pos="5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any of the proposals presented at the Special Meeting. Please see the section entitled “</w:t>
      </w:r>
      <w:r>
        <w:rPr>
          <w:rFonts w:ascii="Arial" w:cs="Arial" w:eastAsia="Arial" w:hAnsi="Arial"/>
          <w:sz w:val="17"/>
          <w:szCs w:val="17"/>
          <w:i w:val="1"/>
          <w:iCs w:val="1"/>
          <w:color w:val="auto"/>
        </w:rPr>
        <w:t>Proposal No. 7 - The Adjournment Proposal</w:t>
      </w:r>
      <w:r>
        <w:rPr>
          <w:rFonts w:ascii="Arial" w:cs="Arial" w:eastAsia="Arial" w:hAnsi="Arial"/>
          <w:sz w:val="17"/>
          <w:szCs w:val="17"/>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happens if I sell my shares of Class A common stock before the Special Meeting?</w:t>
      </w:r>
    </w:p>
    <w:p>
      <w:pPr>
        <w:spacing w:after="0" w:line="175" w:lineRule="exact"/>
        <w:rPr>
          <w:sz w:val="20"/>
          <w:szCs w:val="20"/>
          <w:color w:val="auto"/>
        </w:rPr>
      </w:pPr>
    </w:p>
    <w:p>
      <w:pPr>
        <w:jc w:val="both"/>
        <w:ind w:firstLine="332"/>
        <w:spacing w:after="0" w:line="259" w:lineRule="auto"/>
        <w:tabs>
          <w:tab w:leader="none" w:pos="5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Acquisition is expected to be completed. If you transfer your shares of Class A common stock after the record date, but before the Special Meeting, unless the transferee obtains from you a proxy to vote those shares, you will retain your right to vote at the Special Meeting. If you transfer your shares of Class A common stock prior to the record date, you will have no right to vote those shares at the Special Meeting.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firstLine="332"/>
        <w:spacing w:after="0" w:line="257" w:lineRule="auto"/>
        <w:tabs>
          <w:tab w:leader="none" w:pos="5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and broker non-votes will be counted as present for the purpose of determining a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firstLine="332"/>
        <w:spacing w:after="0" w:line="257" w:lineRule="auto"/>
        <w:tabs>
          <w:tab w:leader="none" w:pos="549"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1 - The Stock Consideration Issuance Proposal: </w:t>
      </w:r>
      <w:r>
        <w:rPr>
          <w:rFonts w:ascii="Arial" w:cs="Arial" w:eastAsia="Arial" w:hAnsi="Arial"/>
          <w:sz w:val="18"/>
          <w:szCs w:val="18"/>
          <w:color w:val="auto"/>
        </w:rPr>
        <w:t>The approval of the Stock Consideration Issuance Proposal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 or represented by proxy and entitled to vote at the Special Meeting. Accordingly, under Delaware law, a Company stockholder’s failure to vote, as well as an abstention from voting and a broker non-vote, will have no effect on the Stock Consideration Issuance Proposal. Abstentions and broker non-votes will be counted in connection with the determination of whether a valid quorum is established.</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Proposal No. 2 - The PIPE Investment Proposal: </w:t>
      </w:r>
      <w:r>
        <w:rPr>
          <w:rFonts w:ascii="Arial" w:cs="Arial" w:eastAsia="Arial" w:hAnsi="Arial"/>
          <w:sz w:val="17"/>
          <w:szCs w:val="17"/>
          <w:color w:val="auto"/>
        </w:rPr>
        <w:t>The approval of the PIPE Investment Proposal requires the affirmative vote of a majority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Proposal No. 3 - The Special Designee Director Election Proposal </w:t>
      </w:r>
      <w:r>
        <w:rPr>
          <w:rFonts w:ascii="Arial" w:cs="Arial" w:eastAsia="Arial" w:hAnsi="Arial"/>
          <w:sz w:val="18"/>
          <w:szCs w:val="18"/>
          <w:color w:val="auto"/>
        </w:rPr>
        <w:t>- The approval of the Special Designee Director Election Proposal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Election Proposal. Abstentions and broker non-votes will be counted in connection with the determination of whether a valid quorum is established.</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Proposal No. 4 - The Charter Amendment Proposal: </w:t>
      </w:r>
      <w:r>
        <w:rPr>
          <w:rFonts w:ascii="Arial" w:cs="Arial" w:eastAsia="Arial" w:hAnsi="Arial"/>
          <w:sz w:val="16"/>
          <w:szCs w:val="16"/>
          <w:color w:val="auto"/>
        </w:rPr>
        <w:t>The approval of the Charter Amendment Proposal requires the affirmative vote of holders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outstanding shares of Class A common stock entitled to vote at the Special Meeting. Accordingly, a Company stockholder’s failure to vote, as well as an abstention from voting and a broker non-vote,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Charter Amendment Proposal.</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Proposal No. 5 - The Class I Director Election Proposal </w:t>
      </w:r>
      <w:r>
        <w:rPr>
          <w:rFonts w:ascii="Arial" w:cs="Arial" w:eastAsia="Arial" w:hAnsi="Arial"/>
          <w:sz w:val="17"/>
          <w:szCs w:val="17"/>
          <w:color w:val="auto"/>
        </w:rPr>
        <w:t>- The approval of the Class I Director Election Proposal requires the affirmative vote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the votes cast by the stockholders present in person or represented by proxy and entitled to vote at the Special Meeting. Accordingly, under Delaware law, a Company stockholder’s failure to vote, as well as an abstention and broker non-vote, will have no effect on the Class I Director Election Proposal. Abstentions and broker non-votes will be counted in connection with the determination of whether a valid quorum is established.</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Proposal No. 6 - The Auditor Ratification Proposal </w:t>
      </w:r>
      <w:r>
        <w:rPr>
          <w:rFonts w:ascii="Arial" w:cs="Arial" w:eastAsia="Arial" w:hAnsi="Arial"/>
          <w:sz w:val="16"/>
          <w:szCs w:val="16"/>
          <w:color w:val="auto"/>
        </w:rPr>
        <w:t>- The approval of the Auditor Ratification Proposal requires the affirmative vote of a majority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votes cast by the stockholders present in person or represented by proxy and entitled to vote at the Special Meeting. Accordingly, under Delaware law, a Company stockholder’s failure to vote, as well as an abstention and broker non-vote, will have no effect on the Auditor Ratification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Proposal. Abstentions and broker non-votes will be counted in connection with the determination of whether a valid quorum is established.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Proposal No. 7 - The Adjournment Proposal: </w:t>
      </w:r>
      <w:r>
        <w:rPr>
          <w:rFonts w:ascii="Arial" w:cs="Arial" w:eastAsia="Arial" w:hAnsi="Arial"/>
          <w:sz w:val="18"/>
          <w:szCs w:val="18"/>
          <w:color w:val="auto"/>
        </w:rPr>
        <w:t>The approval of the Adjournment Proposal requires the affirmative vote of a majority of the votes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Our stockholders are entitled to one vote on each proposal presented at the Special Meeting for each share of Class A common stock held of record as of [ ], the record date for the Special Meeting. As of the close of business on the record date, there were [ ] outstanding shares of our Class A common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340"/>
        <w:spacing w:after="0"/>
        <w:tabs>
          <w:tab w:leader="none" w:pos="3680" w:val="left"/>
        </w:tabs>
        <w:rPr>
          <w:sz w:val="20"/>
          <w:szCs w:val="20"/>
          <w:color w:val="auto"/>
        </w:rPr>
      </w:pPr>
      <w:r>
        <w:rPr>
          <w:rFonts w:ascii="Arial" w:cs="Arial" w:eastAsia="Arial" w:hAnsi="Arial"/>
          <w:sz w:val="18"/>
          <w:szCs w:val="18"/>
          <w:color w:val="auto"/>
        </w:rPr>
        <w:t>A: If you were a stockholder of record on [</w:t>
      </w:r>
      <w:r>
        <w:rPr>
          <w:sz w:val="20"/>
          <w:szCs w:val="20"/>
          <w:color w:val="auto"/>
        </w:rPr>
        <w:tab/>
      </w:r>
      <w:r>
        <w:rPr>
          <w:rFonts w:ascii="Arial" w:cs="Arial" w:eastAsia="Arial" w:hAnsi="Arial"/>
          <w:sz w:val="16"/>
          <w:szCs w:val="16"/>
          <w:color w:val="auto"/>
        </w:rPr>
        <w:t>], you may vote by granting a proxy. Specifically, you may vote: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By Mail - You may vote by mail by completing, signing, dating and returning the enclosed proxy card in the postage-paid envelope provided.</w:t>
      </w:r>
    </w:p>
    <w:p>
      <w:pPr>
        <w:spacing w:after="0" w:line="35" w:lineRule="exact"/>
        <w:rPr>
          <w:sz w:val="20"/>
          <w:szCs w:val="20"/>
          <w:color w:val="auto"/>
        </w:rPr>
      </w:pPr>
    </w:p>
    <w:p>
      <w:pPr>
        <w:ind w:left="660"/>
        <w:spacing w:after="0"/>
        <w:tabs>
          <w:tab w:leader="none" w:pos="6620" w:val="left"/>
        </w:tabs>
        <w:rPr>
          <w:sz w:val="20"/>
          <w:szCs w:val="20"/>
          <w:color w:val="auto"/>
        </w:rPr>
      </w:pPr>
      <w:r>
        <w:rPr>
          <w:rFonts w:ascii="Arial" w:cs="Arial" w:eastAsia="Arial" w:hAnsi="Arial"/>
          <w:sz w:val="17"/>
          <w:szCs w:val="17"/>
          <w:b w:val="1"/>
          <w:bCs w:val="1"/>
          <w:color w:val="auto"/>
        </w:rPr>
        <w:t>Votes submitted by mail must be received by 11:59 pm Eastern time on [</w:t>
      </w:r>
      <w:r>
        <w:rPr>
          <w:sz w:val="20"/>
          <w:szCs w:val="20"/>
          <w:color w:val="auto"/>
        </w:rPr>
        <w:tab/>
      </w:r>
      <w:r>
        <w:rPr>
          <w:rFonts w:ascii="Arial" w:cs="Arial" w:eastAsia="Arial" w:hAnsi="Arial"/>
          <w:sz w:val="16"/>
          <w:szCs w:val="16"/>
          <w:b w:val="1"/>
          <w:bCs w:val="1"/>
          <w:color w:val="auto"/>
        </w:rPr>
        <w:t>].</w:t>
      </w:r>
    </w:p>
    <w:p>
      <w:pPr>
        <w:spacing w:after="0" w:line="16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Internet - You may vote through the Internet using the procedures and instructions described on the proxy card.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virtually so that your shares will be voted if you are unable to attend the Special Meeting.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Voting at the Special Meeting - We will be hosting the Special Meeting via live webcast. If you attend the Special Meeting, you may submit your vote at the Special Meeting online at https://www.cstproxy.com/sema4/2022, in which case any votes that you previously submitted will be superseded by the vote that you cast at the Special Meeting.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firstLine="332"/>
        <w:spacing w:after="0" w:line="258" w:lineRule="auto"/>
        <w:tabs>
          <w:tab w:leader="none" w:pos="5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Stock Consideration Issuance Proposal, the PIPE Investment Proposal, the Special Designee Director Election Proposal, the Class I Director Election Proposal, the Auditor Ratification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firstLine="332"/>
        <w:spacing w:after="0" w:line="266" w:lineRule="auto"/>
        <w:tabs>
          <w:tab w:leader="none" w:pos="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jc w:val="both"/>
        <w:ind w:firstLine="332"/>
        <w:spacing w:after="0" w:line="296" w:lineRule="auto"/>
        <w:tabs>
          <w:tab w:leader="none" w:pos="5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Yes. Whether you plan to attend the Special Meeting or not, please read the enclosed proxy statement carefully. If you are a stockholder of record of our Class A common stock as of the close of business on the record date, you can vote by proxy by mail or through the Internet by following the instructions provided in the enclosed proxy card. Please note that if you are a beneficial owner of our Class 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firstLine="332"/>
        <w:spacing w:after="0" w:line="257" w:lineRule="auto"/>
        <w:tabs>
          <w:tab w:leader="none" w:pos="5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firstLine="332"/>
        <w:spacing w:after="0" w:line="263" w:lineRule="auto"/>
        <w:tabs>
          <w:tab w:leader="none" w:pos="5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believe that all of the proposals presented to the stockholders at this Special Meeting will be considered non-routine, other than the Auditor Ratification Proposal, and, therefore, your broker, bank, or nominee </w:t>
      </w:r>
      <w:r>
        <w:rPr>
          <w:rFonts w:ascii="Arial" w:cs="Arial" w:eastAsia="Arial" w:hAnsi="Arial"/>
          <w:sz w:val="18"/>
          <w:szCs w:val="18"/>
          <w:b w:val="1"/>
          <w:bCs w:val="1"/>
          <w:u w:val="single" w:color="auto"/>
          <w:color w:val="auto"/>
        </w:rPr>
        <w:t>cannot vote your shares without your instruction</w:t>
      </w:r>
      <w:r>
        <w:rPr>
          <w:rFonts w:ascii="Arial" w:cs="Arial" w:eastAsia="Arial" w:hAnsi="Arial"/>
          <w:sz w:val="18"/>
          <w:szCs w:val="18"/>
          <w:color w:val="auto"/>
        </w:rPr>
        <w:t xml:space="preserve"> on any of the proposals presented at the Special Meeting other than the Auditor Ratification Proposal. Broker non-votes will be counted for the purposes of determining the existence of a quorum but they will not be counted for purposes of determining the number of votes cast at the Special Meeting. Except with respect to the Auditor Ratification Proposal, your bank, broker, or other nominee can vote your shares only if you provide instructions on how to vote. You should instruct your broker to vote your shares in accordance with directions you provide.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right="20" w:firstLine="332"/>
        <w:spacing w:after="0" w:line="282" w:lineRule="auto"/>
        <w:tabs>
          <w:tab w:leader="none" w:pos="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 but will not have any effect on the outcome of any other proposals.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firstLine="332"/>
        <w:spacing w:after="0" w:line="277" w:lineRule="auto"/>
        <w:tabs>
          <w:tab w:leader="none" w:pos="5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Yes. If you are a holder of record of our Class A common stock as of the close of business on the Record Date, whether you vote by mail, through the Internet or by telephone you can change or revoke your proxy before it is voted at the Special Meeting by:</w:t>
      </w:r>
    </w:p>
    <w:p>
      <w:pPr>
        <w:spacing w:after="0" w:line="116" w:lineRule="exact"/>
        <w:rPr>
          <w:sz w:val="20"/>
          <w:szCs w:val="20"/>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Sema4 Holdings Corp., 333 Ludlow Street, North Tower, 8th Floor, Stamford, Connecticut 06902,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left="340"/>
        <w:spacing w:after="0"/>
        <w:tabs>
          <w:tab w:leader="none" w:pos="640" w:val="left"/>
          <w:tab w:leader="none" w:pos="6860" w:val="left"/>
        </w:tabs>
        <w:rPr>
          <w:sz w:val="20"/>
          <w:szCs w:val="20"/>
          <w:color w:val="auto"/>
        </w:rPr>
      </w:pPr>
      <w:r>
        <w:rPr>
          <w:rFonts w:ascii="Arial" w:cs="Arial" w:eastAsia="Arial" w:hAnsi="Arial"/>
          <w:sz w:val="18"/>
          <w:szCs w:val="18"/>
          <w:color w:val="auto"/>
        </w:rPr>
        <w:t>•</w:t>
        <w:tab/>
        <w:t>submitting another proxy over the Internet prior to 11:59 p.m., Eastern Time on [</w:t>
      </w:r>
      <w:r>
        <w:rPr>
          <w:sz w:val="20"/>
          <w:szCs w:val="20"/>
          <w:color w:val="auto"/>
        </w:rPr>
        <w:tab/>
      </w:r>
      <w:r>
        <w:rPr>
          <w:rFonts w:ascii="Arial" w:cs="Arial" w:eastAsia="Arial" w:hAnsi="Arial"/>
          <w:sz w:val="17"/>
          <w:szCs w:val="17"/>
          <w:color w:val="auto"/>
        </w:rPr>
        <w:t>]; or</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are a beneficial owner of our Class A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firstLine="332"/>
        <w:spacing w:after="0" w:line="257" w:lineRule="auto"/>
        <w:tabs>
          <w:tab w:leader="none" w:pos="5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will the Company’s directors and officers vote?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Company’s directors and officers will vote affirmatively in favor of each of the proposals.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Do I have appraisal rights if I object to the proposed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 Appraisal rights are not available to holders of our Class A common stock in connection with the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happens if the Stock Consideration Issuance Proposal or the Charter Amendment Proposal is not approved?</w:t>
      </w:r>
    </w:p>
    <w:p>
      <w:pPr>
        <w:spacing w:after="0" w:line="175" w:lineRule="exact"/>
        <w:rPr>
          <w:sz w:val="20"/>
          <w:szCs w:val="20"/>
          <w:color w:val="auto"/>
        </w:rPr>
      </w:pPr>
    </w:p>
    <w:p>
      <w:pPr>
        <w:jc w:val="both"/>
        <w:ind w:firstLine="332"/>
        <w:spacing w:after="0" w:line="311"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Stock Consideration Issuance Proposal and the Charter Amendment Proposal are not approved (including following any adjournments) and we do not consummate the Acquisition by August 14, 2022 (which date may be extended, by either our or OPKO’s written notice, to October 14, 2022 if, as of the August 14, 2022, any one of certain conditions have not been met) (the “</w:t>
      </w:r>
      <w:r>
        <w:rPr>
          <w:rFonts w:ascii="Arial" w:cs="Arial" w:eastAsia="Arial" w:hAnsi="Arial"/>
          <w:sz w:val="16"/>
          <w:szCs w:val="16"/>
          <w:i w:val="1"/>
          <w:iCs w:val="1"/>
          <w:color w:val="auto"/>
        </w:rPr>
        <w:t>termination date</w:t>
      </w:r>
      <w:r>
        <w:rPr>
          <w:rFonts w:ascii="Arial" w:cs="Arial" w:eastAsia="Arial" w:hAnsi="Arial"/>
          <w:sz w:val="16"/>
          <w:szCs w:val="16"/>
          <w:color w:val="auto"/>
        </w:rPr>
        <w:t>”), then we will be unable to complete the Acquisition.</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Can the Acquisition be terminated or otherwise not be consummated?</w:t>
      </w:r>
    </w:p>
    <w:p>
      <w:pPr>
        <w:spacing w:after="0" w:line="175" w:lineRule="exact"/>
        <w:rPr>
          <w:sz w:val="20"/>
          <w:szCs w:val="20"/>
          <w:color w:val="auto"/>
        </w:rPr>
      </w:pPr>
    </w:p>
    <w:p>
      <w:pPr>
        <w:ind w:firstLine="332"/>
        <w:spacing w:after="0" w:line="277" w:lineRule="auto"/>
        <w:tabs>
          <w:tab w:leader="none" w:pos="5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certain circumstances under which the Merger Agreement may be terminated.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for information regarding the parties’ specific termination rights.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When is the Acquisition expected to be completed?</w:t>
      </w:r>
    </w:p>
    <w:p>
      <w:pPr>
        <w:spacing w:after="0" w:line="175" w:lineRule="exact"/>
        <w:rPr>
          <w:sz w:val="20"/>
          <w:szCs w:val="20"/>
          <w:color w:val="auto"/>
        </w:rPr>
      </w:pPr>
    </w:p>
    <w:p>
      <w:pPr>
        <w:jc w:val="both"/>
        <w:ind w:firstLine="332"/>
        <w:spacing w:after="0" w:line="263" w:lineRule="auto"/>
        <w:tabs>
          <w:tab w:leader="none" w:pos="5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closing of the Acquisition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Conditions to Closing of the Acquisition</w:t>
      </w:r>
      <w:r>
        <w:rPr>
          <w:rFonts w:ascii="Arial" w:cs="Arial" w:eastAsia="Arial" w:hAnsi="Arial"/>
          <w:sz w:val="18"/>
          <w:szCs w:val="18"/>
          <w:color w:val="auto"/>
        </w:rPr>
        <w:t>.” The closing is expected to occur in the second quarter of 2022.</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a description of the conditions to the completion of the Acquisition,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Acquisition</w:t>
      </w:r>
      <w:r>
        <w:rPr>
          <w:rFonts w:ascii="Arial" w:cs="Arial" w:eastAsia="Arial" w:hAnsi="Arial"/>
          <w:sz w:val="18"/>
          <w:szCs w:val="18"/>
          <w:color w:val="auto"/>
        </w:rPr>
        <w: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firstLine="332"/>
        <w:spacing w:after="0" w:line="259" w:lineRule="auto"/>
        <w:tabs>
          <w:tab w:leader="none" w:pos="5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Transactions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firstLine="332"/>
        <w:spacing w:after="0" w:line="291"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$7,500,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Class A common stock for their expenses in forwarding soliciting materials to beneficial owners of the Company’s Class A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Ludlow Street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Investors@Sema4.com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Sema4@dfking.com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have questions regarding the certification of your position or delivery of your stock, please contact our Transfer Agent: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Henry Farrell &amp; Margaret Lloyd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hfarrell@continentalstock.com &amp; mlloyd@continentalstock.com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Term Sheet</w:t>
      </w:r>
      <w:r>
        <w:rPr>
          <w:rFonts w:ascii="Arial" w:cs="Arial" w:eastAsia="Arial" w:hAnsi="Arial"/>
          <w:sz w:val="18"/>
          <w:szCs w:val="18"/>
          <w:color w:val="auto"/>
        </w:rPr>
        <w:t>,” summarizes certain information contained in this proxy statement, but does not contain all of the information that is important to you. You should carefully read this entire proxy statement, including the attached Annexes, for a more complete understanding of the matters to be considered at the Special Meeting. Please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of this proxy statement. In addition, for definitions used commonly throughout this proxy statement,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otherwise specified, all share calculations in this proxy statement are based upon 242,647,604 shares of Class A common stock outstanding as of December 31, 2021 and exclude (i) shares of Class A common stock issuable upon the exercise or vesting of the Company’s outstanding warrants, options or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(ii) Earn-Out Shares issuable pursuant to the Prior Merger Agreement, and (iii) shares of Class A common stock issuable for future grant or issuance pursuant to the 2021 EIP or the ESPP. In addition, these share calculations assume (i) no outstanding warrants, options or RSUs were exercised or vested after December 31, 2021, (ii) no equity awards of shares of Class A common stock were granted or issued under the Prior Merger Agreement, the 2021 EIP or the ESPP after December 31, 2021, (iii) an equity raise of $200 million of gross proceeds from the PIPE Investment of 50 million shares of Class A common stock at $4.00 per share, and (iv) no issuance of shares of Class A common stock in connection with the Milestone Payments.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Meeting</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the Special Meeting, stockholders will be asked to, among other things, approve the issuance of shares of Class A common stock in connection with the Acquisition, approve the issuance of shares of Class A common stock in connection with the PIPE Investment and appoint two directors to the Board, Katherine Stueland and Richard C. Pfenniger, Jr., in connection with the consummation of the Acquisition. The Company believes the Acquisition will provide significant value to the Company and its stockholders, as the Company expects the addition of GeneDx to provide the Company with additional revenue, synergistic product offerings that provide breadth to the Company’s overall product portfolio, and additional key personnel with expertise in the Company’s sector.</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is asking stockholders to approve the Stock Consideration Issuance Proposal and the PIPE Investment Proposal in order to comply with Listing Rule 5635 of the Nasdaq Stock Market. The Company is not asking stockholders to approve the Acquisition or the PIPE Investment.</w:t>
      </w:r>
    </w:p>
    <w:p>
      <w:pPr>
        <w:spacing w:after="0" w:line="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the Company is holding the Special Meeting in lieu of its 2022 annual meeting of stockholders and, accordingly, stockholders will also be considering a proposal to elect three Class I directors, Eli D. Casdin, Joshua Ruch and Michael Pellini, for a three-year term to expire at the Company’s 2025 annual meeting of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Specifically, at the Special Meeting, the stockholders of the Company will be asked to vote on:</w:t>
      </w:r>
    </w:p>
    <w:p>
      <w:pPr>
        <w:spacing w:after="0" w:line="171" w:lineRule="exact"/>
        <w:rPr>
          <w:sz w:val="20"/>
          <w:szCs w:val="20"/>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proposal to approve the issuance of the Company’s Class A common stock in connection with the Acquisition and as contemplated by the Merger Agreement for purposes of complying with applicable Nasdaq Listing Rules (</w:t>
      </w:r>
      <w:r>
        <w:rPr>
          <w:rFonts w:ascii="Arial" w:cs="Arial" w:eastAsia="Arial" w:hAnsi="Arial"/>
          <w:sz w:val="18"/>
          <w:szCs w:val="18"/>
          <w:i w:val="1"/>
          <w:iCs w:val="1"/>
          <w:color w:val="auto"/>
        </w:rPr>
        <w:t>Proposal No. 1 – The Stock Consideration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proposal to approve the issuance of the Company’s Class A common stock in connection with the PIPE Investment and as contemplated by the Subscription Agreements for purposes of complying with the Nasdaq Listing Rules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proposal to, Assuming the Stock Consideration Issuance Proposal and the Charter Amendment Proposal are approved and adopted and the Acquisition is consummated, to appoint two directors who will become directors of the Company effective upon the consummation of the Acquisition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adopt the Amendment to the Charter, which increases the number of authorized shares of Class A common stock from 380,000,000 to 1,000,000,000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proposal to elect three Class I directors of the Company, each to serve a three-year term expiring at the Company’s 2025 annual meeting of stockholders and until such director’s successor is duly elected and qualified (</w:t>
      </w:r>
      <w:r>
        <w:rPr>
          <w:rFonts w:ascii="Arial" w:cs="Arial" w:eastAsia="Arial" w:hAnsi="Arial"/>
          <w:sz w:val="17"/>
          <w:szCs w:val="17"/>
          <w:i w:val="1"/>
          <w:iCs w:val="1"/>
          <w:color w:val="auto"/>
        </w:rPr>
        <w:t>Proposal No. 5 – The Class I Director Election Proposal</w:t>
      </w:r>
      <w:r>
        <w:rPr>
          <w:rFonts w:ascii="Arial" w:cs="Arial" w:eastAsia="Arial" w:hAnsi="Arial"/>
          <w:sz w:val="17"/>
          <w:szCs w:val="17"/>
          <w:color w:val="auto"/>
        </w:rPr>
        <w:t xml:space="preserve"> );</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fiscal year ending December 31, 2022 (</w:t>
      </w:r>
      <w:r>
        <w:rPr>
          <w:rFonts w:ascii="Arial" w:cs="Arial" w:eastAsia="Arial" w:hAnsi="Arial"/>
          <w:sz w:val="18"/>
          <w:szCs w:val="18"/>
          <w:i w:val="1"/>
          <w:iCs w:val="1"/>
          <w:color w:val="auto"/>
        </w:rPr>
        <w:t>Proposal No. 6 – The Auditor Ratification Proposal</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any of the proposals presented at the Special Meeting (</w:t>
      </w:r>
      <w:r>
        <w:rPr>
          <w:rFonts w:ascii="Arial" w:cs="Arial" w:eastAsia="Arial" w:hAnsi="Arial"/>
          <w:sz w:val="18"/>
          <w:szCs w:val="18"/>
          <w:i w:val="1"/>
          <w:iCs w:val="1"/>
          <w:color w:val="auto"/>
        </w:rPr>
        <w:t>Proposal No. 7 – The Adjournment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1 – The Stock Consideration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2 - The PIPE Investment Proposal</w:t>
      </w:r>
      <w:r>
        <w:rPr>
          <w:rFonts w:ascii="Arial" w:cs="Arial" w:eastAsia="Arial" w:hAnsi="Arial"/>
          <w:sz w:val="18"/>
          <w:szCs w:val="18"/>
          <w:color w:val="auto"/>
        </w:rPr>
        <w:t>,”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 “</w:t>
      </w:r>
      <w:r>
        <w:rPr>
          <w:rFonts w:ascii="Arial" w:cs="Arial" w:eastAsia="Arial" w:hAnsi="Arial"/>
          <w:sz w:val="18"/>
          <w:szCs w:val="18"/>
          <w:i w:val="1"/>
          <w:iCs w:val="1"/>
          <w:color w:val="auto"/>
        </w:rPr>
        <w:t>Proposal No. 5 - The Class I</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6 - The Auditor Ratification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7 - The Adjournment Proposal</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was formed in October 2015 as Mount Sinai Genomics, Inc. (“</w:t>
      </w:r>
      <w:r>
        <w:rPr>
          <w:rFonts w:ascii="Arial" w:cs="Arial" w:eastAsia="Arial" w:hAnsi="Arial"/>
          <w:sz w:val="18"/>
          <w:szCs w:val="18"/>
          <w:i w:val="1"/>
          <w:iCs w:val="1"/>
          <w:color w:val="auto"/>
        </w:rPr>
        <w:t>Legacy Sema4</w:t>
      </w:r>
      <w:r>
        <w:rPr>
          <w:rFonts w:ascii="Arial" w:cs="Arial" w:eastAsia="Arial" w:hAnsi="Arial"/>
          <w:sz w:val="18"/>
          <w:szCs w:val="18"/>
          <w:color w:val="auto"/>
        </w:rPr>
        <w:t>”), a Delaware corporation, doing business as Sema4, and commenced operations in 2017. On July 22, 2021, Legacy Sema4 completed its business combination with CM Life Sciences, Inc. (“</w:t>
      </w:r>
      <w:r>
        <w:rPr>
          <w:rFonts w:ascii="Arial" w:cs="Arial" w:eastAsia="Arial" w:hAnsi="Arial"/>
          <w:sz w:val="18"/>
          <w:szCs w:val="18"/>
          <w:i w:val="1"/>
          <w:iCs w:val="1"/>
          <w:color w:val="auto"/>
        </w:rPr>
        <w:t>CMLS</w:t>
      </w:r>
      <w:r>
        <w:rPr>
          <w:rFonts w:ascii="Arial" w:cs="Arial" w:eastAsia="Arial" w:hAnsi="Arial"/>
          <w:sz w:val="18"/>
          <w:szCs w:val="18"/>
          <w:color w:val="auto"/>
        </w:rPr>
        <w:t>”), a publicly held company, pursuant to which, CMLS acquired Legacy Sema4, with Legacy Sema4 surviving as a wholly-owned subsidiary of CMLS. In connection with the merger, CMLS changed its name to Sema4 Holdings Corp.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47 petabytes of data per month, growing by more than 1 petabyte per month, and maintaining a database that includes 12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Merger Sub I, a Delaware corporation, is a wholly-owned subsidiary of the Company, formed by the Company in January 2022, to consummate the Acquisition. In the Acquisition, Merger Sub I will merge with and into HoldCo, with HoldCo as the surviving corporation in the First Merger.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mailing address of Merger Sub I’s principal executive office is 333 Ludlow Street, North Tower, 8th Floor, Stamford, Connecticut 06902.</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Merger Sub II, a Delaware corporation, is a wholly-owned subsidiary of the Company, formed by the Company in January 2022, to consummate the Acquisition. In the Acquisition, HoldCo, as the surviving corporation in the First Merger, will merge with and into Merger Sub II, with Merger Sub II as the surviving company.</w:t>
      </w:r>
    </w:p>
    <w:p>
      <w:pPr>
        <w:spacing w:after="0" w:line="130" w:lineRule="exact"/>
        <w:rPr>
          <w:sz w:val="20"/>
          <w:szCs w:val="20"/>
          <w:color w:val="auto"/>
        </w:rPr>
      </w:pPr>
    </w:p>
    <w:p>
      <w:pPr>
        <w:ind w:right="640" w:firstLine="324"/>
        <w:spacing w:after="0" w:line="438" w:lineRule="auto"/>
        <w:rPr>
          <w:sz w:val="20"/>
          <w:szCs w:val="20"/>
          <w:color w:val="auto"/>
        </w:rPr>
      </w:pPr>
      <w:r>
        <w:rPr>
          <w:rFonts w:ascii="Arial" w:cs="Arial" w:eastAsia="Arial" w:hAnsi="Arial"/>
          <w:sz w:val="18"/>
          <w:szCs w:val="18"/>
          <w:color w:val="auto"/>
        </w:rPr>
        <w:t xml:space="preserve">The mailing address of Merger Sub II’s principal executive office is 333 Ludlow Street, North Tower, 8th Floor, Stamford, Connecticut 06902. </w:t>
      </w:r>
      <w:r>
        <w:rPr>
          <w:rFonts w:ascii="Arial" w:cs="Arial" w:eastAsia="Arial" w:hAnsi="Arial"/>
          <w:sz w:val="18"/>
          <w:szCs w:val="18"/>
          <w:b w:val="1"/>
          <w:bCs w:val="1"/>
          <w:i w:val="1"/>
          <w:iCs w:val="1"/>
          <w:color w:val="auto"/>
        </w:rPr>
        <w:t>HoldCo</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GeneDx Holding 2, Inc., a Delaware corporation, is a wholly owned subsidiary of OPKO, formed by OPKO, to consummate the Mergers. The mailing address of HoldCo’s principal executive offices is c/o OPKO Health, Inc., 4400 Biscayne Blvd, Miami, FL 33137.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 a New Jersey corporation and wholly-owned subsidiary of OPKO,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GeneDx’s principal executive office is 207 Perry Parkway, Gaithersburg, MD 20877.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OPKO</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OPKO, a Delaware corporation, is a multinational biopharmaceutical and diagnostics company that seeks to establish industry-leading positions in large, rapidly growing markets by leveraging its discovery, development, and commercialization expertise and novel and proprietary technologies. GeneDx is currently an indirect wholly owned subsidiary of OPKO. The mailing address of OPKO’s principal executive offices is 4400 Biscayne Blvd, Miami, FL 33137.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14, 2022, the Company and Merger Subs entered into the Merger Agreement with GeneDx, OPKO and HoldCo. Pursuant to the terms of the Merger Agreement, Merger Sub I will merge with and into HoldCo (the “</w:t>
      </w:r>
      <w:r>
        <w:rPr>
          <w:rFonts w:ascii="Arial" w:cs="Arial" w:eastAsia="Arial" w:hAnsi="Arial"/>
          <w:sz w:val="17"/>
          <w:szCs w:val="17"/>
          <w:i w:val="1"/>
          <w:iCs w:val="1"/>
          <w:color w:val="auto"/>
        </w:rPr>
        <w:t>First Merger</w:t>
      </w:r>
      <w:r>
        <w:rPr>
          <w:rFonts w:ascii="Arial" w:cs="Arial" w:eastAsia="Arial" w:hAnsi="Arial"/>
          <w:sz w:val="17"/>
          <w:szCs w:val="17"/>
          <w:color w:val="auto"/>
        </w:rPr>
        <w:t>”), with HoldCo being the surviving entity of the First Merger and following the First Merger, HoldCo will merge with and into Merger Sub II, with Merger Sub II being the surviving entity of this second merger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 For more information about the transactions contemplated by the Merger Agreement,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Copy of the Merger Agreement is attached to this proxy statement as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OPKO</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(collectively, clauses (i) through (ii),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$150 million in cash at the closing of the Acquisition (the “</w:t>
      </w:r>
      <w:r>
        <w:rPr>
          <w:rFonts w:ascii="Arial" w:cs="Arial" w:eastAsia="Arial" w:hAnsi="Arial"/>
          <w:sz w:val="16"/>
          <w:szCs w:val="16"/>
          <w:i w:val="1"/>
          <w:iCs w:val="1"/>
          <w:color w:val="auto"/>
        </w:rPr>
        <w:t>Closing</w:t>
      </w:r>
      <w:r>
        <w:rPr>
          <w:rFonts w:ascii="Arial" w:cs="Arial" w:eastAsia="Arial" w:hAnsi="Arial"/>
          <w:sz w:val="16"/>
          <w:szCs w:val="16"/>
          <w:color w:val="auto"/>
        </w:rPr>
        <w:t>”), subject to certain adjustments as provided in the Merger Agreement (the “</w:t>
      </w:r>
      <w:r>
        <w:rPr>
          <w:rFonts w:ascii="Arial" w:cs="Arial" w:eastAsia="Arial" w:hAnsi="Arial"/>
          <w:sz w:val="16"/>
          <w:szCs w:val="16"/>
          <w:i w:val="1"/>
          <w:iCs w:val="1"/>
          <w:color w:val="auto"/>
        </w:rPr>
        <w:t>Cash Consideration</w:t>
      </w:r>
      <w:r>
        <w:rPr>
          <w:rFonts w:ascii="Arial" w:cs="Arial" w:eastAsia="Arial" w:hAnsi="Arial"/>
          <w:sz w:val="16"/>
          <w:szCs w:val="16"/>
          <w:color w:val="auto"/>
        </w:rPr>
        <w:t>”) and (ii) 80,000,000 shares of Class A common stock (the “</w:t>
      </w:r>
      <w:r>
        <w:rPr>
          <w:rFonts w:ascii="Arial" w:cs="Arial" w:eastAsia="Arial" w:hAnsi="Arial"/>
          <w:sz w:val="16"/>
          <w:szCs w:val="16"/>
          <w:i w:val="1"/>
          <w:iCs w:val="1"/>
          <w:color w:val="auto"/>
        </w:rPr>
        <w:t>Stock Consideration</w:t>
      </w:r>
      <w:r>
        <w:rPr>
          <w:rFonts w:ascii="Arial" w:cs="Arial" w:eastAsia="Arial" w:hAnsi="Arial"/>
          <w:sz w:val="16"/>
          <w:szCs w:val="16"/>
          <w:color w:val="auto"/>
        </w:rPr>
        <w:t>”). As of the Effective Time, OPKO shall cease to have any other rights in and to HoldCo and each certificate relating to ownership of shares of HoldCo common stock will only represent the right to receive the applicable portion of the Merger Consideration.</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Company will pay up to $150 million payable following the Closing, if certain revenue-based milestones are achieved for each of the fiscal years ending December 31, 2022 and December 31, 2023 (the “</w:t>
      </w:r>
      <w:r>
        <w:rPr>
          <w:rFonts w:ascii="Arial" w:cs="Arial" w:eastAsia="Arial" w:hAnsi="Arial"/>
          <w:sz w:val="17"/>
          <w:szCs w:val="17"/>
          <w:i w:val="1"/>
          <w:iCs w:val="1"/>
          <w:color w:val="auto"/>
        </w:rPr>
        <w:t>Milestone Payments</w:t>
      </w:r>
      <w:r>
        <w:rPr>
          <w:rFonts w:ascii="Arial" w:cs="Arial" w:eastAsia="Arial" w:hAnsi="Arial"/>
          <w:sz w:val="17"/>
          <w:szCs w:val="17"/>
          <w:color w:val="auto"/>
        </w:rPr>
        <w:t>”).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Investment</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Concurrently with the execution of the Merger Agreement, the Company entered into the Subscription Agreements with the PIPE Investors. The PIPE Investors include certain existing equity holders of 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Company expects to fund the payment of the Cash Consideration in part with the net proceeds of the PIPE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entry into the Merger Agreement, we entered into Shareholder Agreements with OPKO and certain stockholders of OPKO (the “</w:t>
      </w:r>
      <w:r>
        <w:rPr>
          <w:rFonts w:ascii="Arial" w:cs="Arial" w:eastAsia="Arial" w:hAnsi="Arial"/>
          <w:sz w:val="16"/>
          <w:szCs w:val="16"/>
          <w:i w:val="1"/>
          <w:iCs w:val="1"/>
          <w:color w:val="auto"/>
        </w:rPr>
        <w:t>Lock-Up Holders</w:t>
      </w:r>
      <w:r>
        <w:rPr>
          <w:rFonts w:ascii="Arial" w:cs="Arial" w:eastAsia="Arial" w:hAnsi="Arial"/>
          <w:sz w:val="16"/>
          <w:szCs w:val="16"/>
          <w:color w:val="auto"/>
        </w:rPr>
        <w:t>”), pursuant to which OPKO and the Lock-Up 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w:t>
      </w:r>
      <w:r>
        <w:rPr>
          <w:rFonts w:ascii="Arial" w:cs="Arial" w:eastAsia="Arial" w:hAnsi="Arial"/>
          <w:sz w:val="16"/>
          <w:szCs w:val="16"/>
          <w:i w:val="1"/>
          <w:iCs w:val="1"/>
          <w:color w:val="auto"/>
        </w:rPr>
        <w:t>Lock-Up Period</w:t>
      </w:r>
      <w:r>
        <w:rPr>
          <w:rFonts w:ascii="Arial" w:cs="Arial" w:eastAsia="Arial" w:hAnsi="Arial"/>
          <w:sz w:val="16"/>
          <w:szCs w:val="16"/>
          <w:color w:val="auto"/>
        </w:rPr>
        <w:t>”). During this Lock-Up Period, the holders of Lock-Up Shares may not transfer any Lock-Up Shares or engage in any short sales or other hedging or derivative transactions, subject to certain limited exceptions. Following such Lock-Up Period, OPKO and the Lock-Up Holders have agreed to dispose of their Lock-Up Shares in a marketed sale process under certain circumstances for so long as they continue to hold at least 5% of the outstanding Class A common stock.</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OPKO and the Lock-Up Holders have further agreed to certain standstill provisions whereby, subject to certain exceptions, they are obligated to refrain from taking certain actions with respect to the Company’s Class A common stock. OPKO and the Lock-Up Holders have also agreed to vote their shares in accordance with the recommendations of the Board for so long as they continue to hold at least 5% of the outstanding Class A common stock. Further, Sema4 has also granted OPKO and the Lock-Up Holders certain customary shelf, piggyback and demand registration rights that require Sema4 to register their Lock-Up Shares for resale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Acquisition, the Company entered into the Subscription Agreements with the PIPE Investors, pursuant to which, among other things, the Company agreed to issue and sell to the PIPE Investors, in private placements to close immediately prior to the Closing, an aggregate of 50 million shares of Class A common stock at $4.00 per share, for an aggregate purchase price of $200 million. The obligations to consummate the subscriptions are conditioned upon, among other things, customary closing conditions and the consummation of the transactions contemplated by the Merger Agreement. The PIPE Investment will be consummated substantially concurrently with the Closing.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execution of the Merger Agreement, the Company entered into support agreements with certain of its stockholders, a copy of which is attached as Exhibit B to the Merger Agreement (the “</w:t>
      </w:r>
      <w:r>
        <w:rPr>
          <w:rFonts w:ascii="Arial" w:cs="Arial" w:eastAsia="Arial" w:hAnsi="Arial"/>
          <w:sz w:val="18"/>
          <w:szCs w:val="18"/>
          <w:i w:val="1"/>
          <w:iCs w:val="1"/>
          <w:color w:val="auto"/>
        </w:rPr>
        <w:t>Support Agreements</w:t>
      </w:r>
      <w:r>
        <w:rPr>
          <w:rFonts w:ascii="Arial" w:cs="Arial" w:eastAsia="Arial" w:hAnsi="Arial"/>
          <w:sz w:val="18"/>
          <w:szCs w:val="18"/>
          <w:color w:val="auto"/>
        </w:rPr>
        <w:t>”). These stockholders include stockholders that own more than 5% of the outstanding shares of Class A common stock and certain entities affiliated with the Company’s directors. Pursuant to the Support Agreements, such signatory stockholders have agreed to, among other things, vote to adopt and approve Proposals 1 through 4 and Proposal 7, subject to the terms and conditions of the Support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Transactions on the Company’s Class A common stock</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w:t>
      </w:r>
    </w:p>
    <w:p>
      <w:pPr>
        <w:spacing w:after="0" w:line="2" w:lineRule="exact"/>
        <w:rPr>
          <w:sz w:val="20"/>
          <w:szCs w:val="20"/>
          <w:color w:val="auto"/>
        </w:rPr>
      </w:pPr>
    </w:p>
    <w:p>
      <w:pPr>
        <w:ind w:firstLine="8"/>
        <w:spacing w:after="0" w:line="260" w:lineRule="auto"/>
        <w:tabs>
          <w:tab w:leader="none" w:pos="3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OPKO will own approximately 21.5% of the outstanding shares of Class A common stock. For more information, please see the section entitled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varying ownership levels in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Ownership (%)</w:t>
            </w:r>
          </w:p>
        </w:tc>
      </w:tr>
      <w:tr>
        <w:trPr>
          <w:trHeight w:val="229"/>
        </w:trPr>
        <w:tc>
          <w:tcPr>
            <w:tcW w:w="95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The Company’s stockholders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r>
      <w:tr>
        <w:trPr>
          <w:trHeight w:val="230"/>
        </w:trPr>
        <w:tc>
          <w:tcPr>
            <w:tcW w:w="9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PIPE Investors </w:t>
            </w:r>
            <w:r>
              <w:rPr>
                <w:rFonts w:ascii="Arial" w:cs="Arial" w:eastAsia="Arial" w:hAnsi="Arial"/>
                <w:sz w:val="23"/>
                <w:szCs w:val="23"/>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OPKO</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23"/>
        </w:trPr>
        <w:tc>
          <w:tcPr>
            <w:tcW w:w="95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shares of Class A common stock owned by PIPE Investors prior to the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shares of Class A common stock owned by PIPE Investors prior to the Transactions.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r>
        <w:rPr>
          <w:rFonts w:ascii="Arial" w:cs="Arial" w:eastAsia="Arial" w:hAnsi="Arial"/>
          <w:sz w:val="18"/>
          <w:szCs w:val="18"/>
          <w:i w:val="1"/>
          <w:iCs w:val="1"/>
          <w:color w:val="auto"/>
        </w:rPr>
        <w:t>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Acquisition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evaluating the Acquisition, the Board consulted with the Company’s management and legal counsel as well as financial and other advisors, and the Board considered and evaluated several factors. In particular, the Board considered, among other things, the following positive factors, although not weighted or in any order of significance:</w:t>
      </w:r>
    </w:p>
    <w:p>
      <w:pPr>
        <w:spacing w:after="0" w:line="130" w:lineRule="exact"/>
        <w:rPr>
          <w:sz w:val="20"/>
          <w:szCs w:val="20"/>
          <w:color w:val="auto"/>
        </w:rPr>
      </w:pPr>
    </w:p>
    <w:p>
      <w:pPr>
        <w:jc w:val="both"/>
        <w:ind w:left="660" w:hanging="328"/>
        <w:spacing w:after="0" w:line="273"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in Rare Diseases and Competitive Advantage of Data Asset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that GeneDx has an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ind w:left="328" w:hanging="328"/>
        <w:spacing w:after="0" w:line="263"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Strong Revenue Growth Profile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had estimated 2021 revenue of $116 million, representing 22% growth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and estimated 2021 test volume of 145,000, representing 29% over the prior year, as well as the anticipated growth reflected in the projections prepared by GeneDx management.</w:t>
      </w:r>
    </w:p>
    <w:p>
      <w:pPr>
        <w:spacing w:after="0" w:line="129"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Experienced Management, Commercial and Laboratory Operations Team With Deep Genetics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 experienced management and engineering team, 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spacing w:after="0" w:line="133"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Relationships with Health Systems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has entrenched relationships with leading hospitals, based on its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children’s hospitals in the United States.</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Growth and Business Opportunities of the Acquisition</w:t>
      </w:r>
      <w:r>
        <w:rPr>
          <w:rFonts w:ascii="Arial" w:cs="Arial" w:eastAsia="Arial" w:hAnsi="Arial"/>
          <w:sz w:val="18"/>
          <w:szCs w:val="18"/>
          <w:color w:val="auto"/>
        </w:rPr>
        <w:t>. The Board believed the Acquisition would create a market-leading, AI-driven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spacing w:after="0" w:line="133" w:lineRule="exact"/>
        <w:rPr>
          <w:rFonts w:ascii="Arial" w:cs="Arial" w:eastAsia="Arial" w:hAnsi="Arial"/>
          <w:sz w:val="18"/>
          <w:szCs w:val="18"/>
          <w:color w:val="auto"/>
        </w:rPr>
      </w:pPr>
    </w:p>
    <w:p>
      <w:pPr>
        <w:ind w:left="648" w:right="20" w:hanging="324"/>
        <w:spacing w:after="0" w:line="277" w:lineRule="auto"/>
        <w:tabs>
          <w:tab w:leader="none" w:pos="644"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Health Systems</w:t>
      </w:r>
      <w:r>
        <w:rPr>
          <w:rFonts w:ascii="Arial" w:cs="Arial" w:eastAsia="Arial" w:hAnsi="Arial"/>
          <w:sz w:val="18"/>
          <w:szCs w:val="18"/>
          <w:color w:val="auto"/>
        </w:rPr>
        <w:t>. Opportunities for Sema4 to accelerate the uptake of GeneDx’s clinical exome sequencing into Sema4’s core channels,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Sema4 to accelerate the adoption of its Oncology solutions through GeneDx’s relationships.</w:t>
      </w:r>
    </w:p>
    <w:p>
      <w:pPr>
        <w:spacing w:after="0" w:line="116" w:lineRule="exact"/>
        <w:rPr>
          <w:rFonts w:ascii="Arial" w:cs="Arial" w:eastAsia="Arial" w:hAnsi="Arial"/>
          <w:sz w:val="18"/>
          <w:szCs w:val="18"/>
          <w:color w:val="auto"/>
        </w:rPr>
      </w:pPr>
    </w:p>
    <w:p>
      <w:pPr>
        <w:ind w:left="648" w:right="560" w:hanging="324"/>
        <w:spacing w:after="0" w:line="277" w:lineRule="auto"/>
        <w:tabs>
          <w:tab w:leader="none" w:pos="644"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Data</w:t>
      </w:r>
      <w:r>
        <w:rPr>
          <w:rFonts w:ascii="Arial" w:cs="Arial" w:eastAsia="Arial" w:hAnsi="Arial"/>
          <w:sz w:val="18"/>
          <w:szCs w:val="18"/>
          <w:color w:val="auto"/>
        </w:rPr>
        <w:t>. An opportunity for Sema4 to leverage GeneDx’s exome database with Sema4’s Centrellis platform to drive increased biopharma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opportunities.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Scale</w:t>
      </w:r>
      <w:r>
        <w:rPr>
          <w:rFonts w:ascii="Arial" w:cs="Arial" w:eastAsia="Arial" w:hAnsi="Arial"/>
          <w:sz w:val="18"/>
          <w:szCs w:val="18"/>
          <w:color w:val="auto"/>
        </w:rPr>
        <w:t>. An opportunity Sema4 to be the market leader in both Women’s Health and rare disease diagnostics.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Growth and Synergy</w:t>
      </w:r>
      <w:r>
        <w:rPr>
          <w:rFonts w:ascii="Arial" w:cs="Arial" w:eastAsia="Arial" w:hAnsi="Arial"/>
          <w:sz w:val="18"/>
          <w:szCs w:val="18"/>
          <w:color w:val="auto"/>
        </w:rPr>
        <w:t>. An opportunity for Sema4 to increase its revenues and accelerate its path to profitability.</w:t>
      </w:r>
    </w:p>
    <w:p>
      <w:pPr>
        <w:spacing w:after="0" w:line="171"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Benefit of Combining Management and Board Members of both the Company and GeneDx</w:t>
      </w:r>
      <w:r>
        <w:rPr>
          <w:rFonts w:ascii="Arial" w:cs="Arial" w:eastAsia="Arial" w:hAnsi="Arial"/>
          <w:sz w:val="17"/>
          <w:szCs w:val="17"/>
          <w:color w:val="auto"/>
        </w:rPr>
        <w:t>. The Board considered that GeneDx’s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Sema4’s Board of Directors’ Reasons</w:t>
      </w:r>
      <w:r>
        <w:rPr>
          <w:rFonts w:ascii="Arial" w:cs="Arial" w:eastAsia="Arial" w:hAnsi="Arial"/>
          <w:sz w:val="17"/>
          <w:szCs w:val="17"/>
          <w:color w:val="auto"/>
        </w:rPr>
        <w:t xml:space="preserve"> </w:t>
      </w:r>
      <w:r>
        <w:rPr>
          <w:rFonts w:ascii="Arial" w:cs="Arial" w:eastAsia="Arial" w:hAnsi="Arial"/>
          <w:sz w:val="17"/>
          <w:szCs w:val="17"/>
          <w:i w:val="1"/>
          <w:iCs w:val="1"/>
          <w:color w:val="auto"/>
        </w:rPr>
        <w:t>for the Stock Consideration Issuance Proposal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Due Diligence.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the thoroughness of Sema4’s due diligence examinations of GeneDx and discussions with GeneDx’s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financial and legal advisors.</w:t>
      </w:r>
    </w:p>
    <w:p>
      <w:pPr>
        <w:spacing w:after="0" w:line="116"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Receipt of Fairness Opinion from its Financial Advisor in connection with the Acquisition</w:t>
      </w:r>
      <w:r>
        <w:rPr>
          <w:rFonts w:ascii="Arial" w:cs="Arial" w:eastAsia="Arial" w:hAnsi="Arial"/>
          <w:sz w:val="16"/>
          <w:szCs w:val="16"/>
          <w:color w:val="auto"/>
        </w:rPr>
        <w:t>. The Board considered that on January 14, 2022,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of the Board, Goldman Sachs &amp; Co. LLC (“</w:t>
      </w:r>
      <w:r>
        <w:rPr>
          <w:rFonts w:ascii="Arial" w:cs="Arial" w:eastAsia="Arial" w:hAnsi="Arial"/>
          <w:sz w:val="16"/>
          <w:szCs w:val="16"/>
          <w:i w:val="1"/>
          <w:iCs w:val="1"/>
          <w:color w:val="auto"/>
        </w:rPr>
        <w:t>Goldman Sachs</w:t>
      </w:r>
      <w:r>
        <w:rPr>
          <w:rFonts w:ascii="Arial" w:cs="Arial" w:eastAsia="Arial" w:hAnsi="Arial"/>
          <w:sz w:val="16"/>
          <w:szCs w:val="16"/>
          <w:color w:val="auto"/>
        </w:rPr>
        <w:t>”)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40" w:right="339" w:bottom="1440" w:gutter="0" w:footer="0" w:header="0"/>
        </w:sectPr>
      </w:pPr>
    </w:p>
    <w:bookmarkStart w:id="28" w:name="page29"/>
    <w:bookmarkEnd w:id="28"/>
    <w:p>
      <w:pPr>
        <w:spacing w:after="0" w:line="14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Opinion of Sema4’s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w:t>
      </w:r>
    </w:p>
    <w:p>
      <w:pPr>
        <w:spacing w:after="0" w:line="133" w:lineRule="exact"/>
        <w:rPr>
          <w:sz w:val="20"/>
          <w:szCs w:val="20"/>
          <w:color w:val="auto"/>
        </w:rPr>
      </w:pPr>
    </w:p>
    <w:p>
      <w:pPr>
        <w:jc w:val="both"/>
        <w:ind w:left="66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Acquisition represents an excellent opportunity for Sema4 and its stockholders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its view of the growth prospects and risks associated with GeneDx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Terms of the Merger Agreement</w:t>
      </w:r>
      <w:r>
        <w:rPr>
          <w:rFonts w:ascii="Arial" w:cs="Arial" w:eastAsia="Arial" w:hAnsi="Arial"/>
          <w:sz w:val="16"/>
          <w:szCs w:val="16"/>
          <w:color w:val="auto"/>
        </w:rPr>
        <w:t>. The Board believed that the financial and other terms and conditions of the Merger Agreement,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PIPE Equity Commitment</w:t>
      </w:r>
      <w:r>
        <w:rPr>
          <w:rFonts w:ascii="Arial" w:cs="Arial" w:eastAsia="Arial" w:hAnsi="Arial"/>
          <w:sz w:val="17"/>
          <w:szCs w:val="17"/>
          <w:color w:val="auto"/>
        </w:rPr>
        <w:t>. A group of growth and life sciences investors, including Pfizer, have committed approximately $200 million in PIPE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subscriptions. This was viewed as support from growth and life sciences investors for the opportunities represented by the Transactions, and provides committed capital to fund the Cash Consideration and transaction costs and to fuel the Company’s growth.</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Support</w:t>
      </w:r>
      <w:r>
        <w:rPr>
          <w:rFonts w:ascii="Arial" w:cs="Arial" w:eastAsia="Arial" w:hAnsi="Arial"/>
          <w:sz w:val="18"/>
          <w:szCs w:val="18"/>
          <w:color w:val="auto"/>
        </w:rPr>
        <w:t>. The Board also considered that the holders of approximately 61% of the outstanding Class A common stock were willing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will be held on [ ] at [ ] Eastern time at https://www.cstproxy.com/sema4/2022,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https://www.cstproxy.com/sema4/2022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pacing w:after="0" w:line="175" w:lineRule="exact"/>
        <w:rPr>
          <w:sz w:val="20"/>
          <w:szCs w:val="20"/>
          <w:color w:val="auto"/>
        </w:rPr>
      </w:pPr>
    </w:p>
    <w:p>
      <w:pPr>
        <w:ind w:left="340"/>
        <w:spacing w:after="0"/>
        <w:tabs>
          <w:tab w:leader="none" w:pos="8380" w:val="left"/>
          <w:tab w:leader="none" w:pos="10880" w:val="left"/>
        </w:tabs>
        <w:rPr>
          <w:sz w:val="20"/>
          <w:szCs w:val="20"/>
          <w:color w:val="auto"/>
        </w:rPr>
      </w:pPr>
      <w:r>
        <w:rPr>
          <w:rFonts w:ascii="Arial" w:cs="Arial" w:eastAsia="Arial" w:hAnsi="Arial"/>
          <w:sz w:val="18"/>
          <w:szCs w:val="18"/>
          <w:color w:val="auto"/>
        </w:rPr>
        <w:t>Any stockholder wishing to attend the virtual meeting should register for the meeting by [</w:t>
      </w:r>
      <w:r>
        <w:rPr>
          <w:sz w:val="20"/>
          <w:szCs w:val="20"/>
          <w:color w:val="auto"/>
        </w:rPr>
        <w:tab/>
      </w:r>
      <w:r>
        <w:rPr>
          <w:rFonts w:ascii="Arial" w:cs="Arial" w:eastAsia="Arial" w:hAnsi="Arial"/>
          <w:sz w:val="18"/>
          <w:szCs w:val="18"/>
          <w:color w:val="auto"/>
        </w:rPr>
        <w:t>], Eastern time, on [</w:t>
      </w:r>
      <w:r>
        <w:rPr>
          <w:sz w:val="20"/>
          <w:szCs w:val="20"/>
          <w:color w:val="auto"/>
        </w:rPr>
        <w:tab/>
      </w:r>
      <w:r>
        <w:rPr>
          <w:rFonts w:ascii="Arial" w:cs="Arial" w:eastAsia="Arial" w:hAnsi="Arial"/>
          <w:sz w:val="18"/>
          <w:szCs w:val="18"/>
          <w:color w:val="auto"/>
        </w:rPr>
        <w:t>], at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https://www.cstproxy.com/sema4/2022. To register for the Special Meeting, please follow these instructions as applicable to the nature of your ownership of our Class A common stock:</w:t>
      </w:r>
    </w:p>
    <w:p>
      <w:pPr>
        <w:spacing w:after="0" w:line="131" w:lineRule="exact"/>
        <w:rPr>
          <w:sz w:val="20"/>
          <w:szCs w:val="20"/>
          <w:color w:val="auto"/>
        </w:rPr>
      </w:pPr>
    </w:p>
    <w:p>
      <w:pPr>
        <w:jc w:val="both"/>
        <w:ind w:left="660" w:hanging="328"/>
        <w:spacing w:after="0" w:line="279"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online-only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Only Company stockholders of record at the close of business on [ ], the record date for the Special Meeting, will be entitled to vote at the Special Meeting. You are entitled to one vote for each share of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 ] shares of Class A common stock outstanding and entitled to vote.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Acquisition will be accounted for using the acquisition method of accounting in accordance with Accounting Standards Codification (“ASC”) 805</w:t>
      </w:r>
    </w:p>
    <w:p>
      <w:pPr>
        <w:spacing w:after="0" w:line="46" w:lineRule="exact"/>
        <w:rPr>
          <w:sz w:val="20"/>
          <w:szCs w:val="20"/>
          <w:color w:val="auto"/>
        </w:rPr>
      </w:pPr>
    </w:p>
    <w:p>
      <w:pPr>
        <w:ind w:firstLine="8"/>
        <w:spacing w:after="0" w:line="260" w:lineRule="auto"/>
        <w:tabs>
          <w:tab w:leader="none" w:pos="1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Business Combinations. Under the acquisition method of accounting, the total purchase price is allocated to the tangible and identifiable intangible assets and liabilities assumed based on their relative fair values.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w:t>
      </w:r>
      <w:r>
        <w:rPr>
          <w:rFonts w:ascii="Arial" w:cs="Arial" w:eastAsia="Arial" w:hAnsi="Arial"/>
          <w:sz w:val="18"/>
          <w:szCs w:val="18"/>
          <w:b w:val="1"/>
          <w:bCs w:val="1"/>
          <w:color w:val="auto"/>
        </w:rPr>
        <w:t>—</w:t>
      </w:r>
      <w:r>
        <w:rPr>
          <w:rFonts w:ascii="Arial" w:cs="Arial" w:eastAsia="Arial" w:hAnsi="Arial"/>
          <w:sz w:val="18"/>
          <w:szCs w:val="18"/>
          <w:i w:val="1"/>
          <w:iCs w:val="1"/>
          <w:color w:val="auto"/>
        </w:rPr>
        <w:t>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Class A common stock outstanding on the record date and entitled to vote at the Special Meeting is represented in person or by proxy. Abstentions and broker non-votes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Stock Consideration Issuance Proposal, the PIPE Investment Proposal, the Class I Director Election Proposal, the Special Designee Director Election Proposal, the Auditor Ratification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failure to vote, a broker non-vote or an abstention will have no effect on the Stock Consideration Issuance Proposal, the PIPE Investment Proposal, the Class I Director Election Proposal, the Special Designee Director Election Proposal, the Auditor Ratification and the Adjournment Proposal. However, an abstention, a broker non-vote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Amendment Proposal.</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PIPE Investment Proposal and the Special Designee Director Election Proposal are conditioned upon stockholders’ approval of the Stock Consideration Issuance Proposal and the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important for you to note that in the event that the Stock Consideration Issuance Proposal or the Charter Amendment Proposal do not receive the requisite vote for approval and we do not consummate the Acquisition by August 14, 2022 (which date may be extended, by either party’s written notice, to October 14, 2022 if, as of the August 14, 2022, any one of certain conditions have not been met), we will be unable to complete, we will not consummate the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directors and executive officers have no substantial interests, directly or indirectly, in the Acquisition except (A)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evaluating the Acquisition and the proposals to be considered and voted on at the Special Meeting, you should carefully review and consider the risk factors set forth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of this proxy statement. The occurrence of one or more of the events or circumstances described in that section, alone or in combination with other events or circumstances, may have a material adverse effect on (i) the ability of the Company and GeneDx to complete the Acquisition, and (ii) the business, cash flows, financial condition and results of operations of GeneDx prior to the consummation of the Acquisition and the Company following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proxy statement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statements are based on the current expectations and beliefs of management of the Company and GeneDx, and are subject to a number of factors and uncertainties that could cause actual results to differ materially from those described in the forward-looking statements.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These statements include, but are not limited to statements about the ability of Sema4 and GeneDx prior to the Acquisition, and the Company following the Acquisition, to:</w:t>
      </w:r>
    </w:p>
    <w:p>
      <w:pPr>
        <w:spacing w:after="0" w:line="12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 the closing conditions to and complete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realize the benefits expected from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ability to raise financing in the future and comply with restrictive covenants related to its long-term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Company’s success in retaining or recruiting, or changes required in, its officers, key employees or directors following the Acquisition;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GeneDx as a subsidiary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worldwide in the industries in which the Company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GeneDx will be realized. All subsequent written and oral forward-looking statements concerning the Company, GeneDx, the transactions contemplated by the Merger Agreement or other matters attributable to the Company or GeneDx or any person acting on their behalf are expressly qualified in their entirety by the forward-looking statements above. Except to the extent required by applicable law, the Company and GeneDx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Acquisition and the proposals to be voted on at the Special Meeting. The following risk factors related to GeneDx apply to the business and operations of GeneDx and will also apply to the business and operations of the Company following the completion of the Acquisition. The occurrence of one or more of the events or circumstances described in these risk factors, alone or in combination with other events or circumstances, may adversely affect the ability to complete or realize the anticipated benefits of the Acquisition, and may have an adverse effect on the business, cash flows, financial condition and results of operations of the Company following the completion of the Acquisition. You should also carefully consider the following risk factors in addition to the other information included in this proxy statement, including matters addressed in the sections entitled “Cautionary Note Regarding Forward-Looking Statements,” “Sema4’s Management’s Discussion and Analysis of Financial Condition and Results of Operations” and “GeneDx’s Management’s Discussion and Analysis of Financial Condition and Results Of Operations.” We or GeneDx may face additional risks and uncertainties that are not presently known to us or GeneDx, or that we or GeneDx currently deem immaterial, which may also impair our or GeneDx’s business or financial condition. The following discussion should be read in conjunction with the financial statements and notes to the financial statements included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and GeneDx’s business are subject to a number of risks and uncertainties, including those risks discussed at length below. These risks include, among others,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GeneDx faces risks related to health epidemics, including the current COVID-19 pandemic, which could have a material adverse effect on its business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GeneDx expects to continue incurring significant losses, and it may not successfully execute its plan to achieve or sustain profitability.</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OPKO in connection with the Acquisition and to the PIPE Investors in the PIPE Investment will dilute the voting power of Sema4’s current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Because the lack of a public market for GeneDx’s outstanding shares makes it more difficult to evaluate the value of such shares, OPKO may receive consideration in the Acquisition that is greater than the fair market value of the GeneDx shares.</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Following the Acquisition, OPKO will be a substantial holder of shares of our Class A common stock and sales by OPKO into the market in the future could cause the market price of our Class A common stock to drop significantly, even if our business is doing well.</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have limited experience with the development and commercialization of our databases and our health information and genomic platforms.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left="328" w:right="20"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9"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16" w:lineRule="exact"/>
        <w:rPr>
          <w:rFonts w:ascii="Arial" w:cs="Arial" w:eastAsia="Arial" w:hAnsi="Arial"/>
          <w:sz w:val="18"/>
          <w:szCs w:val="18"/>
          <w:color w:val="auto"/>
        </w:rPr>
      </w:pPr>
    </w:p>
    <w:p>
      <w:pPr>
        <w:ind w:left="328" w:hanging="328"/>
        <w:spacing w:after="0" w:line="308" w:lineRule="auto"/>
        <w:tabs>
          <w:tab w:leader="none" w:pos="323"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expect to make significant investments in our continued research and development of new products and services, which may not be successful.</w:t>
      </w:r>
    </w:p>
    <w:p>
      <w:pPr>
        <w:spacing w:after="0" w:line="194" w:lineRule="exact"/>
        <w:rPr>
          <w:rFonts w:ascii="Arial" w:cs="Arial" w:eastAsia="Arial" w:hAnsi="Arial"/>
          <w:sz w:val="16"/>
          <w:szCs w:val="16"/>
          <w:color w:val="auto"/>
        </w:rPr>
      </w:pPr>
    </w:p>
    <w:p>
      <w:pPr>
        <w:jc w:val="both"/>
        <w:ind w:left="328" w:hanging="328"/>
        <w:spacing w:after="0" w:line="259"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8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8"/>
          </w:cols>
          <w:pgMar w:left="652" w:top="1440" w:right="339" w:bottom="1440" w:gutter="0" w:footer="0" w:header="0"/>
        </w:sectPr>
      </w:pPr>
    </w:p>
    <w:bookmarkStart w:id="34" w:name="page35"/>
    <w:bookmarkEnd w:id="34"/>
    <w:p>
      <w:pPr>
        <w:spacing w:after="0" w:line="14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GeneDx’s Business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GeneDx faces risks related to health epidemics, including the current COVID-19 pandemic, which could have a material adverse effect on its business and results of operations.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GeneDx’s business has been and could continue to be adversely affected by a widespread outbreak of contagious disease, including the COVID-19 pandemic. Global health concerns relating to COVID-19 have negatively affected the macroeconomic environment, and the pandemic has significantly increased economic volatility and uncertainty.</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pandemic has resulted in government authorities implementing numerous measures to try to contain the virus, such as travel bans and restrictions, quarantines, shelter-in-place or stay-at-home orders, and business shutdowns. For example, some of GeneDx’s personnel located at its headquarters and other offices in Maryland and elsewhere in the United States, were subject to shelter-in-place or stay-at-home orders from state and local governments. These measures have in the past adversely impacted, and may impact in the future, GeneDx’s employees and operations and the operations of its customers, suppliers and business partners, and may continue to negatively impact spending patterns, payment cycles and insurance coverage levels. For example, these measures adversely affected demand for certain of GeneDx’s tests, and, while demand for such tests has returned to pre-COVID-19 levels, COVID-19 or variants of the virus may in the future adversely affect demand for such tests. In early 2020, many of GeneDx’s customers, including hospitals and clinics, suspended non-emergency appointments and services, which resulted in a significant decrease in its test volume. Travel bans, restrictions and shipment delays also impacted GeneDx’s ability to ship tests to and receive samples from its customers. In addition, because GeneDx relies heavily on its direct sales force to sell its tests, its sales cycle, particularly for new customers, has in the past been significantly impacted by shelter-in-place or stay-at-home orders. Some of these measures by government authorities may continue to remain in place for a significant period of time. Even if these measures are lifted, they may be implemented again if COVID-19 is not contained or returns, as has been the case recently. These measures have adversely affected and may continue to adversely affect GeneDx’s test volume, sales activities and results of operations.</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spread of COVID-19 caused GeneDx to modify its business practices (including employee travel, mandating that all non-essential personnel work from home, temporary closures of its offices, cancellation of physical participation in sales activities, meetings, events and conferences and increasing inventories of certain supplies because, although GeneDx has not experienced significant disruption in its supply chain, since March 2020, it has experienced supply delays as a result of the COVID-19 pandemic, and GeneDx may take further actions as may be required by government authorities or that it determines are in the best interests of its employees, customers and business partners. There is no certainty that such actions will be sufficient to mitigate the risks posed by the virus or otherwise be satisfactory to government authorities. If significant portions of GeneDx’s workforce, particularly its laboratory staff, are unable to work effectively, including due to illness, quarantines, social distancing, government actions or other restrictions in connection with COVID-19 or its variants, GeneDx’s operations will be impacted.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extent to which COVID-19 may in the future impact GeneDx’s business, results of operations and financial condition will depend on future developments, which are highly uncertain and cannot be predicted,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 limited to, the duration and spread of the pandemic and variants of the virus, the actions to contain the virus and treat its impact, and how quickly and to what extent normal economic and operating activities can resume. COVID-19 or variants of the virus could limit the ability of GeneDx’s customers, suppliers and business partners to perform, including third-party payers’ ability to make timely payments to GeneDx during and following the pandemic. Even after COVID-19 and variants of the virus have subsided, GeneDx may continue to experience an adverse impact to its business as a result of its global economic impact, including labor shortages and any recession that has occurred or may occur in the future, and loss of health insurance coverage resulting from pandemic-related job losses.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Specifically, difficult macroeconomic conditions, such as decreases in per capita income and level of disposable income and related health insurance coverage, increased and prolonged unemployment or a decline in consumer confidence as a result of COVID-19, as well as limited or significantly reduced points of access of its tests, could have a material adverse effect on the demand for GeneDx’s tests. Under difficult economic conditions, consumers may seek to reduce discretionary spending by forgoing GeneDx’s tests. Decreased demand for GeneDx’s tests, particularly in the United States, has negatively affected and could continue to negatively affect its overall financial performance. Because GeneDx’s revenue is concentrated in the United States, where the impact of COVID-19 continues to be significant, COVID-19 has had, and could continue to have, a disproportionately negative impact on its business and financial results.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the extent the COVID-19 pandemic continues to adversely affect GeneDx’s business and financial results, it may also have the effect of heightening many of the other risks described in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GeneDx expects to continue incurring significant losses, and it may not successfully execute its plan to achieve or sustain profitability.</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 has incurred substantial losses since its inception. For the years ended December 31, 2021 and 2020, GeneDx’s net losses were $36.9 million and $34.9 million, respectively. At December 31, 2021, GeneDx’s accumulated deficit was $199.4. While its revenue has increased over time, GeneDx expects to continue to incur significant losses as GeneDx invests in its business. GeneDx expects these losses may increase as it focuses on scaling its business and operations and expanding its testing, sequencing and analytical capabilities, which may also increase GeneDx’s operating expenses, and GeneDx has experienced and may continue to experience decreases in test volume due to the impact of COVID-19. GeneDx’s failure to achieve and sustain profitability in the future would negatively affect its business, financial condition, results of operations and cash flows.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GeneDx launched the first commercially available NGS panels in 2008, diagnostic exome sequencing in 2012, the first rapid exome products in 2015 and a rapid whole genome product in 2020; accordingly, GeneDx has a relatively limited operating history with respect to certain of its testing products and services. GeneDx’s limited commercial history makes it difficult to evaluate its current business and makes predictions about its future results, prospects or viability subject to significant uncertainty. GeneDx’s prospects must be considered in light of the risks and difficulties frequently encountered by companies in their early stage of development, particularly companies in new and rapidly evolving markets such as genome testing. These risks include an evolving and unpredictable business model and the management of growth. To address these risks, GeneDx must, among other things, increase its customer base; continue to implement and successfully execute its business and marketing strategy; successfully enter into other strategic collaborations or relationships; obtain access to capital on acceptable terms and effectively utilize that capital; identify, attract, hire, retain, motivate and successfully integrate additional employees; continue to expand, automate and upgrade its laboratory, technology and data systems; obtain, maintain and expand coverage and reimbursement by healthcare payers; provide rapid test turnaround times with accurate results at low prices; provide superior customer service; and respond to competitive developments. There can be no assurance GeneDx will be successful in addressing these risks, and the failure to do so could have a material adverse effect on its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i w:val="1"/>
          <w:iCs w:val="1"/>
          <w:color w:val="auto"/>
        </w:rPr>
        <w:t>If third-party payers, including managed care organizations, private health insurers and government health plans, do not provide adequate reimbursement for GeneDx’s tests or GeneDx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GeneDx’s ability to increase the number of billable tests and its revenue will depend on its success achieving reimbursement for its tests from third-party payers. Reimbursement by a payer may depend on a number of factors, including a payer’s determination that a test is appropriate, medically necessary, cost-effective and has received prior authorization. The commercial success of GeneDx’s distributed products, including its exome sequencing and whole genome sequencing, will depend in part on the extent to which its customers receive coverage and adequate reimbursement from third-party payers, including as managed care organizations and government payers (e.g., Medicare and Medicaid).</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each payer makes its own decision as to whether to establish a policy or enter into a contract to cover GeneDx’s tests, as well as the amount it will reimburse for a test, seeking these approvals is a time-consuming and costly process. To date, GeneDx has obtained policy-level reimbursement approval or contractual reimbursement for some of its tests from most of the large commercial third-party payers in the United States, certain hospital systems, and the Centers for Medicare &amp; Medicaid Services, or CMS. GeneDx believes that establishing adequate reimbursement from Medicaid is an important factor in gaining adoption from healthcare providers. GeneDx claims for reimbursement from third-party payers may be denied upon submission, and it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cases where GeneDx has established reimbursement rates with third-party payers, GeneDx faces additional challenges in complying with their procedural requirements for reimbursement. These requirements often vary from payer to payer, and GeneDx has needed additional time and resources to comply with them. GeneDx has also experienced, and may continue to experience, delays in or denials of coverage if it does not adequately comply with these requirements. GeneDx’s third-party payers have also requested, and in the future may request, audits of the amounts paid to it. GeneDx has been required to repay certain amounts to payers as a result of such audits, and it could be adversely affected if it is required to repay other payers for alleged overpayments due to lack of compliance with their reimbursement policies. In addition, GeneDx has experienced, and may continue to experience, delays in reimbursement when it transitions to being an in-network provider with a payer.</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 expects to continue to focus its resources on increasing adoption of, and expanding coverage and reimbursement for, its current tests and any future tests it may develop or acquire. If GeneDx fails to expand and maintain broad adoption of, and coverage and reimbursement for, its tests, GeneDx’s ability to generate revenue could be harmed and its future prospects and its business could suffer.</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GeneDx faces intense competition, which is likely to intensify further as existing competitors devote additional resources to, and new participants enter, the market. If GeneDx cannot compete successfully, it may be unable to increase its revenue or achieve and sustain profitability.</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GeneDx’s business environment is rapidly evolving and intensely competitive. GeneDx’s business faces changing technologies, shifting provider and patient needs, and frequent introductions of rival products and services. To compete successfully, including as one of Sema4’s subsidiaries following the completion of the Acquisition, GeneDx must accurately anticipate technology developments and deliver innovative, relevant and useful genetic testing services in a timely manner. As GeneDx’s business evolves, the competitive pressure to innovate will encompass a wider range of testing and interpretation and information services. GeneDx must continue to invest significant resources in research and development, including potentially through acquisitions and collaborations, joint ventures and partnerships, in order to enhance its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the development of next generation sequencing, the clinical genetics market is becoming increasingly competitive, and GeneDx expects this competition to intensify in the future. GeneDx faces competition from a variety of sources, including:</w:t>
      </w:r>
    </w:p>
    <w:p>
      <w:pPr>
        <w:spacing w:after="0" w:line="116" w:lineRule="exact"/>
        <w:rPr>
          <w:sz w:val="20"/>
          <w:szCs w:val="20"/>
          <w:color w:val="auto"/>
        </w:rPr>
      </w:pPr>
    </w:p>
    <w:p>
      <w:pPr>
        <w:jc w:val="both"/>
        <w:ind w:left="660" w:hanging="328"/>
        <w:spacing w:after="0" w:line="273"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dozens of relatively specialized competitors focused on genetics applied to healthcare, such as Ambry Genetics, a subsidiary of Konica Minolta Inc.; Invitae Corporation, Athena Diagnostics and Blueprint Genetics, subsidiaries of Quest Diagnostics Incorporated; Baylor-Miraca Genetics Laboratories; Centogene AG; Connective Tissue Gene Test LLC, a subsidiary of Health Network Laboratories, L.P.; Emory Genetics Laboratory, a subsidiary of Eurofins Scientific; Fulgent Genetics, Inc.; Integrated Genetics, Sequenom Inc., Correlagen Diagnostics, Inc., and MNG Laboratories, subsidiaries of Laboratory Corporation of America Holdings; Myriad Genetics, Inc.; Natera, Inc.; Perkin Elmer, Inc.; Exact Sciences and Prevention Genetics, LLC, a subsidiary of Exact Sciences; and Progenity, Inc;</w:t>
      </w:r>
    </w:p>
    <w:p>
      <w:pPr>
        <w:spacing w:after="0" w:line="12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few large, established general testing companies with large market share and significant channel power, such as Laboratory Corporation of America Holdings and Quest Diagnostics Incorporated;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large number of clinical laboratories in an academic or healthcare provider setting that perform clinical genetic testing on behalf of their affiliated institutions and often sell and market more broadly;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large number of new entrants into the market for genetic information ranging from informatics and analysis pipeline developers to focused, integrated providers of genetic tools and services for health and wellness including Illumina, Inc., which is also one of its suppliers.</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Hospitals, academic medical centers and eventually physician practice groups and individual clinicians may also seek to perform at their own facilities the type of genetic testing GeneDx would otherwise perform for them. In this regard, continued development of equipment, reagents, and other materials as well as databases and interpretation services may enable broader direct participation in genetic testing and analysis.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Participants in closely related markets such as clinical trial or companion diagnostic testing could converge on offerings that are competitive with the type of tests GeneDx performs. Instances where potential competitors are aligned with key suppliers or are themselves suppliers could provide such potential competitors with significant advantages.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biotechnology and genetic testing fields are intensely competitive both in terms of service and price, and continue to undergo significant consolidation, permitting larger clinical laboratory service providers to increase cost efficiencies and service levels, resulting in more intense competition.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Many of GeneDx’s competitors and potential competitors have larger customer bases, greater brand recognition and market penetration, higher margins on their tests, substantially greater financial, technological and research and development resources, selling and marketing capabilities, lobbying efforts, and more experience dealing with third-party payers. As a result, they may be able to respond more quickly to changes in customer requirements, devote greater resources to the development, promotion and sale of their tests than GeneDx does, sell their tests at prices designed to win significant levels of market share, or obtain reimbursement from more third-party payers and at higher prices than GeneDx does. As technologies continue to develop, GeneDx’s competitors may be able to offer services that are, or that are seen to be, substantially similar to or better than GeneDx’s current services. GeneDx may not be able to compete effectively against these organizations. Increased competition and cost-saving initiatives on the part of governmental entities and other third-party payers are likely to result in pricing pressures, which could harm GeneDx’s sales, profitability or ability to gain market share. In addition, competitors may be acquired by, receive investments from or enter into other commercial relationships with larger, well-established and well-financed companies as use of next generation sequencing, including whole genome sequencing, for prenatal, pediatric, congenital disease and rare disorder diagnosis, Neonatal Intensive Care Units (“</w:t>
      </w:r>
      <w:r>
        <w:rPr>
          <w:rFonts w:ascii="Arial" w:cs="Arial" w:eastAsia="Arial" w:hAnsi="Arial"/>
          <w:sz w:val="17"/>
          <w:szCs w:val="17"/>
          <w:i w:val="1"/>
          <w:iCs w:val="1"/>
          <w:color w:val="auto"/>
        </w:rPr>
        <w:t>NICU</w:t>
      </w:r>
      <w:r>
        <w:rPr>
          <w:rFonts w:ascii="Arial" w:cs="Arial" w:eastAsia="Arial" w:hAnsi="Arial"/>
          <w:sz w:val="17"/>
          <w:szCs w:val="17"/>
          <w:color w:val="auto"/>
        </w:rPr>
        <w:t>”) testing and preventative care increases. Certain of GeneDx’s competitors may be able to secure key inputs from vendors on more favorable terms, devote greater resources to marketing and promotional campaigns, adopt more aggressive pricing policies and devote substantially more resources to website and systems development than GeneDx can. In addition, companies or governments that control access to genetic testing through umbrella contracts or regional preferences could promote GeneDx’s competitors or prevent GeneDx from performing certain services.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GeneDx’s competitors have obtained approval or clearance for certain of their tests from the U.S. Food and Drug Administration (the “</w:t>
      </w:r>
      <w:r>
        <w:rPr>
          <w:rFonts w:ascii="Arial" w:cs="Arial" w:eastAsia="Arial" w:hAnsi="Arial"/>
          <w:sz w:val="18"/>
          <w:szCs w:val="18"/>
          <w:i w:val="1"/>
          <w:iCs w:val="1"/>
          <w:color w:val="auto"/>
        </w:rPr>
        <w:t>FDA</w:t>
      </w:r>
      <w:r>
        <w:rPr>
          <w:rFonts w:ascii="Arial" w:cs="Arial" w:eastAsia="Arial" w:hAnsi="Arial"/>
          <w:sz w:val="18"/>
          <w:szCs w:val="18"/>
          <w:color w:val="auto"/>
        </w:rPr>
        <w:t>”). If payers decide to reimburse only for tests that are FDA-approved or FDA-cleared, or if they are more likely to reimburse for such tests, GeneDx may not be able to compete effectively unless it obtains similar approval or clearance for its tests. If GeneDx is unable to compete successfully against current and future competitors, it may be unable to increase market acceptance and sales of its tests, which could prevent it from increasing its revenue or achieving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GeneDx’s expected future growth could create a strain on its and, following completion of the Acquisition, Sema4’s organizational, administrative and operational infrastructure, including laboratory operations, quality control, customer service, marketing and sales, and management. GeneDx may not be able to maintain the quality of or expected turnaround times for its tests, or satisfy customer demand as it grows. GeneDx may need to continue expanding its sales force to facilitate growth, and GeneDx may have difficulties locating, recruiting, training and retaining sales personnel. Following the completion of the Acquisition, Sema4’s ability to manage GeneDx’s growth effectively will require Sema4 to continue to improve GeneDx’s operational, financial and management controls, as well as its reporting systems and procedures. As GeneDx grows, any failure of its controls or interruption of its production facilities or systems could have a negative impact on its and Sema4’s business and financial operations. If either GeneDx or Sema4 is unable to manage GeneDx’s growth effectively, it may be difficult for GeneDx to execute its business strategy and its and Sema4’s business could be harmed.</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GeneDx relies on highly skilled personnel in a broad array of disciplines and, if it is unable to hire, retain or motivate these individuals it may not be able to maintain the quality of its services or grow effectively.</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GeneDx’s performance, including its research and development programs and laboratory operations, largely depend on its continuing ability to identify, hire, develop, motivate and retain highly skilled personnel for all areas of its organization, including software developers, geneticists, biostatisticians, certified laboratory scientists and other scientific and technical personnel to process and interpret genetic tests. In addition, GeneDx may need to continue to expand its sales force with qualified and experienced personnel. Competition in GeneDx’s industry for qualified employees is intense, and GeneDx may not be able to attract or retain qualified personnel in the future due to the competition for qualified personnel among life science and technology businesses as well as universities and public and private research institutions, particularly in the Washington, D.C. and Baltimore, Maryland areas. If GeneDx is not able to attract and retain the necessary personnel to accomplish its business objectives, it may experience constraints that could adversely affect its ability to scale its business, support its research and development efforts and its clinical laboratory.</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GeneDx’s success will depend on its ability to use rapidly changing genetic data to interpret test results accurately and consistently, and its failure to do so would have an adverse effect on its operating results and business and harm its reputation.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GeneDx’s success depends on its ability to provide reliable, high-quality tests that incorporate rapidly evolving information about the role of genes and gene variants in disease and clinically relevant outcomes associated with those variants. Errors, such as failure to detect genomic variants with high accuracy, or mistakes, such as failure to identify, or incompletely or incorrectly identifying, gene variants or their significance, could have a significant adverse impact on GeneDx’s business.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 classifies variants in accordance with published guidelines as benign, likely benign, variants of uncertain significance, likely pathogenic or pathogenic, and these guidelines are subject to change. Interpretation of some guidelines is open to clinical or scientific judgment and thus may vary between experts. In addition, it is GeneDx’s practice to offer support to clinicians and geneticists ordering its tests regarding which genes or panels to order as well as interpretation of genetic variants. GeneDx also relies on clinicians to interpret what it reports and to incorporate specific information about an individual patient into the physician’s treatment decision.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marketing, sale and use of GeneDx’s genetic tests could subject it to liability for errors in, misunderstandings of, or inappropriate reliance on, information it provides to clinicians, geneticists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lead to claims against GeneDx if someone were to allege that a test failed to perform as it was designed, if GeneDx failed to correctly interpret the test results, if GeneDx failed to update the test results due to a reclassification of the variants according to new published guidelines, or if the ordering physician were to misinterpret test results or improperly rely on them when making a clinical decision. A professional liability claim could result in substantial damages and be costly and time-consuming for GeneDx or, following completion of the Acquisition, Sema4 to defend. Although GeneDx maintains liability insurance, including for errors and omissions, there can be no assurance that such insurance would fully protect GeneDx or, following completion of the Acquisition, Sema4 from the financial impact of defending against these types of claims or any judgments, fines or settlement costs arising out of any such claims. Any liability claim, including an errors and omissions liability claim, brought against GeneDx or, following completion of the Acquisition, Sema4, with or without merit, could increase GeneDx’s or Sema4’s insurance rates or prevent GeneDx or Sema4 from securing insurance coverage in the future. Additionally, any liability lawsuit could cause injury to GeneDx’s reputation or cause it to suspend sales of its tests. The occurrence of any of these events could have an adverse effect on GeneDx’s, and, following completion of the Acquisition, Sema4’s reputation and results of operations.</w:t>
      </w:r>
    </w:p>
    <w:p>
      <w:pPr>
        <w:spacing w:after="0" w:line="1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GeneDx’s industry is subject to rapidly changing technology and new and increasing amounts of scientific data related to genes and genetic variants and their role in disease. GeneDx’s failure to develop tests to keep pace with these changes could make it obsolete.</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there have been numerous advances in methods used to analyze very large amounts of genomic information and the role of genetics and gene variants in disease and treatment therapies. GeneDx’s industry has and will continue to be characterized by rapid technological change, increasingly larger amounts of data, frequent new testing service introductions and evolving industry standards, all of which could make GeneDx’s tests obsolete. As the fields of genomic analysis and health information become more widely known to the public, GeneDx anticipates that competition will further increase. GeneDx’s future success will also depend on its ability to keep pace with the evolving needs of its customers on a timely and cost-effective basis and to pursue new market opportunities that develop as a result of technological and scientific advances. GeneDx’s tests could become obsolete and its business adversely affected unless it continually update its offerings to reflect new scientific knowledge about genes and genetic variations and their role in diseases and treatment therapies.</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GeneDx relies on a limited number of suppliers or, in some cases, sole suppliers, for some of its laboratory instruments, materials and services, and it may not be able to immediately transition to alternative suppliers.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GeneDx relies on a limited number of suppliers for certain laboratory substances used in the chemical reactions incorporated into its processes, (which are referred to herein as “reagents”), as well as sequencers and other equipment and materials which GeneDx uses in its laboratory operations. GeneDx does not have short- or long-term agreements with all of its suppliers, and its suppliers could cease supplying these materials and equipment at any time, or fail to provide GeneDx with sufficient quantities of materials or materials that meet its specifications. GeneDx’s laboratory operations could be interrupted if it encounters delays or difficulties in securing these reagents, sequencers or other equipment or materials, and if it cannot obtain an acceptable substitute. If the supply of reagents, sequencers or other equipment or materials GeneDx receives does not meet its quality control or performance standards, GeneDx may not be able to use such items, or if it uses them not knowing that they are of inadequate quality (which occasionally occurs with respect to certain reagents), GeneDx’s tests may not work properly or at all, or may provide erroneous results, and GeneDx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the facilities of GeneDx’s third-party suppliers’ that cause a loss of manufacturing capacity would heighten the risks that GeneDx faces. Any such interruption could significantly affect GeneDx’s business, financial condition, results of operations and reputation. GeneDx relies on Illumina as a predominate supplier of next generation sequencers and associated reagents, maintenance and repair services. Any disruption in Illumina’s operations could impact GeneDx’s supply chain and laboratory operations as well as GeneDx’s ability to conduct its tests, and it could take a substantial amount of time to integrate replacement equipment into GeneDx’s laboratory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GeneDx believes that there are only a few other manufacturers that are currently capable of supplying and servicing the equipment necessary for its laboratory operations, including sequencers and various associated reagents. The use of equipment or materials provided by these replacement suppliers would require GeneDx to alter its laboratory operations. Transitioning to a new supplier would be time consuming and expensive, may result in interruptions in laboratory operations, could affect the performance specifications of laboratory operations or could require that GeneDx revalidate its tests. There can be no assurance that GeneDx will be able to secure alternative equipment, reagents and other materials, and bring such equipment, reagents and materials on line and revalidate them without experiencing interruptions in its workflow. In the case of an alternative supplier for Illumina, GeneDx cannot make any assurance that replacement sequencers and associated reagents will be available or will meet its quality control and performance requirements for its laboratory operations. If GeneDx encounters delays or difficulties in securing, reconfiguring or revalidating the equipment and reagents it requires for its tests, GeneDx’s business, financial condition, results of operations and reputation could be adversely affected.</w:t>
      </w:r>
    </w:p>
    <w:p>
      <w:pPr>
        <w:spacing w:after="0" w:line="1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GeneDx’s tests.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customers to refuse to use, or clinicians to be reluctant to order, genomic tests even if permissible, or withhold or withdraw consent for GeneDx’s use of their data. These and other ethical, legal and social concerns may limit market acceptance of GeneDx’s tests or reduce the potential markets for its tests, either of which could have an adverse effect on GeneDx’s business, financial condition or results of operations.</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GeneDx currently uses, and in the future expects to increase its use of, information and rights from customers, strategic partners, and collaborators for several aspects of its operations, and if GeneDx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GeneDx’s exome and genome sequencing solutions and key elements of its long term business model. The regulatory landscape around the storage, processing and deidentification of genetic data is evolving globally and greatly impacts the ability of GeneDx, its strategic partners and its collaborators to process and use the data in connection with its products and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GeneDx’s future success depends in part on its ability to maintain and grow its existing relationships and to establish new relationships. Many factors may impact the success of such collaborations, including GeneDx’s ability to perform its obligations, its collaborators’ satisfaction with GeneDx’s services, its collaborators’ performance of their obligations to GeneDx,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jurisdiction. GeneDx’s ability to support such collaborations may also depend on factors outside of its control including the willingness of customers to engage with it and share their data, societal perspectives on privacy, and the willingness of health systems to establish collaborations, relationships and programs utilizing their data, all of which may impact the utility of these databases and the insights GeneDx will be able to generate from expanding datasets. In addition to reducing GeneDx’s revenue or delaying the development of future services and revenue streams, the loss of one or more of these relationships may reduce GeneDx’s access to research, longitudinal patient health data, clinical trials or computing technologies that facilitate the collection and incorporation of new information into the databases GeneDx manages and to which it has access. All of the risks relating to testing service development, regulatory clearance, authorization or approval and commercialization described herein apply to GeneDx derivatively through the activities of its collaborators. GeneDx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GeneDx’s existing or potential collaborations can be a catalyst for adverse speculation about GeneDx, or its products or services, which can adversely affect GeneDx’s reputation and its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GeneDx’s business may suffer if it does not retain its senior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GeneDx depends on its senior management. The loss of services of members of GeneDx’s senior management team, including Katherine Stueland, the Chief Executive Office of GeneDx, could adversely affect its business until suitable replacements can be found. There may be a limited number of persons with the requisite skills to serve in these positions and GeneDx may be unable to locate or employ qualified personnel on acceptable terms.</w:t>
      </w:r>
    </w:p>
    <w:p>
      <w:pPr>
        <w:spacing w:after="0" w:line="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Professional liability suits against GeneDx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GeneDx’s exome and genome sequencing solutions could lead to professional liability claims, including class action lawsuits. GeneDx may also be subject to liability for errors in the test results it provides to healthcare providers or customers or for a misunderstanding of, or inappropriate reliance upon, the information such tests provides. Claims could also arise out of planned interpretation and information services or any of GeneDx’s other activities. A professional liability claim could result in substantial damages, be costly and time consuming to defend, and cause material harm to GeneDx’s business, reputation or financial condition. There can be no assurance that GeneDx’s liability insurance would protect GeneDx’s or, following the completion of the Acquisition, Sema4’s assets from the financial impact of defending a professional liability claim. Any claim brought against GeneDx with or without merit, could increase its or, following completion of the Acquisition, Sema4’s liability insurance rates or prevent GeneDx or Sema4 from securing insurance coverage in the future.</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GeneDx’s inability to effectively protect its proprietary technologies, including the confidentiality of its trade secrets, could harm its competitive position.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GeneDx’s success and ability to compete depends to a large extent on its ability to develop proprietary technologies and to maintain adequate protection of its intellectual property in the United States and other countries. The laws of some foreign countries do not protect proprietary rights to the same extent as the laws of the United States, and GeneDx may encounter difficulties in establishing and enforcing its proprietary rights outside of the United States. In addition, the proprietary positions of companies developing and commercializing tools for molecular diagnostics, including GeneDx’s, generally are uncertain and involve complex legal and factual questions.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 currently relies upon trade secret protection and copyright, as well as non-disclosure agreements and invention assignment agreements with its employees, consultants and third parties to protect its confidential and proprietary information. Although GeneDx’s competitors have utilized and are expected to continue utilizing similar methods and have aggregated and are expected to continue to aggregate similar databases of genetic testing information, GeneDx’s success will depend upon its ability to develop proprietary methods and databases and to defend any advantages afforded to it by such methods and databases relative to its competitors. If GeneDx does not protect its intellectual property adequately, competitors may be able to use its methods and databases and thereby erode any competitive advantages it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 will be able to protect its proprietary rights from unauthorized use by third parties only to the extent that its proprietary technologies are effectively maintained as trade secrets. GeneDx expects to rely primarily upon trade secrets and proprietary know-how protection for its confidential and proprietary information, and it has taken security measures to protect this information. These measures, however, may not provide adequate protection for GeneDx’s trade secrets, know-how or other confidential information. Among other things, GeneDx seeks to protect its trade secrets and confidential information by entering into confidentiality agreements with employees and consultants. There can be no assurance that any confidentiality agreements that GeneDx has with employees and consultants will provide meaningful protection for its trade secrets and confidential information or will provide adequate remedies in the event of unauthorized use or disclosure of such information. Accordingly, there also can be no assurance that GeneDx’s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GeneDx. If any of GeneDx’s confidential or proprietary information, such as its trade secrets, were to be disclosed or misappropriated, or if any such information was independently developed by a competitor, GeneDx’s competitive position could be harmed.</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assert that GeneDx’s employees or consultants have wrongfully used or disclosed confidential information or misappropriated trade secrets.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GeneDx employs individuals who were previously employed at universities or genetic testing, diagnostic or other healthcare companies, including its competitors or potential competitors. Although GeneDx tries to ensure that its employees and consultants do not use the proprietary information or know-how of others in their work for it, GeneDx may be subject to claims that it or its employees or consultants have inadvertently or otherwise used or disclosed intellectual property, including trade secrets or other proprietary information, of a former employer or other third parties. Further, GeneDx may be subject to ownership disputes in the future arising, for example, from conflicting obligations of consultants or others who are involved in developing its intellectual property. Litigation may be necessary to defend against these claims. If GeneDx fails in defending against any such claims, in addition to paying monetary damages, GeneDx may lose valuable intellectual property rights or personnel. Even if GeneDx is successful in defending against such claims, litigation could result in substantial costs and be a distraction to management and other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continues to resume normal activities. Our business could be negatively affected in the future if it takes excessive, ineffective or inadequate precautions</w:t>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2"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4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we received $5.4 million as part of the stimulus, comprised of $2.6 million received under the Provider Relief Fund, or PRF, distribution and $2.8 million received under the Employee Retention Credit, or ERC, 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our technologies less competitive or obsolete.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including women’s health and oncology screening products, health information services, and analytics, and data science services, and other diagnostic products. These competitors include:</w:t>
      </w:r>
    </w:p>
    <w:p>
      <w:pPr>
        <w:spacing w:after="0" w:line="116" w:lineRule="exact"/>
        <w:rPr>
          <w:sz w:val="20"/>
          <w:szCs w:val="20"/>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on GeneDx discussed herein), joint ventures and partnerships, in order to enhance our current diagnostics and health information and data science technologies, and existing and new products and services based off these technologies.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our business, financial condition and results of operations.</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life sciences research, clinical diagnostic and drug discovery technologies to academic institutions, Biopharma companies and the medical community;</w:t>
      </w:r>
    </w:p>
    <w:p>
      <w:pPr>
        <w:spacing w:after="0" w:line="116" w:lineRule="exact"/>
        <w:rPr>
          <w:sz w:val="20"/>
          <w:szCs w:val="20"/>
          <w:color w:val="auto"/>
        </w:rPr>
      </w:pPr>
    </w:p>
    <w:p>
      <w:pPr>
        <w:ind w:left="66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92"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4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example, we are exposed to these and other risks in connection with the pending Acquisition of GeneDx. See “—Risks Related to the Acquisition”.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like in the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jc w:val="both"/>
        <w:ind w:left="66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the section entitled “</w:t>
      </w:r>
      <w:r>
        <w:rPr>
          <w:rFonts w:ascii="Arial" w:cs="Arial" w:eastAsia="Arial" w:hAnsi="Arial"/>
          <w:sz w:val="17"/>
          <w:szCs w:val="17"/>
          <w:i w:val="1"/>
          <w:iCs w:val="1"/>
          <w:color w:val="auto"/>
        </w:rPr>
        <w:t>Management’s Discussion and Analysis of Financial Condition and Results of Operations of Sema4</w:t>
      </w:r>
      <w:r>
        <w:rPr>
          <w:rFonts w:ascii="Arial" w:cs="Arial" w:eastAsia="Arial" w:hAnsi="Arial"/>
          <w:sz w:val="17"/>
          <w:szCs w:val="17"/>
          <w:color w:val="auto"/>
        </w:rPr>
        <w:t>.” However, as noted above, as of December 31, 2021, the material weaknesses have not yet been fully remediated.</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6"/>
          <w:szCs w:val="16"/>
          <w:i w:val="1"/>
          <w:iCs w:val="1"/>
          <w:color w:val="auto"/>
        </w:rPr>
        <w:t>Risks Related to Being a Public Company—Our internal controls over financial reporting may not be effective and our independent registered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firm may not be able to certify as to their effectiveness, which could have a significant and adverse effect on our business and reputation.</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Mount Sinai is primarily made up of not-for-profit hospitals, a medical and graduate school and employed clinicians. The charitable missions of the Mount Sinai entities include patient care, teaching and research.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Mount Sinai entities are required to deal with us strictly on an arms-length, fair market value basis, and the interests of Mount Sinai may not necessarily be aligned with our interests or those of our other stockholders.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3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2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4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we conduct our business and our results of operations.</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our ability to obtain commercially relevant or competitively advantageous patent protection for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Alice Corporation Pty. Ltd. v. CLS Bank International</w:t>
      </w:r>
      <w:r>
        <w:rPr>
          <w:rFonts w:ascii="Arial" w:cs="Arial" w:eastAsia="Arial" w:hAnsi="Arial"/>
          <w:sz w:val="16"/>
          <w:szCs w:val="16"/>
          <w:color w:val="auto"/>
        </w:rPr>
        <w:t>, and others. The guidance indicates that claims directed to a law of nature, a natural phenomenon, or</w:t>
      </w:r>
      <w:r>
        <w:rPr>
          <w:rFonts w:ascii="Arial" w:cs="Arial" w:eastAsia="Arial" w:hAnsi="Arial"/>
          <w:sz w:val="16"/>
          <w:szCs w:val="16"/>
          <w:i w:val="1"/>
          <w:iCs w:val="1"/>
          <w:color w:val="auto"/>
        </w:rPr>
        <w:t xml:space="preserve"> </w:t>
      </w: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9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0"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12"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depend on our scientific computing and information technology and management systems and any failure of these systems could harm our business.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 (including the potential issuance of shares of common stock in connection with the pending Acquisition of GeneDx and the PIPE Investment);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that the proposed Acquisition disrupts our current plans and operations or affects our ability to retain or recruit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market price of our securities also could adversely affect our ability to issue additional securities and our ability to obtain additional financing in the future.</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03"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may not be called by any other person, which may delay the ability of our stockholders to force consideration of a proposal or to take action, including the removal of directors;</w:t>
      </w:r>
    </w:p>
    <w:p>
      <w:pPr>
        <w:spacing w:after="0" w:line="116" w:lineRule="exact"/>
        <w:rPr>
          <w:sz w:val="20"/>
          <w:szCs w:val="20"/>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common stock;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choice of forum provision does not apply to actions brought to enforce a duty or liability created under the Exchange Act or any other claim for which federal courts have jurisdiction. Furthermore, in accordance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common stock could cause the market price of our common stock to drop significantly, even if our business is doing well.</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after the closing of our July 2021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Merger PIPE Investors owned approximately 12.07% of our total outstanding shares of common stock.</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Furthermore, we have filed a registration statement on Form S-1 related to the offer and sale from time to time by the selling securityholders named in the prospectus that forms a part of that registration statement of up to 236,223,401 shares of common stock and 7,236,667 warrants, which registration statement has been declared effective by the SEC. Because the business combination lock-up restrictions have expired and the registration statement is available for use, and as the transfer restrictions under the support agreement end, the market price of our common stock could decline if the holders of our common stock sell them or are perceived by the market as intending to sell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issuance of shares of Class A common stock to OPKO in connection with the Acquisition and to the PIPE Investors in the PIPE Investment will dilute the voting power of Sema4’s current stockholders.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the Merger Agreement, at the Effective Time, Sema4 will issue shares of Class A common stock to OPKO which, together with our Class A common stock to be issued in the PIPE Investment, will represent approximately 34.9% of the Company on a fully diluted basis after the Acquisition. In addition, pursuant to the Subscription Agreements, Sema4 will issue shares of Class A common stock to the PIPE Investors which, together with our Class A common stock to be issued to OPKO at the Effective Time, will represent approximately 34.9% of the Company on a fully diluted basis after the Closing. Accordingly, the issuance of shares of Class A common stock to OPKO in connection with the Acquisition and the PIPE Investors in connection with the PIPE Investment will reduce the relative voting power of each share of Class A common stock held by our current stockholders. Consequently, our stockholders as a group will have less influence over the management and policies of the Company after the Transactions than prior to the Transactions.</w:t>
      </w:r>
    </w:p>
    <w:p>
      <w:pPr>
        <w:spacing w:after="0" w:line="1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GeneDx’s outstanding shares makes it more difficult to evaluate the value of such shares, OPKO may receive consideration in the Acquisition that is greater than the fair market value of the GeneDx shares.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GeneDx is a wholly owned subsidiary of OPKO and its outstanding capital stock is not traded in any public market. The lack of a public market makes it difficult to determine the fair market value of GeneDx or its shares of capital stock. Since the number of shares of Class A common stock to be issued to OPKO in the Acquisition was determined based on negotiations between the parties, it is possible that the value of our Class A common stock to be issued to OPKO in connection with the Acquisition will be greater than the fair market value of GeneDx.</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Following the Acquisition, OPKO will be a substantial holder of shares of our Class A common stock and sales by OPKO into the market in the future could cause the market price of our Class A common stock to drop significantly, even if our business is doing well.</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Acquisition, OPKO will become the owner of at least 80 million shares of Class A common stock. OPKO is subject to transfer restrictions and requirements to dispose of its shares in marketed sales processes under the Shareholder Agreements, but those restrictions and requirements are finite and subject to exceptions.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shares held by OPKO or the other Lock-Up Holders are sold, or if it is perceived that they will be sold in the public market, the trading price of our Class A common stock could decline. For more information on the Lock-Up Shares and the applicable Lock-Up Periods see “</w:t>
      </w:r>
      <w:r>
        <w:rPr>
          <w:rFonts w:ascii="Arial" w:cs="Arial" w:eastAsia="Arial" w:hAnsi="Arial"/>
          <w:sz w:val="18"/>
          <w:szCs w:val="18"/>
          <w:i w:val="1"/>
          <w:iCs w:val="1"/>
          <w:color w:val="auto"/>
        </w:rPr>
        <w:t>The Acquisition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Agreements</w:t>
      </w:r>
      <w:r>
        <w:rPr>
          <w:rFonts w:ascii="Arial" w:cs="Arial" w:eastAsia="Arial" w:hAnsi="Arial"/>
          <w:sz w:val="18"/>
          <w:szCs w:val="18"/>
          <w:color w:val="auto"/>
        </w:rPr>
        <w:t>”.</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Acquisition and to be successful thereafter will be dependent upon the efforts of our key personnel, including the key personnel of GeneDx. The loss of key personnel could negatively impact the operations and profitability of our Company following the Acquisition and its financial condition could suffer as a result.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successfully effect our Acquisition is dependent upon the efforts of our key personnel, including the key personnel of GeneDx (who are expected to become our employees as of the Closing). Although our key personnel are expected to remain with the Company in their current roles following the Acquisition, it is possible that we will lose some key personnel, the loss of which could negatively impact the operations and profitability of our Company’s business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the Company following the Closing. See “</w:t>
      </w:r>
      <w:r>
        <w:rPr>
          <w:rFonts w:ascii="Arial" w:cs="Arial" w:eastAsia="Arial" w:hAnsi="Arial"/>
          <w:sz w:val="18"/>
          <w:szCs w:val="18"/>
          <w:b w:val="1"/>
          <w:bCs w:val="1"/>
          <w:color w:val="auto"/>
        </w:rPr>
        <w:t>—</w:t>
      </w:r>
      <w:r>
        <w:rPr>
          <w:rFonts w:ascii="Arial" w:cs="Arial" w:eastAsia="Arial" w:hAnsi="Arial"/>
          <w:sz w:val="18"/>
          <w:szCs w:val="18"/>
          <w:i w:val="1"/>
          <w:iCs w:val="1"/>
          <w:color w:val="auto"/>
        </w:rPr>
        <w:t>Risks Related to GeneDx’s Business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GeneDx’s business may suffer if it does not retain its senior management.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GeneDx will be subject to business uncertainties and contractual restrictions while the Acquisition is pending.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Uncertainty about the effect of the Acquisition on employees and third parties may have an adverse effect on the Company and GeneDx. These uncertainties may impair our or GeneDx’s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or GeneDx’s business could be harmed. In addition, GeneDx’s ability to make changes to its business may be restricted by covenants in the Merger Agreement, which restrictions generally require GeneDx to conduct its business in the ordinary course and subject it to a variety of specified limitations absent the Company’s prior written consent. GeneDx may find that these and other contractual restrictions in the Merger Agreement may delay or prevent it from responding, or limit its ability to respond, effectively to competitive pressures.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completion of the PIPE Investment is not a condition to the consummation of the Merger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the Merger Agreement, we are not required to complete any private placement financing including the PIPE Investment in order to consummate the Merger Agreement. The Company will be required to close the Acquisition even if the PIPE Investment is not consummated. If we consummate the Merger Agreement without completing the PIPE Investment, we may need additional financing in the future to support our business, pursue strategic investments, or and pursue our growth strategy.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b w:val="1"/>
          <w:bCs w:val="1"/>
          <w:color w:val="auto"/>
        </w:rPr>
        <w:t>—</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Acquisition</w:t>
      </w:r>
      <w:r>
        <w:rPr>
          <w:rFonts w:ascii="Arial" w:cs="Arial" w:eastAsia="Arial" w:hAnsi="Arial"/>
          <w:sz w:val="18"/>
          <w:szCs w:val="18"/>
          <w:color w:val="auto"/>
        </w:rPr>
        <w:t>” for additional information.</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cause the Company to agree to amend the Merger Agreement, to consent to certain actions, to waive in whole or in part one or more of the conditions to our obligations to complete the Acquisition (with the exception of the condition that our stockholders approve the Acquisition) or to waive rights that we are entitled to under the Merger Agreement. Such events could arise because of changes in the course of GeneDx’s business, a request by GeneDx to undertake actions that would otherwise be prohibited by the terms of the Merger Agreement or the occurrence of other events that would have a material adverse effect on GeneDx’s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(including the members of the transaction committee that supervised the Company’s consideration of the Acquisition)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the proposed stockholder approvals have been obtained at the Special Meeting.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b w:val="1"/>
          <w:bCs w:val="1"/>
          <w:color w:val="auto"/>
        </w:rPr>
        <w:t>—</w:t>
      </w:r>
      <w:r>
        <w:rPr>
          <w:rFonts w:ascii="Arial" w:cs="Arial" w:eastAsia="Arial" w:hAnsi="Arial"/>
          <w:sz w:val="17"/>
          <w:szCs w:val="17"/>
          <w:i w:val="1"/>
          <w:iCs w:val="1"/>
          <w:color w:val="auto"/>
        </w:rPr>
        <w:t>The Merger Agreement</w:t>
      </w:r>
      <w:r>
        <w:rPr>
          <w:rFonts w:ascii="Arial" w:cs="Arial" w:eastAsia="Arial" w:hAnsi="Arial"/>
          <w:sz w:val="17"/>
          <w:szCs w:val="17"/>
          <w:b w:val="1"/>
          <w:bCs w:val="1"/>
          <w:color w:val="auto"/>
        </w:rPr>
        <w:t>—</w:t>
      </w:r>
      <w:r>
        <w:rPr>
          <w:rFonts w:ascii="Arial" w:cs="Arial" w:eastAsia="Arial" w:hAnsi="Arial"/>
          <w:sz w:val="17"/>
          <w:szCs w:val="17"/>
          <w:i w:val="1"/>
          <w:iCs w:val="1"/>
          <w:color w:val="auto"/>
        </w:rPr>
        <w:t>Conditions to</w:t>
      </w:r>
      <w:r>
        <w:rPr>
          <w:rFonts w:ascii="Arial" w:cs="Arial" w:eastAsia="Arial" w:hAnsi="Arial"/>
          <w:sz w:val="17"/>
          <w:szCs w:val="17"/>
          <w:color w:val="auto"/>
        </w:rPr>
        <w:t xml:space="preserve"> </w:t>
      </w:r>
      <w:r>
        <w:rPr>
          <w:rFonts w:ascii="Arial" w:cs="Arial" w:eastAsia="Arial" w:hAnsi="Arial"/>
          <w:sz w:val="17"/>
          <w:szCs w:val="17"/>
          <w:i w:val="1"/>
          <w:iCs w:val="1"/>
          <w:color w:val="auto"/>
        </w:rPr>
        <w:t>Closing of the Acquisition</w:t>
      </w:r>
      <w:r>
        <w:rPr>
          <w:rFonts w:ascii="Arial" w:cs="Arial" w:eastAsia="Arial" w:hAnsi="Arial"/>
          <w:sz w:val="17"/>
          <w:szCs w:val="17"/>
          <w:color w:val="auto"/>
        </w:rPr>
        <w:t>”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GeneDx will incur significant transaction and transition costs in connection with the Acquisition.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incurred and expect to incur significant, non-recurring costs in connection with consummating the Acquisition. We may also incur additional costs to retain key employees. All expenses incurred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Merger Agreement and the Acquisition, including all legal, accounting, consulting, investment banking and other fees, expenses and costs, will be for the account of the party incurring such fees, expenses and costs or paid by the Company following the </w:t>
      </w:r>
      <w:r>
        <w:rPr>
          <w:rFonts w:ascii="Arial" w:cs="Arial" w:eastAsia="Arial" w:hAnsi="Arial"/>
          <w:sz w:val="18"/>
          <w:szCs w:val="18"/>
          <w:b w:val="1"/>
          <w:bCs w:val="1"/>
          <w:i w:val="1"/>
          <w:iCs w:val="1"/>
          <w:color w:val="auto"/>
        </w:rPr>
        <w:t>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Acquisition may not be realized fully or at all or may take longer to realize than expected.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Acquisition involves the integration of two companies that have previously operated independently. Prior to the announcement, Sema4 and GeneDx did not conduct any integration planning for the two companies, and their ability to do so prior to consummation of the Acquisition may be substantially limited by applicable law. After the Acquisition, the two companies will devote significant management attention and resources to integrating the two businesses. Delays in this process could adversely affect the combined company’s business, financial results, financial condition and stock price. Even if Sema4 and GeneDx are able to integrate their business operations successfully, there can be no assurance that this integration will result in the realization of the full benefits of synergies, cost savings, innovation and operational efficiencies that they currently expect from this integration or that these benefits will be achieved within the anticipated time frame.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the Company’s securities may decline. The market values of our securities at the time of the Acquisition may vary significantly from their prices on the date the Merger Agreement was executed, the date of this proxy statement, or the date on which our stockholders vote at the Special Meeting.</w:t>
      </w:r>
    </w:p>
    <w:p>
      <w:pPr>
        <w:spacing w:after="0" w:line="126"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auto"/>
        </w:rPr>
        <w:t>For additional factors that may affect the trading price of the Company’s securities see “</w:t>
      </w:r>
      <w:r>
        <w:rPr>
          <w:rFonts w:ascii="Arial" w:cs="Arial" w:eastAsia="Arial" w:hAnsi="Arial"/>
          <w:sz w:val="17"/>
          <w:szCs w:val="17"/>
          <w:b w:val="1"/>
          <w:bCs w:val="1"/>
          <w:color w:val="auto"/>
        </w:rPr>
        <w:t>—</w:t>
      </w:r>
      <w:r>
        <w:rPr>
          <w:rFonts w:ascii="Arial" w:cs="Arial" w:eastAsia="Arial" w:hAnsi="Arial"/>
          <w:sz w:val="17"/>
          <w:szCs w:val="17"/>
          <w:i w:val="1"/>
          <w:iCs w:val="1"/>
          <w:color w:val="auto"/>
        </w:rPr>
        <w:t>Risks Related to Sema4’s Business, Industry and Operations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If we do not meet the expectations of investors, stockholders or financial analysts, the market price of our securities may decline</w:t>
      </w:r>
      <w:r>
        <w:rPr>
          <w:rFonts w:ascii="Arial" w:cs="Arial" w:eastAsia="Arial" w:hAnsi="Arial"/>
          <w:sz w:val="17"/>
          <w:szCs w:val="17"/>
          <w:color w:val="auto"/>
        </w:rPr>
        <w:t>.”</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Stock Consideration is not adjustable based on the market price of our Class A common stock so the Stock Consideration at the Closing may have a greater or lesser value than at the time the Merger Agreement was signed.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Merger Agreement provides that a fixed number of shares of our Class A common stock will be issued as the Stock Consideration at the Closing. Any changes in the market price of our Class A common stock before the completion of the Acquisition will not affect the number of shares OPKO will be entitled to receive pursuant to the Merger Agreement. Therefore, if before the completion of the Acquisition, the market price of our Class A common stock increases from the market price on January 14, 2022, then OPKO could receive Stock Consideration with substantially greater value for its shares of GeneDx’s capital stock than the value of our Class A common stock when Sema4 entered into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financial information regarding GeneDx and Sema4 may not prove accurate.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performing its financial analysis and rendering its opinion, Goldman Sachs &amp; Co. LLC, the financial advisor to Sema4, reviewed and relied on, among other things, forecasts for GeneDx, which were prepared by GeneDx management and adjusted by management of Sema4, financial forecasts for Sema4, and pro forma financial forecasts for the combined company after giving effect to the Acquisition. This prospective financial information reflects numerous assumption and estimate, including, without limitation, as to industry performance, general business, economic, regulatory, market and financial conditions and other future events. This prospective financial information was not prepared with a view to public disclosure, is subject to significant economic, competitive, industry, and other uncertainties and may not be achieved in full, at all, or within projected timeframes. The failure of GeneDx’s or Sema4’s business to achieve projected results could have a material adverse effect on the price of Sema4’s securities and financial condition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 this proxy statement is presented for illustrative purposes only and may not be reflective of the operating results and financial condition of Sema4 following completion of the Acquisition.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unaudited pro forma combined financial information in this proxy statement is presented for illustrative purposes only and is not necessarily indicative of what Sema4’s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proposed transaction. Further, Sema4’s actual results and financial condition after the Acquisition may differ materially and adversely from the unaudited pro forma combined financial data that is included in this proxy statement. The unaudited pro forma combined financial information reflects adjustments based upon preliminary estimates of the fair value of assets to be acquired and liabilities to be assumed. The final acquisition accounting will be based upon the actual purchase price and the fair value of the assets and liabilities of GeneDx as of the date of the completion of the Acquisition. In addition, subsequent to the Closing Date, there will be further refinements of the acquisition accounting as additional information becomes available. Accordingly, the final acquisition accounting may differ materially from the unaudited pro forma combined financial information reflected in this proxy statement. For further discussion, see “</w:t>
      </w:r>
      <w:r>
        <w:rPr>
          <w:rFonts w:ascii="Arial" w:cs="Arial" w:eastAsia="Arial" w:hAnsi="Arial"/>
          <w:sz w:val="17"/>
          <w:szCs w:val="17"/>
          <w:i w:val="1"/>
          <w:iCs w:val="1"/>
          <w:color w:val="auto"/>
        </w:rPr>
        <w:t>Unaudited Pro Forma Combined Financial Information</w:t>
      </w:r>
      <w:r>
        <w:rPr>
          <w:rFonts w:ascii="Arial" w:cs="Arial" w:eastAsia="Arial" w:hAnsi="Arial"/>
          <w:sz w:val="17"/>
          <w:szCs w:val="17"/>
          <w:color w:val="auto"/>
        </w:rPr>
        <w:t>”.</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Sema4 has not obtained, and does not expect to obtain, an updated opinion from Goldman Sachs &amp; Co. LLC, reflecting changes in circumstances that may have occurred since the signing of the Merger Agreement.</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opinion rendered to the Board by Goldman Sachs &amp; Co. LLC was provided in connection with, and at the time of, the Board’s evaluation of the Acquisition on January 14, 2022. The opinion was based on financial forecasts and other information made available to Goldman Sachs &amp; Co. LLC as of the date of its opinion, which may have changed, or may change, after the date of such opinion. Sema4 has not obtained an updated opinion from Goldman Sachs &amp; Co. LLC as of the date of this proxy statement. Sema4 does not expect to obtain an updated opinion prior to completion of the Acquisition. Changes in the operations and prospects of Sema4 or GeneDx, general market and economic conditions and other factors which may be beyond the control of Sema4 or GeneDx, and on which the opinion was based, may have altered the prices or values of shares of our Class A common stock or shares of GeneDx common stock since the date of such opinion, or may alter such values and prices by the time the Acquisition is completed. The opinion does not speak as of any date other than the date of such opinion. For a description of Goldman Sachs &amp; Co. LLC’s opinion, see “</w:t>
      </w:r>
      <w:r>
        <w:rPr>
          <w:rFonts w:ascii="Arial" w:cs="Arial" w:eastAsia="Arial" w:hAnsi="Arial"/>
          <w:sz w:val="18"/>
          <w:szCs w:val="18"/>
          <w:i w:val="1"/>
          <w:iCs w:val="1"/>
          <w:color w:val="auto"/>
        </w:rPr>
        <w:t>The Acquisition—Opinion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Sema4’s Financial Advisor</w:t>
      </w:r>
      <w:r>
        <w:rPr>
          <w:rFonts w:ascii="Arial" w:cs="Arial" w:eastAsia="Arial" w:hAnsi="Arial"/>
          <w:sz w:val="18"/>
          <w:szCs w:val="18"/>
          <w:color w:val="auto"/>
        </w:rPr>
        <w:t>”.</w:t>
      </w:r>
    </w:p>
    <w:p>
      <w:pPr>
        <w:spacing w:after="0" w:line="14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Sema4 may be the target of transaction related lawsuits which could result in substantial costs and may delay or prevent the Acquisition from being completed. If the Acquisition is completed, Sema4 will also assume GeneDx’s risks arising from various legal proceedings.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Sema4’s and GeneDx’s respective liquidity and financial condition. Additionally, if a plaintiff is successful in obtaining an injunction prohibiting completion of the Acquisition, then that injunction may delay or prevent the Acquisition from being completed, which may adversely affect Sema4’s and GeneDx’s respective business, financial condition and results of operation. There can be no assurance that complaints will not be filed with respect to the Acquisition.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One of the conditions to completion of the Acquisition is the absence of any injunction or order being in effect that prohibits completion of the Acquisition. Accordingly, if a plaintiff is successful in obtaining any injunction or order prohibiting the completion of the Acquisition, then such injunction or order may prevent the Acquisition from being completed, or from being completed within the expected timeframe.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Sema4 completes the Acquisition, it will assume GeneDx’s risks arising from legal proceedings. In addition, following the Closing of the Acquisition, the strategies or motivations of a party or parties with respect to actual or potential litigation against Sema4 may change. Sema4 cannot predict with certainty the eventual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outcome of GeneDx’s pending or future legal proceedings and the ultimate outcome of such matters could be material to the Company’s results of operations, cash flows and financial condition following the Acquisition.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or payment of any Milestone Payment or any liabilities for which Sema4 or OPKO believes it was indemnified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financial statements are based on the historical consolidated financial statements of Sema4 and historical combined financial statements of GeneDx and are adjusted to give effect to the pending Acquisition. In order to finance the Acquisition, Sema4 entered into Subscription Agreements with the PIPE Investors. The PIPE Investment is expected to close substantially concurrently with the closing of the Acquisition.</w:t>
      </w:r>
    </w:p>
    <w:p>
      <w:pPr>
        <w:spacing w:after="0" w:line="13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balance sheet as of December 31, 2021, combines the audited historical consolidated balance sheet of Sema4 as of December 31, 2021, with the audited historical combined balance sheet of GeneDx as of December 31, 2021, giving effect to the Acquisition, the PIPE Investment and all factually supportable adjustments that are directly attributable to the Transactions, as if they had been consummated as of that date.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statements of operations for the year ended December 31, 2021, combine the historical consolidated statements of comprehensive loss of Sema4 and the historical combined statements of operations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combined financial statements of GeneDx as described further in Note 2 — </w:t>
      </w:r>
      <w:r>
        <w:rPr>
          <w:rFonts w:ascii="Arial" w:cs="Arial" w:eastAsia="Arial" w:hAnsi="Arial"/>
          <w:sz w:val="18"/>
          <w:szCs w:val="18"/>
          <w:i w:val="1"/>
          <w:iCs w:val="1"/>
          <w:color w:val="auto"/>
        </w:rPr>
        <w:t>Basis of Presentation</w:t>
      </w:r>
      <w:r>
        <w:rPr>
          <w:rFonts w:ascii="Arial" w:cs="Arial" w:eastAsia="Arial" w:hAnsi="Arial"/>
          <w:sz w:val="18"/>
          <w:szCs w:val="18"/>
          <w:color w:val="auto"/>
        </w:rPr>
        <w:t>. The unaudited pro forma combined financial information includes adjustments which are preliminary and may be revised upon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Sema4. Upon completion of the Acquisition, Sema4 will perform a more detailed review of the GeneDx accounting policies. As a result of that review, differences could be identified between the accounting policies of the two companies that, when conformed, have a material impact on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jc w:val="right"/>
              <w:ind w:right="28"/>
              <w:spacing w:after="0" w:line="135" w:lineRule="exact"/>
              <w:rPr>
                <w:sz w:val="20"/>
                <w:szCs w:val="20"/>
                <w:color w:val="auto"/>
              </w:rPr>
            </w:pPr>
            <w:r>
              <w:rPr>
                <w:rFonts w:ascii="Arial" w:cs="Arial" w:eastAsia="Arial" w:hAnsi="Arial"/>
                <w:sz w:val="14"/>
                <w:szCs w:val="14"/>
                <w:b w:val="1"/>
                <w:bCs w:val="1"/>
                <w:color w:val="auto"/>
                <w:w w:val="97"/>
              </w:rPr>
              <w:t>Pro forma Adjustment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5"/>
              </w:rPr>
              <w:t>Pro Forma Balance</w:t>
            </w: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Sheet</w:t>
            </w:r>
          </w:p>
        </w:tc>
        <w:tc>
          <w:tcPr>
            <w:tcW w:w="0" w:type="dxa"/>
            <w:vAlign w:val="bottom"/>
          </w:tcPr>
          <w:p>
            <w:pPr>
              <w:spacing w:after="0"/>
              <w:rPr>
                <w:sz w:val="1"/>
                <w:szCs w:val="1"/>
                <w:color w:val="auto"/>
              </w:rPr>
            </w:pPr>
          </w:p>
        </w:tc>
      </w:tr>
      <w:tr>
        <w:trPr>
          <w:trHeight w:val="78"/>
        </w:trPr>
        <w:tc>
          <w:tcPr>
            <w:tcW w:w="4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49,201</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99"/>
              </w:rPr>
              <w:t>a1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449,914</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46,850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Due from related parties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Inventory</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41,284</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(594) </w:t>
            </w:r>
            <w:r>
              <w:rPr>
                <w:rFonts w:ascii="Arial" w:cs="Arial" w:eastAsia="Arial" w:hAnsi="Arial"/>
                <w:sz w:val="9"/>
                <w:szCs w:val="9"/>
                <w:color w:val="auto"/>
              </w:rPr>
              <w:t>b5</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21,982</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48,607</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565,690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62,719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90,996</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6,983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Intangible assets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50,112</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99"/>
              </w:rPr>
              <w:t>e1</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217,000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6,936</w:t>
            </w:r>
          </w:p>
        </w:tc>
        <w:tc>
          <w:tcPr>
            <w:tcW w:w="500" w:type="dxa"/>
            <w:vAlign w:val="bottom"/>
          </w:tcPr>
          <w:p>
            <w:pPr>
              <w:jc w:val="right"/>
              <w:ind w:right="393"/>
              <w:spacing w:after="0"/>
              <w:rPr>
                <w:sz w:val="20"/>
                <w:szCs w:val="20"/>
                <w:color w:val="auto"/>
              </w:rPr>
            </w:pPr>
            <w:r>
              <w:rPr>
                <w:rFonts w:ascii="Arial" w:cs="Arial" w:eastAsia="Arial" w:hAnsi="Arial"/>
                <w:sz w:val="9"/>
                <w:szCs w:val="9"/>
                <w:color w:val="auto"/>
              </w:rPr>
              <w:t>f</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288,960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Due from Parent and its subsidiaries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9"/>
                <w:szCs w:val="9"/>
                <w:color w:val="auto"/>
              </w:rPr>
              <w:t>b2</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Operating lease right of use assets</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93"/>
              <w:spacing w:after="0"/>
              <w:rPr>
                <w:sz w:val="20"/>
                <w:szCs w:val="20"/>
                <w:color w:val="auto"/>
              </w:rPr>
            </w:pPr>
            <w:r>
              <w:rPr>
                <w:rFonts w:ascii="Arial" w:cs="Arial" w:eastAsia="Arial" w:hAnsi="Arial"/>
                <w:sz w:val="14"/>
                <w:szCs w:val="14"/>
                <w:color w:val="auto"/>
              </w:rPr>
              <w:t xml:space="preserve">(5,789) </w:t>
            </w:r>
            <w:r>
              <w:rPr>
                <w:rFonts w:ascii="Arial" w:cs="Arial" w:eastAsia="Arial" w:hAnsi="Arial"/>
                <w:sz w:val="9"/>
                <w:szCs w:val="9"/>
                <w:color w:val="auto"/>
              </w:rPr>
              <w:t>c</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related companies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(205) </w:t>
            </w:r>
            <w:r>
              <w:rPr>
                <w:rFonts w:ascii="Arial" w:cs="Arial" w:eastAsia="Arial" w:hAnsi="Arial"/>
                <w:sz w:val="9"/>
                <w:szCs w:val="9"/>
                <w:color w:val="auto"/>
              </w:rPr>
              <w:t>b1</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516,780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99,656</w:t>
            </w:r>
          </w:p>
        </w:tc>
        <w:tc>
          <w:tcPr>
            <w:tcW w:w="5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1,170,529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44,693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50,090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35,673</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Due to related parties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capital lease obligations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Current contract liabilities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30,539</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33"/>
              <w:spacing w:after="0"/>
              <w:rPr>
                <w:sz w:val="20"/>
                <w:szCs w:val="20"/>
                <w:color w:val="auto"/>
              </w:rPr>
            </w:pPr>
            <w:r>
              <w:rPr>
                <w:rFonts w:ascii="Arial" w:cs="Arial" w:eastAsia="Arial" w:hAnsi="Arial"/>
                <w:sz w:val="14"/>
                <w:szCs w:val="14"/>
                <w:color w:val="auto"/>
              </w:rPr>
              <w:t xml:space="preserve">(180) </w:t>
            </w:r>
            <w:r>
              <w:rPr>
                <w:rFonts w:ascii="Arial" w:cs="Arial" w:eastAsia="Arial" w:hAnsi="Arial"/>
                <w:sz w:val="9"/>
                <w:szCs w:val="9"/>
                <w:color w:val="auto"/>
              </w:rPr>
              <w:t>b3</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101,284</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21,713</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122,817</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Long-term debt, net of current portion</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Capital lease obligation, net of current portion</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15,800</w:t>
            </w:r>
          </w:p>
        </w:tc>
        <w:tc>
          <w:tcPr>
            <w:tcW w:w="500" w:type="dxa"/>
            <w:vAlign w:val="bottom"/>
          </w:tcPr>
          <w:p>
            <w:pPr>
              <w:jc w:val="right"/>
              <w:ind w:right="333"/>
              <w:spacing w:after="0"/>
              <w:rPr>
                <w:sz w:val="20"/>
                <w:szCs w:val="20"/>
                <w:color w:val="auto"/>
              </w:rPr>
            </w:pPr>
            <w:r>
              <w:rPr>
                <w:rFonts w:ascii="Arial" w:cs="Arial" w:eastAsia="Arial" w:hAnsi="Arial"/>
                <w:sz w:val="9"/>
                <w:szCs w:val="9"/>
                <w:color w:val="auto"/>
                <w:w w:val="99"/>
              </w:rPr>
              <w:t>a3</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19,280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Earn-out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Warrant liability</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21,555</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lease liabilities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93"/>
              <w:spacing w:after="0"/>
              <w:rPr>
                <w:sz w:val="20"/>
                <w:szCs w:val="20"/>
                <w:color w:val="auto"/>
              </w:rPr>
            </w:pPr>
            <w:r>
              <w:rPr>
                <w:rFonts w:ascii="Arial" w:cs="Arial" w:eastAsia="Arial" w:hAnsi="Arial"/>
                <w:sz w:val="14"/>
                <w:szCs w:val="14"/>
                <w:color w:val="auto"/>
              </w:rPr>
              <w:t xml:space="preserve">(9,936) </w:t>
            </w:r>
            <w:r>
              <w:rPr>
                <w:rFonts w:ascii="Arial" w:cs="Arial" w:eastAsia="Arial" w:hAnsi="Arial"/>
                <w:sz w:val="9"/>
                <w:szCs w:val="9"/>
                <w:color w:val="auto"/>
              </w:rPr>
              <w:t>c</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Deferred tax liabilities, net</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33"/>
              <w:spacing w:after="0"/>
              <w:rPr>
                <w:sz w:val="20"/>
                <w:szCs w:val="20"/>
                <w:color w:val="auto"/>
              </w:rPr>
            </w:pPr>
            <w:r>
              <w:rPr>
                <w:rFonts w:ascii="Arial" w:cs="Arial" w:eastAsia="Arial" w:hAnsi="Arial"/>
                <w:sz w:val="14"/>
                <w:szCs w:val="14"/>
                <w:color w:val="auto"/>
              </w:rPr>
              <w:t xml:space="preserve">(24,063) </w:t>
            </w:r>
            <w:r>
              <w:rPr>
                <w:rFonts w:ascii="Arial" w:cs="Arial" w:eastAsia="Arial" w:hAnsi="Arial"/>
                <w:sz w:val="9"/>
                <w:szCs w:val="9"/>
                <w:color w:val="auto"/>
              </w:rPr>
              <w:t>b4</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165,990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55,712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(18,379)</w:t>
            </w: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203,323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Sema4 Class A common stock, $0.0001 par value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233"/>
              <w:spacing w:after="0"/>
              <w:rPr>
                <w:sz w:val="20"/>
                <w:szCs w:val="20"/>
                <w:color w:val="auto"/>
              </w:rPr>
            </w:pPr>
            <w:r>
              <w:rPr>
                <w:rFonts w:ascii="Arial" w:cs="Arial" w:eastAsia="Arial" w:hAnsi="Arial"/>
                <w:sz w:val="9"/>
                <w:szCs w:val="9"/>
                <w:color w:val="auto"/>
                <w:w w:val="88"/>
              </w:rPr>
              <w:t>a1,a2</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963,520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660,506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73"/>
              <w:spacing w:after="0"/>
              <w:rPr>
                <w:sz w:val="20"/>
                <w:szCs w:val="20"/>
                <w:color w:val="auto"/>
              </w:rPr>
            </w:pPr>
            <w:r>
              <w:rPr>
                <w:rFonts w:ascii="Arial" w:cs="Arial" w:eastAsia="Arial" w:hAnsi="Arial"/>
                <w:sz w:val="14"/>
                <w:szCs w:val="14"/>
                <w:color w:val="auto"/>
              </w:rPr>
              <w:t xml:space="preserve">(148,292) </w:t>
            </w:r>
            <w:r>
              <w:rPr>
                <w:rFonts w:ascii="Arial" w:cs="Arial" w:eastAsia="Arial" w:hAnsi="Arial"/>
                <w:sz w:val="9"/>
                <w:szCs w:val="9"/>
                <w:color w:val="auto"/>
              </w:rPr>
              <w:t>g</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1,475,734</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(575,441)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266,314</w:t>
            </w:r>
          </w:p>
        </w:tc>
        <w:tc>
          <w:tcPr>
            <w:tcW w:w="500" w:type="dxa"/>
            <w:vAlign w:val="bottom"/>
            <w:tcBorders>
              <w:bottom w:val="single" w:sz="8" w:color="CCEEFF"/>
            </w:tcBorders>
          </w:tcPr>
          <w:p>
            <w:pPr>
              <w:jc w:val="right"/>
              <w:ind w:right="333"/>
              <w:spacing w:after="0"/>
              <w:rPr>
                <w:sz w:val="20"/>
                <w:szCs w:val="20"/>
                <w:color w:val="auto"/>
              </w:rPr>
            </w:pPr>
            <w:r>
              <w:rPr>
                <w:rFonts w:ascii="Arial" w:cs="Arial" w:eastAsia="Arial" w:hAnsi="Arial"/>
                <w:sz w:val="9"/>
                <w:szCs w:val="9"/>
                <w:color w:val="auto"/>
                <w:w w:val="99"/>
              </w:rPr>
              <w:t>b4</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(508,565)</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388,103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461,068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118,035</w:t>
            </w:r>
          </w:p>
        </w:tc>
        <w:tc>
          <w:tcPr>
            <w:tcW w:w="5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967,206</w:t>
            </w:r>
          </w:p>
        </w:tc>
        <w:tc>
          <w:tcPr>
            <w:tcW w:w="0" w:type="dxa"/>
            <w:vAlign w:val="bottom"/>
          </w:tcPr>
          <w:p>
            <w:pPr>
              <w:spacing w:after="0"/>
              <w:rPr>
                <w:sz w:val="1"/>
                <w:szCs w:val="1"/>
                <w:color w:val="auto"/>
              </w:rPr>
            </w:pPr>
          </w:p>
        </w:tc>
      </w:tr>
      <w:tr>
        <w:trPr>
          <w:trHeight w:val="186"/>
        </w:trPr>
        <w:tc>
          <w:tcPr>
            <w:tcW w:w="432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516,780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99,656</w:t>
            </w:r>
          </w:p>
        </w:tc>
        <w:tc>
          <w:tcPr>
            <w:tcW w:w="5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1,170,529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Statement of</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78"/>
        </w:trPr>
        <w:tc>
          <w:tcPr>
            <w:tcW w:w="43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11,113</w:t>
            </w:r>
          </w:p>
        </w:tc>
        <w:tc>
          <w:tcPr>
            <w:tcW w:w="500" w:type="dxa"/>
            <w:vAlign w:val="bottom"/>
          </w:tcPr>
          <w:p>
            <w:pPr>
              <w:ind w:left="20"/>
              <w:spacing w:after="0"/>
              <w:rPr>
                <w:sz w:val="20"/>
                <w:szCs w:val="20"/>
                <w:color w:val="auto"/>
              </w:rPr>
            </w:pPr>
            <w:r>
              <w:rPr>
                <w:rFonts w:ascii="Arial" w:cs="Arial" w:eastAsia="Arial" w:hAnsi="Arial"/>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Arial" w:cs="Arial" w:eastAsia="Arial" w:hAnsi="Arial"/>
                <w:sz w:val="18"/>
                <w:szCs w:val="18"/>
                <w:color w:val="auto"/>
              </w:rPr>
              <w:t xml:space="preserve">(16,813) </w:t>
            </w:r>
            <w:r>
              <w:rPr>
                <w:rFonts w:ascii="Arial" w:cs="Arial" w:eastAsia="Arial" w:hAnsi="Arial"/>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 fair value of warrant and earn-out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contingent 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(296,308)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440" w:right="339" w:bottom="1440" w:gutter="0" w:footer="0" w:header="0"/>
          <w:type w:val="continuous"/>
        </w:sectPr>
      </w:pPr>
    </w:p>
    <w:bookmarkStart w:id="99" w:name="page100"/>
    <w:bookmarkEnd w:id="9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acquisition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14, 2022, Sema4, Merger Sub I and Merger Sub II entered into the Merger Agreement with GeneDx, a wholly-owned subsidiary of OPKO, Holdco and OPKO.</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After giving effect to the Acquisition and the other transactions contemplated by the Merger Agreement, GeneDx will have converted into a Delaware limited liability company and be a wholly-owned indirect subsidiary of Sema4. Subject to the terms and conditions of the Merger Agreement, Sema4 will pay consideration to OPKO, for the Acquisition of (i) $150 million in cash at the closing of the Acquisition, subject to certain adjustments as provided in the Merger Agreement, (ii) 80 million shares of Sema4’s Class A common stock to be issued at the Closing and (iii)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Additionally, in connection with entering into the Merger Agreement and as a condition under the Merger Agreement, Sema4 entered into Subscription Agreements for the PIPE Investment to sell $200 million in Class A common stock at a price of $4.00 per share to the PIPE Investors.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Arial" w:cs="Arial" w:eastAsia="Arial" w:hAnsi="Arial"/>
          <w:sz w:val="18"/>
          <w:szCs w:val="18"/>
          <w:i w:val="1"/>
          <w:iCs w:val="1"/>
          <w:color w:val="auto"/>
        </w:rPr>
        <w:t>Regulation S-X</w:t>
      </w:r>
      <w:r>
        <w:rPr>
          <w:rFonts w:ascii="Arial" w:cs="Arial" w:eastAsia="Arial" w:hAnsi="Arial"/>
          <w:sz w:val="18"/>
          <w:szCs w:val="18"/>
          <w:color w:val="auto"/>
        </w:rPr>
        <w:t>”), using accounting policies in accordance with GAAP.</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combined financial statements;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Sema4 as of December 31, 2021, and the related notes, in each case, included in this proxy statement;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 audited historical combined financial statements of GeneDx as of and for the year ended December 31, 2021, and the related notes, in each case, included in this proxy statement;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GeneDx</w:t>
      </w:r>
      <w:r>
        <w:rPr>
          <w:rFonts w:ascii="Arial" w:cs="Arial" w:eastAsia="Arial" w:hAnsi="Arial"/>
          <w:sz w:val="18"/>
          <w:szCs w:val="18"/>
          <w:color w:val="auto"/>
        </w:rPr>
        <w:t>” and the other financial information included elsewhere in this proxy statement.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completion of the Acquisition is subject to various closing conditions, including, among others, (i) approval by Sema4’s stockholders of the issuance of the Stock Consideration under the Merger Agreement, (ii) delivery of closing certificates, including the Closing Certificate, Allocation Schedule Certificate, and Good Standing Certificates, each as defined in the Merger Agreement, (iii) the accuracy of the representations of GeneDx and Sema4, (iv) the performance by GeneDx and Sema4 in all material respects of their respective obligations under the Merger Agreement, and (v) no material adverse effect, litigation, injunctions or restraints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financial statements assume that (i) the all proposals required to be approved under the Merger Agreement are approved by Sema4’s stockholders and (ii) all other Acquisition-related transactions are consummated. Management elected not to present any adjustments related to synergies or dis-synergies that may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Acquisition will be accounted for using the acquisition method of accounting in accordance with Accounting Standards Codification (“ASC”) 805</w:t>
      </w:r>
    </w:p>
    <w:p>
      <w:pPr>
        <w:spacing w:after="0" w:line="46" w:lineRule="exact"/>
        <w:rPr>
          <w:sz w:val="20"/>
          <w:szCs w:val="20"/>
          <w:color w:val="auto"/>
        </w:rPr>
      </w:pPr>
    </w:p>
    <w:p>
      <w:pPr>
        <w:jc w:val="both"/>
        <w:ind w:firstLine="8"/>
        <w:spacing w:after="0" w:line="295" w:lineRule="auto"/>
        <w:tabs>
          <w:tab w:leader="none" w:pos="1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is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GeneDx Accounting Policies Historical Financial Statement Reclassification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GeneDx’s historical combined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financial statements and preliminary discussion with GeneDx management. Sema4 does not believe there are any differences in the accounting policies that will result in material adjustments to Sema4’s consolidated financial statements. Upon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2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4. Adjustments to unaudited pro forma combines financial information</w:t>
            </w:r>
          </w:p>
        </w:tc>
        <w:tc>
          <w:tcPr>
            <w:tcW w:w="1520" w:type="dxa"/>
            <w:vAlign w:val="bottom"/>
          </w:tcPr>
          <w:p>
            <w:pPr>
              <w:spacing w:after="0"/>
              <w:rPr>
                <w:sz w:val="20"/>
                <w:szCs w:val="20"/>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The adjustments included in the unaudited preliminary pro forma combined financial statements are as follows:</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  Estimated aggregate purchase price consideration and allocation:</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The aggregate purchase price consideration is estimated to be approximately $478.8 million as follows (in millions):</w:t>
            </w:r>
          </w:p>
        </w:tc>
        <w:tc>
          <w:tcPr>
            <w:tcW w:w="152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r>
      <w:tr>
        <w:trPr>
          <w:trHeight w:val="230"/>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Closing Net Working Capital 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(a1)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139.8</w:t>
            </w:r>
          </w:p>
        </w:tc>
      </w:tr>
      <w:tr>
        <w:trPr>
          <w:trHeight w:val="230"/>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Add: Stock Consideration </w:t>
            </w:r>
            <w:r>
              <w:rPr>
                <w:rFonts w:ascii="Arial" w:cs="Arial" w:eastAsia="Arial" w:hAnsi="Arial"/>
                <w:sz w:val="23"/>
                <w:szCs w:val="23"/>
                <w:color w:val="auto"/>
                <w:vertAlign w:val="superscript"/>
              </w:rPr>
              <w:t>(a2)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323.2</w:t>
            </w: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Fair value of Contingent Consideration </w:t>
            </w:r>
            <w:r>
              <w:rPr>
                <w:rFonts w:ascii="Arial" w:cs="Arial" w:eastAsia="Arial" w:hAnsi="Arial"/>
                <w:sz w:val="23"/>
                <w:szCs w:val="23"/>
                <w:color w:val="auto"/>
                <w:vertAlign w:val="superscript"/>
              </w:rPr>
              <w:t>(a3)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Aggregate Purchase Price Consideration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60" w:hanging="323"/>
        <w:spacing w:after="0" w:line="275" w:lineRule="auto"/>
        <w:rPr>
          <w:sz w:val="20"/>
          <w:szCs w:val="20"/>
          <w:color w:val="auto"/>
        </w:rPr>
      </w:pPr>
      <w:r>
        <w:rPr>
          <w:rFonts w:ascii="Arial" w:cs="Arial" w:eastAsia="Arial" w:hAnsi="Arial"/>
          <w:sz w:val="17"/>
          <w:szCs w:val="17"/>
          <w:color w:val="auto"/>
        </w:rPr>
        <w:t>a1) 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ind w:left="1300" w:right="260" w:hanging="647"/>
        <w:spacing w:after="0" w:line="263" w:lineRule="auto"/>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80 million shares of Sema4 Class A common stock will be issued to the seller upon closing of the Acquisition. We estimated the Stock Consideration based on a per share price of $4.04, which was the closing price of the Class A common stock on January 14, 2022, the date the Merger Agreement was signed.</w:t>
      </w:r>
    </w:p>
    <w:p>
      <w:pPr>
        <w:spacing w:after="0" w:line="130" w:lineRule="exact"/>
        <w:rPr>
          <w:sz w:val="20"/>
          <w:szCs w:val="20"/>
          <w:color w:val="auto"/>
        </w:rPr>
      </w:pPr>
    </w:p>
    <w:p>
      <w:pPr>
        <w:ind w:left="1300" w:right="440" w:hanging="647"/>
        <w:spacing w:after="0" w:line="342" w:lineRule="auto"/>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d2</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b1,b2,c</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b3</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b4,c</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00" w:hanging="1195"/>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144</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20,341</w:t>
      </w:r>
    </w:p>
    <w:p>
      <w:pPr>
        <w:spacing w:after="0" w:line="3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7,828</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4,632</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28,330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(27,134)</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288,960</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217,000</w:t>
      </w:r>
    </w:p>
    <w:p>
      <w:pPr>
        <w:spacing w:after="0" w:line="47" w:lineRule="exact"/>
        <w:rPr>
          <w:sz w:val="20"/>
          <w:szCs w:val="20"/>
          <w:color w:val="auto"/>
        </w:rPr>
      </w:pPr>
    </w:p>
    <w:p>
      <w:pPr>
        <w:ind w:left="880" w:hanging="875"/>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986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-10% change</w:t>
            </w:r>
          </w:p>
        </w:tc>
        <w:tc>
          <w:tcPr>
            <w:tcW w:w="1560" w:type="dxa"/>
            <w:vAlign w:val="bottom"/>
          </w:tcPr>
          <w:p>
            <w:pPr>
              <w:ind w:left="360"/>
              <w:spacing w:after="0"/>
              <w:rPr>
                <w:sz w:val="20"/>
                <w:szCs w:val="20"/>
                <w:color w:val="auto"/>
              </w:rPr>
            </w:pPr>
            <w:r>
              <w:rPr>
                <w:rFonts w:ascii="Arial" w:cs="Arial" w:eastAsia="Arial" w:hAnsi="Arial"/>
                <w:sz w:val="14"/>
                <w:szCs w:val="14"/>
                <w:b w:val="1"/>
                <w:bCs w:val="1"/>
                <w:color w:val="auto"/>
              </w:rPr>
              <w:t>+10% change</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per share</w:t>
            </w:r>
          </w:p>
        </w:tc>
        <w:tc>
          <w:tcPr>
            <w:tcW w:w="156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Purchase price (in thousands)</w:t>
            </w:r>
          </w:p>
        </w:tc>
        <w:tc>
          <w:tcPr>
            <w:tcW w:w="1560" w:type="dxa"/>
            <w:vAlign w:val="bottom"/>
          </w:tcPr>
          <w:p>
            <w:pPr>
              <w:jc w:val="right"/>
              <w:ind w:right="355"/>
              <w:spacing w:after="0"/>
              <w:rPr>
                <w:sz w:val="20"/>
                <w:szCs w:val="20"/>
                <w:color w:val="auto"/>
              </w:rPr>
            </w:pPr>
            <w:r>
              <w:rPr>
                <w:rFonts w:ascii="Arial" w:cs="Arial" w:eastAsia="Arial" w:hAnsi="Arial"/>
                <w:sz w:val="18"/>
                <w:szCs w:val="18"/>
                <w:color w:val="auto"/>
              </w:rPr>
              <w:t>$478,826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$446,506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$511,146</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vs pro forma (in thousands)</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$(32,320)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$32,320</w:t>
            </w:r>
          </w:p>
        </w:tc>
      </w:tr>
    </w:tbl>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estimated value of the purchase price consideration does not purport to represent the actual value of the total Merger Consideration that will be paid when the Acquisition is completed. The Stock Consideration will be remeasured at the closing date at the then-current market price. The value we use then will result in a per share value difference from the $4.04 per share assumed in the calculation, and that difference may be material. For example, an increase or decrease of 10% in the closing price of shares of Sema4’s Class A common stock from the closing price assumed in these unaudited pro forma combined financial statements would change the value of the purchase price by approximately $32.3 million.</w:t>
      </w:r>
    </w:p>
    <w:p>
      <w:pPr>
        <w:spacing w:after="0" w:line="122"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Elimination of GeneDx’s historical balance sheet accounts that are not acquired or assumed by Sema4:</w:t>
      </w:r>
    </w:p>
    <w:p>
      <w:pPr>
        <w:spacing w:after="0" w:line="171" w:lineRule="exact"/>
        <w:rPr>
          <w:rFonts w:ascii="Arial" w:cs="Arial" w:eastAsia="Arial" w:hAnsi="Arial"/>
          <w:sz w:val="18"/>
          <w:szCs w:val="18"/>
          <w:color w:val="auto"/>
        </w:rPr>
      </w:pPr>
    </w:p>
    <w:p>
      <w:pPr>
        <w:ind w:left="1300" w:right="200" w:hanging="648"/>
        <w:spacing w:after="0" w:line="277" w:lineRule="auto"/>
        <w:rPr>
          <w:rFonts w:ascii="Arial" w:cs="Arial" w:eastAsia="Arial" w:hAnsi="Arial"/>
          <w:sz w:val="18"/>
          <w:szCs w:val="18"/>
          <w:color w:val="auto"/>
        </w:rPr>
      </w:pPr>
      <w:r>
        <w:rPr>
          <w:rFonts w:ascii="Arial" w:cs="Arial" w:eastAsia="Arial" w:hAnsi="Arial"/>
          <w:sz w:val="18"/>
          <w:szCs w:val="18"/>
          <w:color w:val="auto"/>
        </w:rPr>
        <w:t>b1)As part of the pre-closing condition, GeneDx will exit the joint venture investment that had a carrying value of $0.2 million. Therefore, the related investment balance and impairment loss of $0.04 million is eliminated.</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Represents adjustment to eliminate the carrying value of intercompany receivables.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b3)</w:t>
      </w:r>
      <w:r>
        <w:rPr>
          <w:rFonts w:ascii="Arial" w:cs="Arial" w:eastAsia="Arial" w:hAnsi="Arial"/>
          <w:sz w:val="16"/>
          <w:szCs w:val="16"/>
          <w:color w:val="auto"/>
        </w:rPr>
        <w:t>Represents adjustment to eliminate the income tax payable.</w:t>
      </w:r>
    </w:p>
    <w:p>
      <w:pPr>
        <w:spacing w:after="0" w:line="171" w:lineRule="exact"/>
        <w:rPr>
          <w:rFonts w:ascii="Arial" w:cs="Arial" w:eastAsia="Arial" w:hAnsi="Arial"/>
          <w:sz w:val="18"/>
          <w:szCs w:val="18"/>
          <w:color w:val="auto"/>
        </w:rPr>
      </w:pPr>
    </w:p>
    <w:p>
      <w:pPr>
        <w:ind w:left="1300" w:right="160" w:hanging="648"/>
        <w:spacing w:after="0" w:line="284" w:lineRule="auto"/>
        <w:rPr>
          <w:rFonts w:ascii="Arial" w:cs="Arial" w:eastAsia="Arial" w:hAnsi="Arial"/>
          <w:sz w:val="18"/>
          <w:szCs w:val="18"/>
          <w:color w:val="auto"/>
        </w:rPr>
      </w:pPr>
      <w:r>
        <w:rPr>
          <w:rFonts w:ascii="Arial" w:cs="Arial" w:eastAsia="Arial" w:hAnsi="Arial"/>
          <w:sz w:val="18"/>
          <w:szCs w:val="18"/>
          <w:color w:val="auto"/>
        </w:rPr>
        <w:t>b4)</w:t>
      </w:r>
      <w:r>
        <w:rPr>
          <w:rFonts w:ascii="Arial" w:cs="Arial" w:eastAsia="Arial" w:hAnsi="Arial"/>
          <w:sz w:val="16"/>
          <w:szCs w:val="16"/>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type w:val="continuous"/>
        </w:sectPr>
      </w:pPr>
    </w:p>
    <w:bookmarkStart w:id="102" w:name="page103"/>
    <w:bookmarkEnd w:id="102"/>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8"/>
          <w:szCs w:val="18"/>
          <w:color w:val="auto"/>
        </w:rPr>
        <w:t>Represents adjustment to eliminate the prepaid bonus of GeneDx executives.</w:t>
      </w:r>
    </w:p>
    <w:p>
      <w:pPr>
        <w:spacing w:after="0" w:line="171" w:lineRule="exact"/>
        <w:rPr>
          <w:sz w:val="20"/>
          <w:szCs w:val="20"/>
          <w:color w:val="auto"/>
        </w:rPr>
      </w:pPr>
    </w:p>
    <w:p>
      <w:pPr>
        <w:jc w:val="both"/>
        <w:ind w:left="660" w:hanging="328"/>
        <w:spacing w:after="0" w:line="257" w:lineRule="auto"/>
        <w:tabs>
          <w:tab w:leader="none" w:pos="65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Adjustment of GeneDx’s historical income statement accounts relates to the following (in millions):</w:t>
      </w:r>
    </w:p>
    <w:p>
      <w:pPr>
        <w:spacing w:after="0" w:line="171" w:lineRule="exact"/>
        <w:rPr>
          <w:rFonts w:ascii="Arial" w:cs="Arial" w:eastAsia="Arial" w:hAnsi="Arial"/>
          <w:sz w:val="18"/>
          <w:szCs w:val="18"/>
          <w:color w:val="auto"/>
        </w:rPr>
      </w:pPr>
    </w:p>
    <w:p>
      <w:pPr>
        <w:ind w:left="1300" w:right="300" w:hanging="648"/>
        <w:spacing w:after="0" w:line="277" w:lineRule="auto"/>
        <w:rPr>
          <w:rFonts w:ascii="Arial" w:cs="Arial" w:eastAsia="Arial" w:hAnsi="Arial"/>
          <w:sz w:val="18"/>
          <w:szCs w:val="18"/>
          <w:color w:val="auto"/>
        </w:rPr>
      </w:pPr>
      <w:r>
        <w:rPr>
          <w:rFonts w:ascii="Arial" w:cs="Arial" w:eastAsia="Arial" w:hAnsi="Arial"/>
          <w:sz w:val="18"/>
          <w:szCs w:val="18"/>
          <w:color w:val="auto"/>
        </w:rPr>
        <w:t>d1)Adjustment of $7.2 million of selling and marketing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right="620" w:hanging="648"/>
        <w:spacing w:after="0" w:line="277" w:lineRule="auto"/>
        <w:rPr>
          <w:rFonts w:ascii="Arial" w:cs="Arial" w:eastAsia="Arial" w:hAnsi="Arial"/>
          <w:sz w:val="18"/>
          <w:szCs w:val="18"/>
          <w:color w:val="auto"/>
        </w:rPr>
      </w:pPr>
      <w:r>
        <w:rPr>
          <w:rFonts w:ascii="Arial" w:cs="Arial" w:eastAsia="Arial" w:hAnsi="Arial"/>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right="100" w:hanging="648"/>
        <w:spacing w:after="0" w:line="272" w:lineRule="auto"/>
        <w:rPr>
          <w:rFonts w:ascii="Arial" w:cs="Arial" w:eastAsia="Arial" w:hAnsi="Arial"/>
          <w:sz w:val="18"/>
          <w:szCs w:val="18"/>
          <w:color w:val="auto"/>
        </w:rPr>
      </w:pPr>
      <w:r>
        <w:rPr>
          <w:rFonts w:ascii="Arial" w:cs="Arial" w:eastAsia="Arial" w:hAnsi="Arial"/>
          <w:sz w:val="18"/>
          <w:szCs w:val="18"/>
          <w:color w:val="auto"/>
        </w:rPr>
        <w:t>d3)</w:t>
      </w:r>
      <w:r>
        <w:rPr>
          <w:rFonts w:ascii="Arial" w:cs="Arial" w:eastAsia="Arial" w:hAnsi="Arial"/>
          <w:sz w:val="17"/>
          <w:szCs w:val="17"/>
          <w:color w:val="auto"/>
        </w:rPr>
        <w:t>Stock-based compensation adjustment represents estimated $6.2 million of Sema4 stock awards that are agreed to be granted to certain executives once the transaction closes.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23" w:lineRule="exact"/>
        <w:rPr>
          <w:rFonts w:ascii="Arial" w:cs="Arial" w:eastAsia="Arial" w:hAnsi="Arial"/>
          <w:sz w:val="18"/>
          <w:szCs w:val="18"/>
          <w:color w:val="auto"/>
        </w:rPr>
      </w:pPr>
    </w:p>
    <w:p>
      <w:pPr>
        <w:ind w:left="1300" w:right="20" w:hanging="648"/>
        <w:spacing w:after="0" w:line="263" w:lineRule="auto"/>
        <w:rPr>
          <w:rFonts w:ascii="Arial" w:cs="Arial" w:eastAsia="Arial" w:hAnsi="Arial"/>
          <w:sz w:val="18"/>
          <w:szCs w:val="18"/>
          <w:color w:val="auto"/>
        </w:rPr>
      </w:pPr>
      <w:r>
        <w:rPr>
          <w:rFonts w:ascii="Arial" w:cs="Arial" w:eastAsia="Arial" w:hAnsi="Arial"/>
          <w:sz w:val="18"/>
          <w:szCs w:val="18"/>
          <w:color w:val="auto"/>
        </w:rPr>
        <w:t>d4)Income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estimated fair values of GeneDx’s identifiable intangible assets and their estimated useful lives determined (in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Annual Amortization</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w w:val="91"/>
              </w:rPr>
              <w:t>e2)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2"/>
              <w:spacing w:after="0" w:line="230" w:lineRule="exact"/>
              <w:rPr>
                <w:sz w:val="20"/>
                <w:szCs w:val="20"/>
                <w:color w:val="auto"/>
              </w:rPr>
            </w:pPr>
            <w:r>
              <w:rPr>
                <w:rFonts w:ascii="Arial" w:cs="Arial" w:eastAsia="Arial" w:hAnsi="Arial"/>
                <w:sz w:val="18"/>
                <w:szCs w:val="18"/>
                <w:color w:val="auto"/>
              </w:rPr>
              <w:t xml:space="preserve">(16.8) </w:t>
            </w:r>
            <w:r>
              <w:rPr>
                <w:rFonts w:ascii="Arial" w:cs="Arial" w:eastAsia="Arial" w:hAnsi="Arial"/>
                <w:sz w:val="23"/>
                <w:szCs w:val="23"/>
                <w:color w:val="auto"/>
                <w:vertAlign w:val="superscript"/>
              </w:rPr>
              <w:t>e3)</w:t>
            </w:r>
          </w:p>
        </w:tc>
      </w:tr>
      <w:tr>
        <w:trPr>
          <w:trHeight w:val="223"/>
        </w:trPr>
        <w:tc>
          <w:tcPr>
            <w:tcW w:w="5700" w:type="dxa"/>
            <w:vAlign w:val="bottom"/>
          </w:tcPr>
          <w:p>
            <w:pPr>
              <w:ind w:left="200"/>
              <w:spacing w:after="0"/>
              <w:rPr>
                <w:sz w:val="20"/>
                <w:szCs w:val="20"/>
                <w:color w:val="auto"/>
              </w:rPr>
            </w:pPr>
            <w:r>
              <w:rPr>
                <w:rFonts w:ascii="Arial" w:cs="Arial" w:eastAsia="Arial" w:hAnsi="Arial"/>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620" w:type="dxa"/>
            <w:vAlign w:val="bottom"/>
            <w:gridSpan w:val="3"/>
          </w:tcPr>
          <w:p>
            <w:pPr>
              <w:jc w:val="right"/>
              <w:ind w:right="390"/>
              <w:spacing w:after="0"/>
              <w:rPr>
                <w:sz w:val="20"/>
                <w:szCs w:val="20"/>
                <w:color w:val="auto"/>
              </w:rPr>
            </w:pPr>
            <w:r>
              <w:rPr>
                <w:rFonts w:ascii="Arial" w:cs="Arial" w:eastAsia="Arial" w:hAnsi="Arial"/>
                <w:sz w:val="12"/>
                <w:szCs w:val="12"/>
                <w:color w:val="auto"/>
                <w:w w:val="89"/>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77" w:lineRule="auto"/>
        <w:tabs>
          <w:tab w:leader="none" w:pos="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historical comparative per share information of Sema4 and GeneDx, each on a stand-alone basis, and the unaudited pro forma combined per share information after giving effect to the Acquisition and the PIPE Investment.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historical information should be read in conjunction with the historical financial statements of Sema4 and GeneDx included elsewhere in this proxy statement. The unaudited pro forma combined per share information is derived from, and should be read in conjunction with, the information contained in the section of this proxy statement entitled “</w:t>
      </w:r>
      <w:r>
        <w:rPr>
          <w:rFonts w:ascii="Arial" w:cs="Arial" w:eastAsia="Arial" w:hAnsi="Arial"/>
          <w:sz w:val="17"/>
          <w:szCs w:val="17"/>
          <w:i w:val="1"/>
          <w:iCs w:val="1"/>
          <w:color w:val="auto"/>
        </w:rPr>
        <w:t>Unaudited Pro Forma Combined Financial Information</w:t>
      </w:r>
      <w:r>
        <w:rPr>
          <w:rFonts w:ascii="Arial" w:cs="Arial" w:eastAsia="Arial" w:hAnsi="Arial"/>
          <w:sz w:val="17"/>
          <w:szCs w:val="17"/>
          <w:color w:val="auto"/>
        </w:rPr>
        <w: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unaudited pro forma combined per share information does not purport to represent what the actual results of operations of the Company would have been had the Acquisition been completed or project Sema4’s and GeneDx’s results of operations that may be achieved after the Acquisition.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Sema4</w:t>
            </w:r>
          </w:p>
        </w:tc>
        <w:tc>
          <w:tcPr>
            <w:tcW w:w="380" w:type="dxa"/>
            <w:vAlign w:val="bottom"/>
          </w:tcPr>
          <w:p>
            <w:pPr>
              <w:spacing w:after="0"/>
              <w:rPr>
                <w:sz w:val="16"/>
                <w:szCs w:val="16"/>
                <w:color w:val="auto"/>
              </w:rPr>
            </w:pPr>
          </w:p>
        </w:tc>
        <w:tc>
          <w:tcPr>
            <w:tcW w:w="1180" w:type="dxa"/>
            <w:vAlign w:val="bottom"/>
          </w:tcPr>
          <w:p>
            <w:pPr>
              <w:ind w:left="140"/>
              <w:spacing w:after="0"/>
              <w:rPr>
                <w:sz w:val="20"/>
                <w:szCs w:val="20"/>
                <w:color w:val="auto"/>
              </w:rPr>
            </w:pPr>
            <w:r>
              <w:rPr>
                <w:rFonts w:ascii="Arial" w:cs="Arial" w:eastAsia="Arial" w:hAnsi="Arial"/>
                <w:sz w:val="14"/>
                <w:szCs w:val="14"/>
                <w:b w:val="1"/>
                <w:bCs w:val="1"/>
                <w:color w:val="auto"/>
              </w:rPr>
              <w:t>GeneDx</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496"/>
              <w:spacing w:after="0"/>
              <w:rPr>
                <w:sz w:val="20"/>
                <w:szCs w:val="20"/>
                <w:color w:val="auto"/>
              </w:rPr>
            </w:pPr>
            <w:r>
              <w:rPr>
                <w:rFonts w:ascii="Arial" w:cs="Arial" w:eastAsia="Arial" w:hAnsi="Arial"/>
                <w:sz w:val="14"/>
                <w:szCs w:val="14"/>
                <w:b w:val="1"/>
                <w:bCs w:val="1"/>
                <w:color w:val="auto"/>
              </w:rPr>
              <w:t>Sema4</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(229,432)</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(229,432)</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238,077,439</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This proxy statement is being provided to Company stockholders as part of a solicitation of proxies by the Board for use at the Special Meeting of</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Stockholders to be held on [ ],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6"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This proxy statement is being first mailed on or about [ ] to all stockholders of record of the Company as of [ ], the record date for the Special Meeting. Stockholders of record who owned Class A common stock at the close of business on the record date are entitled to receive notice of, attend and</w:t>
      </w:r>
    </w:p>
    <w:p>
      <w:pPr>
        <w:spacing w:after="0"/>
        <w:tabs>
          <w:tab w:leader="none" w:pos="5160" w:val="left"/>
        </w:tabs>
        <w:rPr>
          <w:sz w:val="20"/>
          <w:szCs w:val="20"/>
          <w:color w:val="auto"/>
        </w:rPr>
      </w:pPr>
      <w:r>
        <w:rPr>
          <w:rFonts w:ascii="Arial" w:cs="Arial" w:eastAsia="Arial" w:hAnsi="Arial"/>
          <w:sz w:val="18"/>
          <w:szCs w:val="18"/>
          <w:color w:val="auto"/>
        </w:rPr>
        <w:t>vote at the Special Meeting. On the record date, there were</w:t>
      </w:r>
      <w:r>
        <w:rPr>
          <w:sz w:val="20"/>
          <w:szCs w:val="20"/>
          <w:color w:val="auto"/>
        </w:rPr>
        <w:tab/>
      </w:r>
      <w:r>
        <w:rPr>
          <w:rFonts w:ascii="Arial" w:cs="Arial" w:eastAsia="Arial" w:hAnsi="Arial"/>
          <w:sz w:val="16"/>
          <w:szCs w:val="16"/>
          <w:color w:val="auto"/>
        </w:rPr>
        <w:t>shares of Class A common stock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Special Meeting will be held on [ ] at [ ] Eastern time at https://www.cstproxy.com/sema4/2022,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https://www.cstproxy.com/sema4/2022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these instructions as applicable to the nature of your ownership of our Class A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To register for the Special Meeting, please follow</w:t>
      </w:r>
    </w:p>
    <w:p>
      <w:pPr>
        <w:spacing w:after="0" w:line="398" w:lineRule="exact"/>
        <w:rPr>
          <w:sz w:val="20"/>
          <w:szCs w:val="20"/>
          <w:color w:val="auto"/>
        </w:rPr>
      </w:pPr>
    </w:p>
    <w:p>
      <w:pPr>
        <w:sectPr>
          <w:pgSz w:w="11900" w:h="16838" w:orient="portrait"/>
          <w:cols w:equalWidth="0" w:num="2">
            <w:col w:w="6960" w:space="460"/>
            <w:col w:w="38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online-only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Class A common stock at the close of business on [ ], which is the record date for the Special Meeting. You are entitled to one vote for each share of our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 ] shares of Class A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type w:val="continuous"/>
        </w:sectPr>
      </w:pPr>
    </w:p>
    <w:bookmarkStart w:id="106" w:name="page107"/>
    <w:bookmarkEnd w:id="10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ind w:left="660" w:right="20" w:hanging="328"/>
        <w:spacing w:after="0" w:line="347" w:lineRule="auto"/>
        <w:tabs>
          <w:tab w:leader="none" w:pos="655"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Stock Consideration Issuance Proposal </w:t>
      </w:r>
      <w:r>
        <w:rPr>
          <w:rFonts w:ascii="Arial" w:cs="Arial" w:eastAsia="Arial" w:hAnsi="Arial"/>
          <w:sz w:val="16"/>
          <w:szCs w:val="16"/>
          <w:color w:val="auto"/>
        </w:rPr>
        <w:t>- To approve the issuance of the Company’s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Acquisition and as contemplated by the Merger Agreement for purposes of complying with applicable Nasdaq Listing Rules;</w:t>
      </w:r>
    </w:p>
    <w:p>
      <w:pPr>
        <w:spacing w:after="0" w:line="61"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To approve the issuance of the Class A common stock in connection with the PIPE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contemplated by the Subscription Agreements for purposes of complying with the Nasdaq Listing Rules;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 </w:t>
      </w:r>
      <w:r>
        <w:rPr>
          <w:rFonts w:ascii="Arial" w:cs="Arial" w:eastAsia="Arial" w:hAnsi="Arial"/>
          <w:sz w:val="18"/>
          <w:szCs w:val="18"/>
          <w:color w:val="auto"/>
        </w:rPr>
        <w:t>To adopt the Amendment to the Charter, in the form attached hereto as Annex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the number of authorized shares of Class A common stock from 380,000,000 to 1,000,000,000;</w:t>
      </w:r>
    </w:p>
    <w:p>
      <w:pPr>
        <w:spacing w:after="0" w:line="107" w:lineRule="exact"/>
        <w:rPr>
          <w:rFonts w:ascii="Arial" w:cs="Arial" w:eastAsia="Arial" w:hAnsi="Arial"/>
          <w:sz w:val="18"/>
          <w:szCs w:val="18"/>
          <w:color w:val="auto"/>
        </w:rPr>
      </w:pPr>
    </w:p>
    <w:p>
      <w:pPr>
        <w:ind w:left="660" w:right="20" w:hanging="328"/>
        <w:spacing w:after="0" w:line="312" w:lineRule="auto"/>
        <w:tabs>
          <w:tab w:leader="none" w:pos="655"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Class A common stock outstanding on the record date and entitled to vote at the Special Meeting is represented in person or by proxy. Abstentions and broker non-votes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Stock Consideration Issuance Proposal, the PIPE Investment Proposal, the Special Designee Director Election Proposal, the Class I Director Election Proposal, the Auditor Ratification Proposal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these voting standards, a failure to vote, a broker non-vote or an abstention will have no effect on the Stock Consideration Issuance Proposal and the Adjournment Proposal. However, an abstention, a broker non-vote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transactions contemplated by the Merger Agreement will be consummated only if the Stock Consideration Issuance Proposal and the Charter Amendment proposal are approved at the Special Meeting.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and the Special Designee Director Election Proposal are conditioned upon stockholders’ approval of the Stock Consideration Issuance Proposal and the Charter Amendment Proposal.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It is important for you to note that in the event that the Stock Consideration Issuance Proposal and the Charter Amendment Proposal do not receive the requisite vote for approval, we will not consummate the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Abstentions are considered present for the purposes of establishing a quorum. Abstentions and broker non-votes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Amendment Proposal, but will have no effect on the Stock Consideration Issuance Proposal, the PIPE Investment Proposal, the Special Designee Director Election Proposal, the Class I Director Election Proposal, the Auditor Ratification Proposal and the Adjournment Proposal.</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other than the Auditor Ratification Proposal As such,</w:t>
      </w:r>
      <w:r>
        <w:rPr>
          <w:rFonts w:ascii="Arial" w:cs="Arial" w:eastAsia="Arial" w:hAnsi="Arial"/>
          <w:sz w:val="18"/>
          <w:szCs w:val="18"/>
          <w:color w:val="auto"/>
        </w:rPr>
        <w:t xml:space="preserve"> </w:t>
      </w:r>
      <w:r>
        <w:rPr>
          <w:rFonts w:ascii="Arial" w:cs="Arial" w:eastAsia="Arial" w:hAnsi="Arial"/>
          <w:sz w:val="18"/>
          <w:szCs w:val="18"/>
          <w:b w:val="1"/>
          <w:bCs w:val="1"/>
          <w:color w:val="auto"/>
        </w:rPr>
        <w:t>without your voting instructions, your brokerage firm cannot vote your shares on any proposal to be voted on at the Special Meeting other than the Auditor Ratification Proposal.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through the Internet or at the Special Meeting. Each share of our Class A common stock that you own in your name entitles you to one vote on each of the proposals for the Special Meeting. Your one or more proxy cards show the number of shares of our Class A common stock that you own.</w:t>
      </w:r>
    </w:p>
    <w:p>
      <w:pPr>
        <w:spacing w:after="0" w:line="1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Voting by Mail </w:t>
      </w:r>
      <w:r>
        <w:rPr>
          <w:rFonts w:ascii="Arial" w:cs="Arial" w:eastAsia="Arial" w:hAnsi="Arial"/>
          <w:sz w:val="18"/>
          <w:szCs w:val="18"/>
          <w:color w:val="auto"/>
        </w:rPr>
        <w:t>- You can vote your shares by completing, signing, dating and returning the enclosed proxy card in the postage-paid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Class A common stock will be voted as recommended by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Voting by Internet </w:t>
      </w:r>
      <w:r>
        <w:rPr>
          <w:rFonts w:ascii="Arial" w:cs="Arial" w:eastAsia="Arial" w:hAnsi="Arial"/>
          <w:sz w:val="18"/>
          <w:szCs w:val="18"/>
          <w:color w:val="auto"/>
        </w:rPr>
        <w:t>- All stockholders of record can vote through the Internet using the procedures and instructions described on the proxy card. Street</w:t>
      </w:r>
      <w:r>
        <w:rPr>
          <w:rFonts w:ascii="Arial" w:cs="Arial" w:eastAsia="Arial" w:hAnsi="Arial"/>
          <w:sz w:val="18"/>
          <w:szCs w:val="18"/>
          <w:b w:val="1"/>
          <w:bCs w:val="1"/>
          <w:color w:val="auto"/>
        </w:rPr>
        <w:t xml:space="preserve"> </w:t>
      </w:r>
      <w:r>
        <w:rPr>
          <w:rFonts w:ascii="Arial" w:cs="Arial" w:eastAsia="Arial" w:hAnsi="Arial"/>
          <w:sz w:val="18"/>
          <w:szCs w:val="18"/>
          <w:color w:val="auto"/>
        </w:rPr>
        <w:t>name holders may vote by Internet if their bank or broker makes those methods available, in which case the bank or broker will enclose the instructions with the proxy materials. The Internet voting procedures are designed to authenticate stockholders’ identities, allow stockholders to vote their shares and to confirm that their instructions have been properly recorded.</w:t>
      </w:r>
    </w:p>
    <w:p>
      <w:pPr>
        <w:spacing w:after="0" w:line="126"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https://www.cstproxy.com/sema4/2022, in which case any votes that you previously submitted will be superseded by the vote that you cast at the Special Meeting. See “</w:t>
      </w:r>
      <w:r>
        <w:rPr>
          <w:rFonts w:ascii="Arial" w:cs="Arial" w:eastAsia="Arial" w:hAnsi="Arial"/>
          <w:sz w:val="16"/>
          <w:szCs w:val="16"/>
          <w:b w:val="1"/>
          <w:bCs w:val="1"/>
          <w:color w:val="auto"/>
        </w:rPr>
        <w:t>—</w:t>
      </w:r>
      <w:r>
        <w:rPr>
          <w:rFonts w:ascii="Arial" w:cs="Arial" w:eastAsia="Arial" w:hAnsi="Arial"/>
          <w:sz w:val="16"/>
          <w:szCs w:val="16"/>
          <w:color w:val="auto"/>
        </w:rPr>
        <w:t>Registering for the Special Meeting” above for further details on how to attend the Special Meeting.</w:t>
      </w:r>
    </w:p>
    <w:p>
      <w:pPr>
        <w:spacing w:after="0" w:line="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Our Board recommends voting “</w:t>
      </w:r>
      <w:r>
        <w:rPr>
          <w:rFonts w:ascii="Arial" w:cs="Arial" w:eastAsia="Arial" w:hAnsi="Arial"/>
          <w:sz w:val="17"/>
          <w:szCs w:val="17"/>
          <w:b w:val="1"/>
          <w:bCs w:val="1"/>
          <w:color w:val="auto"/>
        </w:rPr>
        <w:t>FOR</w:t>
      </w:r>
      <w:r>
        <w:rPr>
          <w:rFonts w:ascii="Arial" w:cs="Arial" w:eastAsia="Arial" w:hAnsi="Arial"/>
          <w:sz w:val="17"/>
          <w:szCs w:val="17"/>
          <w:color w:val="auto"/>
        </w:rPr>
        <w:t>” the Stock Consideration Issuance Proposal, “</w:t>
      </w:r>
      <w:r>
        <w:rPr>
          <w:rFonts w:ascii="Arial" w:cs="Arial" w:eastAsia="Arial" w:hAnsi="Arial"/>
          <w:sz w:val="17"/>
          <w:szCs w:val="17"/>
          <w:b w:val="1"/>
          <w:bCs w:val="1"/>
          <w:color w:val="auto"/>
        </w:rPr>
        <w:t>FOR</w:t>
      </w:r>
      <w:r>
        <w:rPr>
          <w:rFonts w:ascii="Arial" w:cs="Arial" w:eastAsia="Arial" w:hAnsi="Arial"/>
          <w:sz w:val="17"/>
          <w:szCs w:val="17"/>
          <w:color w:val="auto"/>
        </w:rPr>
        <w:t>” the PIPE Investment Proposal, “</w:t>
      </w:r>
      <w:r>
        <w:rPr>
          <w:rFonts w:ascii="Arial" w:cs="Arial" w:eastAsia="Arial" w:hAnsi="Arial"/>
          <w:sz w:val="17"/>
          <w:szCs w:val="17"/>
          <w:b w:val="1"/>
          <w:bCs w:val="1"/>
          <w:color w:val="auto"/>
        </w:rPr>
        <w:t>FOR</w:t>
      </w:r>
      <w:r>
        <w:rPr>
          <w:rFonts w:ascii="Arial" w:cs="Arial" w:eastAsia="Arial" w:hAnsi="Arial"/>
          <w:sz w:val="17"/>
          <w:szCs w:val="17"/>
          <w:color w:val="auto"/>
        </w:rPr>
        <w:t>” the Special Designee Director Election Proposal, “</w:t>
      </w:r>
      <w:r>
        <w:rPr>
          <w:rFonts w:ascii="Arial" w:cs="Arial" w:eastAsia="Arial" w:hAnsi="Arial"/>
          <w:sz w:val="17"/>
          <w:szCs w:val="17"/>
          <w:b w:val="1"/>
          <w:bCs w:val="1"/>
          <w:color w:val="auto"/>
        </w:rPr>
        <w:t>FOR</w:t>
      </w:r>
      <w:r>
        <w:rPr>
          <w:rFonts w:ascii="Arial" w:cs="Arial" w:eastAsia="Arial" w:hAnsi="Arial"/>
          <w:sz w:val="17"/>
          <w:szCs w:val="17"/>
          <w:color w:val="auto"/>
        </w:rPr>
        <w:t>” the Charter Amendment Proposal, “</w:t>
      </w:r>
      <w:r>
        <w:rPr>
          <w:rFonts w:ascii="Arial" w:cs="Arial" w:eastAsia="Arial" w:hAnsi="Arial"/>
          <w:sz w:val="17"/>
          <w:szCs w:val="17"/>
          <w:b w:val="1"/>
          <w:bCs w:val="1"/>
          <w:color w:val="auto"/>
        </w:rPr>
        <w:t>FOR</w:t>
      </w:r>
      <w:r>
        <w:rPr>
          <w:rFonts w:ascii="Arial" w:cs="Arial" w:eastAsia="Arial" w:hAnsi="Arial"/>
          <w:sz w:val="17"/>
          <w:szCs w:val="17"/>
          <w:color w:val="auto"/>
        </w:rPr>
        <w:t>” the Class I Director Election Proposal, “</w:t>
      </w:r>
      <w:r>
        <w:rPr>
          <w:rFonts w:ascii="Arial" w:cs="Arial" w:eastAsia="Arial" w:hAnsi="Arial"/>
          <w:sz w:val="17"/>
          <w:szCs w:val="17"/>
          <w:b w:val="1"/>
          <w:bCs w:val="1"/>
          <w:color w:val="auto"/>
        </w:rPr>
        <w:t>FOR</w:t>
      </w:r>
      <w:r>
        <w:rPr>
          <w:rFonts w:ascii="Arial" w:cs="Arial" w:eastAsia="Arial" w:hAnsi="Arial"/>
          <w:sz w:val="17"/>
          <w:szCs w:val="17"/>
          <w:color w:val="auto"/>
        </w:rPr>
        <w:t>” the Auditor Ratification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Votes submitted by mail must be received by 11:59 pm Eastern time on [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w:t>
      </w:r>
      <w:r>
        <w:rPr>
          <w:rFonts w:ascii="Arial" w:cs="Arial" w:eastAsia="Arial" w:hAnsi="Arial"/>
          <w:sz w:val="17"/>
          <w:szCs w:val="17"/>
          <w:i w:val="1"/>
          <w:iCs w:val="1"/>
          <w:color w:val="auto"/>
        </w:rPr>
        <w:t>Registering for the Special Meeting</w:t>
      </w:r>
      <w:r>
        <w:rPr>
          <w:rFonts w:ascii="Arial" w:cs="Arial" w:eastAsia="Arial" w:hAnsi="Arial"/>
          <w:sz w:val="17"/>
          <w:szCs w:val="17"/>
          <w:color w:val="auto"/>
        </w:rPr>
        <w:t>”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Sema4 Holdings Corp., 333 Ludlow Street, North Tower, 8th Floor, Stamford, Connecticut 06902,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w:t>
      </w:r>
    </w:p>
    <w:p>
      <w:pPr>
        <w:spacing w:after="0" w:line="171" w:lineRule="exact"/>
        <w:rPr>
          <w:sz w:val="20"/>
          <w:szCs w:val="20"/>
          <w:color w:val="auto"/>
        </w:rPr>
      </w:pPr>
    </w:p>
    <w:p>
      <w:pPr>
        <w:ind w:left="340"/>
        <w:spacing w:after="0"/>
        <w:tabs>
          <w:tab w:leader="none" w:pos="640" w:val="left"/>
          <w:tab w:leader="none" w:pos="6900" w:val="left"/>
        </w:tabs>
        <w:rPr>
          <w:sz w:val="20"/>
          <w:szCs w:val="20"/>
          <w:color w:val="auto"/>
        </w:rPr>
      </w:pPr>
      <w:r>
        <w:rPr>
          <w:rFonts w:ascii="Arial" w:cs="Arial" w:eastAsia="Arial" w:hAnsi="Arial"/>
          <w:sz w:val="18"/>
          <w:szCs w:val="18"/>
          <w:color w:val="auto"/>
        </w:rPr>
        <w:t>•</w:t>
        <w:tab/>
        <w:t>submitting another proxy over the Internet prior to 11:59 p.m., Eastern Time on [</w:t>
      </w:r>
      <w:r>
        <w:rPr>
          <w:sz w:val="20"/>
          <w:szCs w:val="20"/>
          <w:color w:val="auto"/>
        </w:rPr>
        <w:tab/>
      </w:r>
      <w:r>
        <w:rPr>
          <w:rFonts w:ascii="Arial" w:cs="Arial" w:eastAsia="Arial" w:hAnsi="Arial"/>
          <w:sz w:val="17"/>
          <w:szCs w:val="17"/>
          <w:color w:val="auto"/>
        </w:rPr>
        <w:t>]; or</w:t>
      </w:r>
    </w:p>
    <w:p>
      <w:pPr>
        <w:spacing w:after="0" w:line="17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Class A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Special Meeting has been called only to consider the approval of the Stock Consideration Issuance Proposal, the PIPE Investment Proposal, the Special Designee Director Election Proposal, the Charter Amendment Proposal, the Class I Director Election Proposal, the Auditor Ratification Proposal and the Adjournment Proposal. Under our bylaws, other than procedural matters incident to the conduct of the Special Meeting, no other matters may be considered at the Special Meeting if they are not included in this proxy statement, which serves as the notice of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Class A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Sema4@dfking.com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Class A common stock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and over the Internet,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$ 7,500,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ACQUISITION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 below, for additional information and a summary of certain terms of the Merger Agreement. You are urged to carefully read the Merger Agreement in its entirety.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consummate the Acquisition only if the Stock Consideration Issuance Approval and the Charter Amendment Proposal is approved by the affirmative vote of the holders of a majority of the votes cast by holders of our Class A common stock represented in person or by proxy and entitled to vote at the Special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GeneDx or any other party to the Merger Agreement or any other party to the Merger Agreement. Such information with respect to the Company and GeneDx can be found elsewhere in this proxy statement.</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or voting decision. Capitalized terms used but not defined in this section shall have the respective meanings ascribed to such terms in the Merger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Acquisition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Acquisition, Merger Sub I will merge with and into HoldCo (the “</w:t>
      </w:r>
      <w:r>
        <w:rPr>
          <w:rFonts w:ascii="Arial" w:cs="Arial" w:eastAsia="Arial" w:hAnsi="Arial"/>
          <w:sz w:val="17"/>
          <w:szCs w:val="17"/>
          <w:i w:val="1"/>
          <w:iCs w:val="1"/>
          <w:color w:val="auto"/>
        </w:rPr>
        <w:t>First Merger</w:t>
      </w:r>
      <w:r>
        <w:rPr>
          <w:rFonts w:ascii="Arial" w:cs="Arial" w:eastAsia="Arial" w:hAnsi="Arial"/>
          <w:sz w:val="17"/>
          <w:szCs w:val="17"/>
          <w:color w:val="auto"/>
        </w:rPr>
        <w:t>”), with HoldCo being the surviving entity of the First Merger and following the First Merger, HoldCo will merge with and into Merger Sub II, with Merger Sub II being the surviving entity of this second merger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 The certificate of formation and operating agreement of Merger Sub II will continue to be the certificate of formation and operating agreement of Merger Sub II as in effect immediately prior to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(i) the Cash Consideration, (ii) the Stock Consideration and (iii) if and only to the extent payable pursuant to the Merger Agreement, the Milestone Payments (which may be paid in cash, shares of Class A common stock or a combination of the two). The number of shares of Class A common stock that OPKO is entitled to receive as a result of the Acquisition, as otherwise contemplated by the Merger Agreement, shall be adjusted to appropriately reflect the effect of any stock split, split-up, reverse stock split, stock dividend or distribution (including any dividend or distribution of securities convertible into Class A common stock), extraordinary cash dividend, reorganization, recapitalization, reclassification, combination, exchange of shares or other like change with respect to Class A common stock occurring on or after the date hereof and prior to the closing of the Acquisition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Following the Closing, upon the occurrence of a Milestone Event, the Company will be obligated to pay milestone payments (each, a “</w:t>
      </w:r>
      <w:r>
        <w:rPr>
          <w:rFonts w:ascii="Arial" w:cs="Arial" w:eastAsia="Arial" w:hAnsi="Arial"/>
          <w:sz w:val="16"/>
          <w:szCs w:val="16"/>
          <w:i w:val="1"/>
          <w:iCs w:val="1"/>
          <w:color w:val="auto"/>
        </w:rPr>
        <w:t>Milestone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to OPKO on the terms described in the Merger Agreement. Each Milestone Payment shall be satisfied through the payment and issuance of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cash and shares of Class A common stock (valued at $4.86 (the “</w:t>
      </w:r>
      <w:r>
        <w:rPr>
          <w:rFonts w:ascii="Arial" w:cs="Arial" w:eastAsia="Arial" w:hAnsi="Arial"/>
          <w:sz w:val="16"/>
          <w:szCs w:val="16"/>
          <w:i w:val="1"/>
          <w:iCs w:val="1"/>
          <w:color w:val="auto"/>
        </w:rPr>
        <w:t>Share Value</w:t>
      </w:r>
      <w:r>
        <w:rPr>
          <w:rFonts w:ascii="Arial" w:cs="Arial" w:eastAsia="Arial" w:hAnsi="Arial"/>
          <w:sz w:val="16"/>
          <w:szCs w:val="16"/>
          <w:color w:val="auto"/>
        </w:rPr>
        <w:t>”)), with such mix to be determined in Company’s sole discretion. If the Milestone Payment in respect of the first Milestone Event becomes payable in full, then the Milestone Payment owing in respect of the second Milestone Event is subject to acceleration upon the occurrence of an Acquirer Change in Control, as further described in the Merger Agreement. The Cash Consideration is subject to closing-related adjustments, based on the GeneDx Group’s debt, net working capital and transaction expenses at the closing of the Acquisition, which are subject to a customary true-up process. The Company has agreed to bear a portion of the GeneDx Group’s operating expenses during the pre-closing period, which will be funded by OPKO through an intercompany note, up to $15 million through the first 6 months following the signing of the Merger Agreement, and 50% of such cost during the seventh month and thereafter. Accordingly, the GeneDx Group’s debt at closing will include only a portion of the GeneDx Group’s obligation in respect of financing provided by OPKO during the pre-closing period in order to fund the GeneDx Group’s operations in accordance with the agreed pre-closing budget and evidenced by an inter-company note mid-term rate.</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the terms and conditions of the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w:t>
      </w:r>
      <w:r>
        <w:rPr>
          <w:rFonts w:ascii="Arial" w:cs="Arial" w:eastAsia="Arial" w:hAnsi="Arial"/>
          <w:sz w:val="17"/>
          <w:szCs w:val="17"/>
          <w:i w:val="1"/>
          <w:iCs w:val="1"/>
          <w:color w:val="auto"/>
        </w:rPr>
        <w:t>Milestone</w:t>
      </w:r>
      <w:r>
        <w:rPr>
          <w:rFonts w:ascii="Arial" w:cs="Arial" w:eastAsia="Arial" w:hAnsi="Arial"/>
          <w:sz w:val="17"/>
          <w:szCs w:val="17"/>
          <w:color w:val="auto"/>
        </w:rPr>
        <w:t xml:space="preserve"> </w:t>
      </w:r>
      <w:r>
        <w:rPr>
          <w:rFonts w:ascii="Arial" w:cs="Arial" w:eastAsia="Arial" w:hAnsi="Arial"/>
          <w:sz w:val="17"/>
          <w:szCs w:val="17"/>
          <w:i w:val="1"/>
          <w:iCs w:val="1"/>
          <w:color w:val="auto"/>
        </w:rPr>
        <w:t>Event</w:t>
      </w:r>
      <w:r>
        <w:rPr>
          <w:rFonts w:ascii="Arial" w:cs="Arial" w:eastAsia="Arial" w:hAnsi="Arial"/>
          <w:sz w:val="17"/>
          <w:szCs w:val="17"/>
          <w:color w:val="auto"/>
        </w:rPr>
        <w:t>”); provided that 80% of the Milestone Payment for the First Milestone Period or the Second Milestone Period, as applicable, shall become payable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such period if the GeneDx Group achieves 90% of the applicable Milestone Event revenue target for such period set forth in the table above, which amount will scale on a linear basis up to 100% of the applicable Milestone Payment at 100% of the applicable revenue target. The second Milestone Payment is subject to acceleration and will become automatically due and payable in full if (i) a Company change in control occurs prior to the end of the Second Milestone Period and (ii) the full amount of the fist Milestone Payment was earned. Each Milestone Payments will be satisfied through the payment and issuance of a combination of cash and shares of our Class A common stock (based on the Share Value), with such mix to be determined in the Company’s sole discretion.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parties otherwise mutually agree, the Closing will take place on the date which is no more later than the third (3rd) business day after the date on which all of the closing conditions have been satisfied or waived (other than those conditions that by their terms are to be satisfied at the Closing) (such date, the “</w:t>
      </w:r>
      <w:r>
        <w:rPr>
          <w:rFonts w:ascii="Arial" w:cs="Arial" w:eastAsia="Arial" w:hAnsi="Arial"/>
          <w:sz w:val="18"/>
          <w:szCs w:val="18"/>
          <w:i w:val="1"/>
          <w:iCs w:val="1"/>
          <w:color w:val="auto"/>
        </w:rPr>
        <w:t>Closing Date</w:t>
      </w:r>
      <w:r>
        <w:rPr>
          <w:rFonts w:ascii="Arial" w:cs="Arial" w:eastAsia="Arial" w:hAnsi="Arial"/>
          <w:sz w:val="18"/>
          <w:szCs w:val="18"/>
          <w:color w:val="auto"/>
        </w:rPr>
        <w:t>”). See “</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Conditions to the Acquisition</w:t>
      </w:r>
      <w:r>
        <w:rPr>
          <w:rFonts w:ascii="Arial" w:cs="Arial" w:eastAsia="Arial" w:hAnsi="Arial"/>
          <w:sz w:val="18"/>
          <w:szCs w:val="18"/>
          <w:color w:val="auto"/>
        </w:rPr>
        <w:t>” for a more complete description of the conditions that must be satisfied prior to closing.</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the Closing Date, the Company and HoldCo will effect the First Merger by filing a certificate of merger with the Secretary of State of the State of Delaware, and the First Merger will become effective at the time the first certificate of merger has been duly filed. The time at which the First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 Immediately following the First Merger, HoldCo and Merger Sub II will effect the Second Merger by filing a certificate of merger with the Secretary of State of the State of Delaware, and the Second Merger will become effective at the time the second certificate of merger has been duly filed. The time at which the Second Merger becomes effective is referred to in this proxy statement as the “</w:t>
      </w:r>
      <w:r>
        <w:rPr>
          <w:rFonts w:ascii="Arial" w:cs="Arial" w:eastAsia="Arial" w:hAnsi="Arial"/>
          <w:sz w:val="18"/>
          <w:szCs w:val="18"/>
          <w:i w:val="1"/>
          <w:iCs w:val="1"/>
          <w:color w:val="auto"/>
        </w:rPr>
        <w:t>second merger effective time</w:t>
      </w:r>
      <w:r>
        <w:rPr>
          <w:rFonts w:ascii="Arial" w:cs="Arial" w:eastAsia="Arial" w:hAnsi="Arial"/>
          <w:sz w:val="18"/>
          <w:szCs w:val="18"/>
          <w:color w:val="auto"/>
        </w:rPr>
        <w:t>”.</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Acquisition will be effective during the second quarter of 2022. However, there can be no assurance as to when or if the Acquisition will occur.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Acquisition is not completed by August 14, 2022, which date may be extended, by either our or OPKO’s written notice, to October 14, 2022 if, as of the August 14, 2022, any one of certain conditions have not been met (the “</w:t>
      </w:r>
      <w:r>
        <w:rPr>
          <w:rFonts w:ascii="Arial" w:cs="Arial" w:eastAsia="Arial" w:hAnsi="Arial"/>
          <w:sz w:val="17"/>
          <w:szCs w:val="17"/>
          <w:i w:val="1"/>
          <w:iCs w:val="1"/>
          <w:color w:val="auto"/>
        </w:rPr>
        <w:t>termination date</w:t>
      </w:r>
      <w:r>
        <w:rPr>
          <w:rFonts w:ascii="Arial" w:cs="Arial" w:eastAsia="Arial" w:hAnsi="Arial"/>
          <w:sz w:val="17"/>
          <w:szCs w:val="17"/>
          <w:color w:val="auto"/>
        </w:rPr>
        <w:t>”), then the Merger Agreement may be terminated by either the Company or OPKO. A party may not terminate the Merger Agreement pursuant to the provision described in this paragraph if the failure of the Closing to occur by the termination date is due primarily to the failure of the party seeking to terminate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Agreement to fulfill any obligations of such party set forth in the Merger Agreement. See “</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Acquisition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of OPKO and the GeneDx Parties have agreed that, prior to the Closing or earlier valid termination of the Merger Agreement, except (i) as set forth in the Schedules or an agreed pre-closing budget, (ii) to the extent necessary to comply with the GeneDx Parties’ obligations under this Agreement, including completion of the Pre-Closing Restructuring, (iii) as required by applicable law (“</w:t>
      </w:r>
      <w:r>
        <w:rPr>
          <w:rFonts w:ascii="Arial" w:cs="Arial" w:eastAsia="Arial" w:hAnsi="Arial"/>
          <w:sz w:val="17"/>
          <w:szCs w:val="17"/>
          <w:i w:val="1"/>
          <w:iCs w:val="1"/>
          <w:color w:val="auto"/>
        </w:rPr>
        <w:t>Applicable Legal Requirements</w:t>
      </w:r>
      <w:r>
        <w:rPr>
          <w:rFonts w:ascii="Arial" w:cs="Arial" w:eastAsia="Arial" w:hAnsi="Arial"/>
          <w:sz w:val="17"/>
          <w:szCs w:val="17"/>
          <w:color w:val="auto"/>
        </w:rPr>
        <w:t>”) or (iv) with the written consent of the Company (such consent not to be unreasonably withheld, conditioned or delayed) (collectively, the exceptions set forth in clauses (i) through (iv), the “</w:t>
      </w:r>
      <w:r>
        <w:rPr>
          <w:rFonts w:ascii="Arial" w:cs="Arial" w:eastAsia="Arial" w:hAnsi="Arial"/>
          <w:sz w:val="17"/>
          <w:szCs w:val="17"/>
          <w:i w:val="1"/>
          <w:iCs w:val="1"/>
          <w:color w:val="auto"/>
        </w:rPr>
        <w:t>Specified Exceptions</w:t>
      </w:r>
      <w:r>
        <w:rPr>
          <w:rFonts w:ascii="Arial" w:cs="Arial" w:eastAsia="Arial" w:hAnsi="Arial"/>
          <w:sz w:val="17"/>
          <w:szCs w:val="17"/>
          <w:color w:val="auto"/>
        </w:rPr>
        <w:t>”), it will, and cause each member of the GeneDx Group to use commercially reasonable efforts to conduct and operate their respective businesses in the ordinary course and in compliance in all material respects with Applicable Legal Requirements and an agreed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In addition to the general covenants above, each of OPKO and the GeneDx Parties have agreed that prior to the Closing, subject to the Specified Exceptions, it will not, and will cause each member of the GeneDx Group not to:</w:t>
      </w:r>
    </w:p>
    <w:p>
      <w:pPr>
        <w:spacing w:after="0" w:line="128"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 the governing documents of any member of the GeneDx Group;</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acquire (by merger, consolidation or combination, or acquisition of stock or assets) any person or division or assets (other than in the ordinary course of business) thereof, or otherwise effect any merger, consolidation or reorganization of any member of the GeneDx Group,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split, combine or reclassify the outstanding shares of HoldCo Common Stock (as defined in the Merger Agreement) nor enter into any agreement with respect to voting of any of HoldCo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payable in cash, stock, property or otherwise, in respect of any HoldCo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HoldCo Common Stock or any securities convertible or exchangeable or exercisable for any shares of HoldCo Common Stock;</w:t>
      </w:r>
    </w:p>
    <w:p>
      <w:pPr>
        <w:spacing w:after="0" w:line="116" w:lineRule="exact"/>
        <w:rPr>
          <w:rFonts w:ascii="Arial" w:cs="Arial" w:eastAsia="Arial" w:hAnsi="Arial"/>
          <w:sz w:val="18"/>
          <w:szCs w:val="18"/>
          <w:color w:val="auto"/>
        </w:rPr>
      </w:pPr>
    </w:p>
    <w:p>
      <w:pPr>
        <w:jc w:val="both"/>
        <w:ind w:left="660" w:right="2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 lease, license, guarantee, sell, mortgage, pledge, dispose of or encumber any material asset, except for (i) the incurrence of certain permitted encumbrances, (ii) non-exclusive licenses of GeneDx’s intellectual property in the ordinary course of business, (iii) sales or other dispositions of inventory and other assets in the ordinary course of business, (iv) sales of obsolete or written off assets and (v) sales or dispositions for an amount less than $500,000 in the aggregate;</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incur any indebtedness or issue any debt securities or warrants or other rights to acquire debt securities of any member of the GeneDx Group or assume, guarantee or endorse, as an accommodation or otherwise, the obligations of any other person for indebtedness or capital obligations, in the case of any of the foregoing, other than (i) incurrences of Indebtedness (as defined in the Merger Agreement) under the agreed pre-closing budget and (ii) the incurrence of debt by OPKO;</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issue, sell, pledge, dispose of or encumber any shares of, or securities convertible into or exchangeable or exercisable for, or options, warrants, calls, commitments or rights of any kind to acquire, any shares of HoldCo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left="328"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change in accounting methods, principles or practices (including for Tax purposes), except as required by accounting standards or by applicable law or a governmental authority;</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revalue any of its material assets except as required by GAAP;</w:t>
      </w:r>
    </w:p>
    <w:p>
      <w:pPr>
        <w:spacing w:after="0" w:line="171" w:lineRule="exact"/>
        <w:rPr>
          <w:rFonts w:ascii="Arial" w:cs="Arial" w:eastAsia="Arial" w:hAnsi="Arial"/>
          <w:sz w:val="18"/>
          <w:szCs w:val="18"/>
          <w:color w:val="auto"/>
        </w:rPr>
      </w:pPr>
    </w:p>
    <w:p>
      <w:pPr>
        <w:ind w:left="328" w:hanging="328"/>
        <w:spacing w:after="0" w:line="308" w:lineRule="auto"/>
        <w:tabs>
          <w:tab w:leader="none" w:pos="32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other than in the ordinary course of business, enter into certain contracts, or amend, modify or consent to the termination of any such contract or the applicable member of the GeneDx Group’s rights thereunder, or waive, release or assign any rights or claims thereunder;</w:t>
      </w:r>
    </w:p>
    <w:p>
      <w:pPr>
        <w:spacing w:after="0" w:line="92" w:lineRule="exact"/>
        <w:rPr>
          <w:rFonts w:ascii="Arial" w:cs="Arial" w:eastAsia="Arial" w:hAnsi="Arial"/>
          <w:sz w:val="17"/>
          <w:szCs w:val="17"/>
          <w:color w:val="auto"/>
        </w:rPr>
      </w:pPr>
    </w:p>
    <w:p>
      <w:pPr>
        <w:jc w:val="both"/>
        <w:ind w:left="328" w:hanging="328"/>
        <w:spacing w:after="0" w:line="25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GeneDx Group; (ii) impair in any material respect the ability of any of the GeneDx Parties or OPKO to perform its obligations under the Merger Agreement; or (iii) prevent or materially delay the consummation of the Mergers;</w:t>
      </w:r>
    </w:p>
    <w:p>
      <w:pPr>
        <w:spacing w:after="0" w:line="133"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loan, advance, capital contribution to, or investment in, any person other than business expense advances to employees of any member of the GeneDx Group in the ordinary course of business;</w:t>
      </w:r>
    </w:p>
    <w:p>
      <w:pPr>
        <w:spacing w:after="0" w:line="116"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contract to the extent consummation of the Acquisition or compliance with the provisions of the Merger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GeneDx Group under, or require the Company to license or transfer any GeneDx intellectual property or other material assets (other than permitted encumbrances) under such contract;</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 certain transactions with respect to intellectual property;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agreement with any related parties;</w:t>
      </w:r>
    </w:p>
    <w:p>
      <w:pPr>
        <w:spacing w:after="0" w:line="171" w:lineRule="exact"/>
        <w:rPr>
          <w:rFonts w:ascii="Arial" w:cs="Arial" w:eastAsia="Arial" w:hAnsi="Arial"/>
          <w:sz w:val="18"/>
          <w:szCs w:val="18"/>
          <w:color w:val="auto"/>
        </w:rPr>
      </w:pPr>
    </w:p>
    <w:p>
      <w:pPr>
        <w:ind w:left="328" w:right="20" w:hanging="328"/>
        <w:spacing w:after="0" w:line="342" w:lineRule="auto"/>
        <w:tabs>
          <w:tab w:leader="none" w:pos="3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grant any severance or termination pay (cash, equity or otherwise) to any GeneDx employee or contractor or adopt any new severance plan, or amend or modify or alter in any material respect any severance plan, agreement or arrangement existing on the date of the Merger Agreement;</w:t>
      </w:r>
    </w:p>
    <w:p>
      <w:pPr>
        <w:spacing w:after="0" w:line="69" w:lineRule="exact"/>
        <w:rPr>
          <w:rFonts w:ascii="Arial" w:cs="Arial" w:eastAsia="Arial" w:hAnsi="Arial"/>
          <w:sz w:val="16"/>
          <w:szCs w:val="16"/>
          <w:color w:val="auto"/>
        </w:rPr>
      </w:pPr>
    </w:p>
    <w:p>
      <w:pPr>
        <w:jc w:val="both"/>
        <w:ind w:left="328" w:hanging="328"/>
        <w:spacing w:after="0" w:line="291" w:lineRule="auto"/>
        <w:tabs>
          <w:tab w:leader="none" w:pos="3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 (v) 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 or GeneDx existing on the Closing Date;</w:t>
      </w:r>
    </w:p>
    <w:p>
      <w:pPr>
        <w:spacing w:after="0" w:line="112" w:lineRule="exact"/>
        <w:rPr>
          <w:rFonts w:ascii="Arial" w:cs="Arial" w:eastAsia="Arial" w:hAnsi="Arial"/>
          <w:sz w:val="16"/>
          <w:szCs w:val="16"/>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commence any material proceeding;</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capital expenditures or commitments, capital additions or capital improvements in excess of such amounts specified in the agreed pre-closing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8"/>
          </w:cols>
          <w:pgMar w:left="652" w:top="1440" w:right="339" w:bottom="1440" w:gutter="0" w:footer="0" w:header="0"/>
        </w:sectPr>
      </w:pPr>
    </w:p>
    <w:bookmarkStart w:id="114" w:name="page115"/>
    <w:bookmarkEnd w:id="114"/>
    <w:p>
      <w:pPr>
        <w:spacing w:after="0" w:line="144" w:lineRule="exact"/>
        <w:rPr>
          <w:sz w:val="20"/>
          <w:szCs w:val="20"/>
          <w:color w:val="auto"/>
        </w:rPr>
      </w:pPr>
    </w:p>
    <w:p>
      <w:pPr>
        <w:ind w:left="660" w:right="2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 to keep or cause to be kept the material existing insurance policies (or substantial equivalents) of any member of the GeneDx Group as in force on the date of the Merger Agreement;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employ or use any contractor or consultant that, to GeneDx’s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authorize, agree or enter into an agreement to do any of the foregoing.</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Notwithstanding anything to the contrary in the Merger Agreement, the Company, OPKO and the GeneDx Parties acknowledge and agree that (x) nothing in the Merger Agreement shall give the Company, directly or indirectly, the right to control or direct GeneDx’s operations for purposes of the HSR Act prior to the expiration or termination of any applicable waiting period pursuant to the HSR Act, (y) no consent of the Company shall be required with respect to any matter set forth in the Merger Agreement to the extent the requirement of such consent would violate any antitrust law, and (z) nothing in the Merger Agreement shall prevent or limit the Pre-Closing Restructuring or the transactions contemplated thereby.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28, 2022, GeneDx and the Company filed the notifications required by the HSR Act in respect of the Acquisition. The 30-day HSR Act waiting period expired at 11:59 p.m. on February 28, 2022.</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At any time before or after consummation of the Acquisition, notwithstanding expiration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GeneDx and the Company agreed to furnish to each other as promptly as reasonably practicable all information required for any application or other filing to be made by the other pursuant to any applicable law relating to antitrust, and the Company has agreed to use reasonable best efforts to promptly take any and all steps necessary to avoid or eliminate impediments under any applicable antitrust law that may be asserted by any governmental authority or other person so as to enable the parties to close the Acquisition. However, the Company shall not be required to take any remedial action under any applicable antitrust laws which would otherwise have the effect of preventing or delaying the Closing, unless such remedial actions would not, individually or in the aggregate, reasonably be expected to be materially detrimental to the benefits to be derived by the Company and its affiliates as a result of the Acquisition and the other transactions contemplated by the Merger Agreement. Further, the Company and its affiliates will not be obligated to contest, administratively or in court, any litigated Proceeding under any applicable antitrust law seeking to enjoin the Acquisition and the other Transactions, or to impose any Remedial Actions (as such term is defined in the Merger Agreement) upon the Company, OPKO or GeneDx and their respective affiliates.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 and the Company have agreed to work together and promptly supply the other with any information which may be required and reasonable assistance as the other may request in order to effectuate any filings or applications pursuant to the Merger Agreement. Except where prohibited by applicable antitrust laws relating to the exchange of information, each of OPKO and the Company Parties (as defined in the Merger Agreement), on one hand, and the Company,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the Merger Agreement or the Acquisition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the Merger Agreement or the Acquisition (though sensitive negotiation and deal valuation materials may be redacted); provided that the final determination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strategy for dealing with the FTC, the DOJ or any other applicable governmental authority shall be made by the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Company and GeneDx has agreed not to participate in any meeting or material discussion with any governmental authorities with respect to any of the filings, applications, investigation, or other inquiry listed above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GeneDx have agreed to pay 50% of all filing fees incurred in connection with the submission of any regulatory filing or notice required to be made or given in connection with the Acquisition, and each did pay 50% of the required HSR Act filing fee.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has agreed to, as promptly as reasonably practicable following the date of the Merger Agreement (but in no event later than March 15, 2022), prepare (and OPKO and the GeneDx Parties have agreed to provide reasonable assistance in connection therewith), and file with the SEC, the proxy statement. The Company has also agreed to use its reasonable best efforts to ensure that the proxy statement complies in all material respects with the applicable provisions of the Exchange Act and to use its reasonable best efforts to cause the proxy statement to be mailed to the holders of Class A common stock as promptly as practicable following the date on which the Company files with the SEC the proxy statement in definitive form, following confirmation from the staff of the SEC (whether orally or in writing) that the comment process with respect to the proxy statement, if any, has concluded. The Company has also agreed to promptly (and in any event within one business day) notify OPKO upon the receipt of any comments from the SEC or any request from the SEC for amendments or supplements to the proxy statement, and, as promptly as practicable after receipt thereof, to provide OPKO with copies of all correspondences between it and its representatives, on the one hand, and the SEC, on the other hand, and all written comments with respect to the proxy statement received from the SEC and to advise OPKO of any oral comments with respect to the proxy statement received from the SEC. The Company has agreed to use its reasonable best efforts to respond as promptly as practicable to any comments received from the SEC with respect to the proxy statement. The Company has further agreed to provide OPKO a reasonable opportunity to review and comment on documents or responses (including the proposed final version of such document or response) to be submitted to the SEC. OPKO and the GeneDx Parties have, in turn, agreed to reasonably cooperate to prepare appropriate responses thereto (and will provide each other with copies of any such responses given to the SEC) and make such modifications to the proxy statement as shall be reasonably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OPKO and the GeneDx Parties have agreed that neither it nor any of its officers and directors shall, and that it shall use its reasonable best efforts to cause its employees, equityholders, controlled affiliates, agents and representatives not to, directly or indirectly:</w:t>
      </w:r>
    </w:p>
    <w:p>
      <w:pPr>
        <w:spacing w:after="0" w:line="116" w:lineRule="exact"/>
        <w:rPr>
          <w:sz w:val="20"/>
          <w:szCs w:val="20"/>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solicit, initiate, encourage, facilitate, entertain, discuss or negotiate any offer or proposal for an Acquisition Proposal, or any of the foregoing which would be reasonably expected to lead to an Acquisition Proposal (as defined below);</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approve, agree to, accept, endorse or recommend any Acquisition Proposal;</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letter of intent or similar document or any Contract, agreement or commitment contemplating or otherwise relating to any Acquisition Proposal;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 any Acquisition Proposal to the vote of the stockholder of any GeneDx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OPKO, HoldCo and the Company, as applicable, has agreed to provide written notice to the Company of any offer or proposal (formal or informal) relating to, or that would reasonably be expected to lead to, an Acquisition Proposal or any request for nonpublic information or inquiry related to or which would reasonably be expected to lead to an Acquisition Proposal, and to keep the Company reasonably informed on a current basis in relation to any such proposal or modification thereof.</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a period of four years from the Closing, OPKO has agreed not to, directly or indirectly, (a) solicit the employment or services (whether as an employee, consultant, independent contractor or otherwise) of any employee of the GeneDx Group as of Closing or any person who had been an employee of the GeneDx Group within the 12-month period immediately preceding the Closing, without the Company’s prior written consent, or (b) hire in any capacity (whether as an employee, consultant, independent contractor or otherwise) any Key Employee, unless such person has been terminated by the Company or any of its affiliates subsequent to the Closing and who has not been employed or engaged by the GeneDx Group for a period of at least six months prior to the date of such hire, without the Company’s prior written consent; provided that “solicit the employment or services” shall be deemed not to include generalized searches for employees through media advertisements of general circulation, employment search firms, open job fairs or otherwise.</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period of four years following the Closing, OPKO has agreed not to, directly or indirectly, engage in the GeneDx business anywhere in the world.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D&amp;O Indemnification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Subject to the terms and conditions of the Merger Agreement and the applicable terms and limitations of any such insurance policy, OPKO has agreed to (i) seek recovery on behalf of the Company for certain damages related to pre-Closing occurrences that are covered under OPKO’s occurrence-based third party liability insurance policies and (ii) delivery any proceeds recovered for such claims (calculated net of reasonable expenses incurred in procuring such recovery and any increase in premiums or retroactive premium adjustments or chargebacks paid by or on behalf of OPKO to the extent resulting from such claims, and taking into account the available coverage under each such available insurance policy) to the Company.</w:t>
      </w:r>
    </w:p>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of the Company, OPKO and HoldCo agreed that all rights to indemnification, advancement of expenses and exculpation from liability for or in connection with acts or omissions occurring at any time prior to or on the Closing Date (including in connection with the Merger Agreement and the Transactions), that now exist in favor of any person who prior to or on the Closing Date is or was a current or former director, manager, officer or employee of any member of the GeneDx Group, or who at the request of OPKO, HoldCo or any of their respective affiliates served prior to or on the Closing Date as a director, officer, member, manager, employee, trustee or fiduciary of any other entity of any type, including as provided in the governing documents of any member of the GeneDx Group, will survive the Closing and will continue in full force and effect following the Closing Date. In furtherance (and not in limitation of) the foregoing, for the six year period following the Closing Date, the Company has agreed to cause the GeneDx Group to maintain in the governing documents of each applicable member of the GeneDx Group provisions with respect to indemnification, advancement of expenses and exculpation from liability that in each such respect are at least as favorable to each D&amp;O indemnified person as those contained in such member’s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as in effect on the date hereof, which provisions will not be amended, repealed or otherwise modified in any manner that would adversely affect the rights thereunder of any such D&amp;O indemnified person. .</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OPKO’s directors and officers insurance policies, in each case as in effect as of the Closing Date, shall be the first and primary recourse for any indemnification to which any D&amp;O indemnified person may be entitled under the foregoing. For the six-year period following the Closing Date, OPKO agrees to treat any such claim for indemnification against its directors and officers insurance policies as a Valid Pre-Closing Claim (as such term is defined in the Merger Agreement) in accordance with Section 5.1(a) of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confidentiality restrictions and limitations on public statements pertaining to the Transactions;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OPKO, GeneDx and the Company providing access, subject to certain specified restrictions and conditions, to the other party and its respective representatives reasonable access to GeneDx’s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delivery of certain notices and use of commercially reasonable efforts by OPKO and the applicable GeneDx Party to obtain all consents, waivers and approvals from all persons that are necessary for the execution and delivery of, and the performance of its obligations pursuant to, the Merger Agreement and the ancillary agreements contemplated thereunder; GeneDx using commercially reasonable efforts to enter into certain new contracts in accordance with the terms of the Merger Agreement, and in the event not entered into prior to the Closing, cooperating with the Company following Closing to (a) implement arrangements (including subleasing, sublicensing or subcontracting) (i) to provide the underlying rights and benefits of GeneDx to the Company, the Surviving Entity and their designated affiliates and (ii) for the Surviving Entity or the Company or their designated affiliate to assume all GeneDx obligations thereunder and (b) obtain any requisite consent, substitution, novation, or amendment required to transfer the portion of such seller contract attributable to the GeneDx business to the Company, the Surviving Entity, or their designated affiliate;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certain events and developments during the pre-closing period;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delivery of monthly interim financial statements and audited consolidated financial statements of the GeneDx Group for the 12-month period ended December 31, 2021;</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filing of tax returns and payment of certain taxes following the Closing, the intended tax treatment of the Transactions, treatment of tax refunds received following the Closing, and handling of certain post-closing actions related to taxes;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employment terms and benefits for continuing employees of the GeneDx Group following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negotiation, finalization and entry into a mutually agreed transition services agreement to address certain shared services and contracts following the Closing;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completion of the Pre-Closing Restructuring prior to the Closing.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GeneDx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title to and sufficiency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absence of certain activities and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non-contravention and restrictions on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permits;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employment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privacy, data and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with certain persons;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customers, suppliers and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inventory;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GeneDx means any event, change, condition, circumstance, effect, development, occurrence or state of facts that, individually or in the aggregate with all other such effects, has, or would reasonably be expected to have, a material adverse effect on (a) the condition (financial or otherwise), business, results of operations or assets of the GeneDx Group (taken as a whole) or (b) the ability of OPKO or the GeneDx Parties to perform their respective obligations under the Merger Agreement; provided that no effect attributable to any of the following shall be taken into account in determining the existence of a “material adverse effect” solely for purposes of clause (a) above: (i) conditions affecting the industry, financial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40"/>
          </w:cols>
          <w:pgMar w:left="320" w:top="1440" w:right="339" w:bottom="1440" w:gutter="0" w:footer="0" w:header="0"/>
          <w:type w:val="continuous"/>
        </w:sectPr>
      </w:pPr>
    </w:p>
    <w:bookmarkStart w:id="119" w:name="page120"/>
    <w:bookmarkEnd w:id="11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markets or securities markets in, or the economy as a whole of, the United States, (ii) changes in law or accounting standards (or, in each case, any interpretation thereof) after the Closing Date, (iii) earthquakes, hostilities, acts of war, sabotage or terrorism or military actions, epidemic, public health event or pandemic (including COVID-19 and any worsening thereof (including any COVID-19 response measures)), (iv) any actions required under the Merger Agreement or otherwise negotiated separately to obtain any approval or authorization under applicable antitrust or competition laws for the consummation of the Transactions, (v) the announcement or pendency of the Merger Agreement and the consummation of the Transactions (including the effects of such announcement and pendency on relationships with customers, suppliers, governmental authorities, employees or other third-party relationships), (vii) any actions taken (or omitted to be taken) by or at the written request of the Company or as required by the Merger Agreement, or (viii) any failure, in and of itself, of the GeneDx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(i), (ii) and (iii), to the extent such conditions, changes or events disproportionately affect the GeneDx Group relative to similarly situated industry participants (in which case the incremental disproportionate impact or impacts may be taken into account in determining whether there has been a “material adverse effect”). The Merger Agreement also contains representations and warranties made by the Company to GeneDx relating to a number of matters, including the following:</w:t>
      </w:r>
    </w:p>
    <w:p>
      <w:pPr>
        <w:spacing w:after="0" w:line="120"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non-contravention;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law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insolvency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an investment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anti-corruption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merger sub activities;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GeneDx,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GeneDx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Fund and Indemnification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Escrow Fund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the Closing, the Company will (a) withhold from the Merger Consideration otherwise payable or issuable, as the case may be, $13,470,000 in cash and 8,314,815 shares of its Class A common stock (collectively, the “</w:t>
      </w:r>
      <w:r>
        <w:rPr>
          <w:rFonts w:ascii="Arial" w:cs="Arial" w:eastAsia="Arial" w:hAnsi="Arial"/>
          <w:sz w:val="16"/>
          <w:szCs w:val="16"/>
          <w:i w:val="1"/>
          <w:iCs w:val="1"/>
          <w:color w:val="auto"/>
        </w:rPr>
        <w:t>Escrow Amount</w:t>
      </w:r>
      <w:r>
        <w:rPr>
          <w:rFonts w:ascii="Arial" w:cs="Arial" w:eastAsia="Arial" w:hAnsi="Arial"/>
          <w:sz w:val="16"/>
          <w:szCs w:val="16"/>
          <w:color w:val="auto"/>
        </w:rPr>
        <w:t>”) and (b) deposit the Escrow Amount into a third-party escrow to be held for a period of 12 months following the Closing Date as a fund for OPKO’s indemnification obligations, as further described below. The Escrow Amount will be held and released subject to and in accordance with the terms and conditions set forth in the Merger Agreement and the Escrow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Survival; Claims Period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representations and warranties contained in the Merger Agreement that are not Fundamental Representations will survive the Closing until the date that is 12 months following the Closing Date and the Fundamental Representations shall survive until the expiration of the applicable statute of limitations. All of the covenants and other agreements of OPKO, the Company Parties, the Company and the Merger Subs in the Merger Agreement to be performed at or prior to the Closing shall survive until the date that is 12 months following the Closing Date and all other covenants and other agreements of such parties contained in the Merger Agreement will survive until fully performed or fulfilled.</w:t>
      </w:r>
    </w:p>
    <w:p>
      <w:pPr>
        <w:spacing w:after="0" w:line="12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period during which the Acquirer Indemnified Parties may assert a claim for indemnification in respect of any of the specified matters set forth in clauses (c) through (f) below shall survive indefinitely, except for the Repayment Obligations Indemnity, which period shall expire on the date that is two years following the Closing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OPKO Indemnification Obligations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From and after the Closing, subject to the terms and conditions set forth in the Merger Agreement, OPKO has agreed to indemnify, defend and hold harmless the Company and certain of its affiliates and representatives (the “</w:t>
      </w:r>
      <w:r>
        <w:rPr>
          <w:rFonts w:ascii="Arial" w:cs="Arial" w:eastAsia="Arial" w:hAnsi="Arial"/>
          <w:sz w:val="17"/>
          <w:szCs w:val="17"/>
          <w:i w:val="1"/>
          <w:iCs w:val="1"/>
          <w:color w:val="auto"/>
        </w:rPr>
        <w:t>Acquirer Indemnified Parties</w:t>
      </w:r>
      <w:r>
        <w:rPr>
          <w:rFonts w:ascii="Arial" w:cs="Arial" w:eastAsia="Arial" w:hAnsi="Arial"/>
          <w:sz w:val="17"/>
          <w:szCs w:val="17"/>
          <w:color w:val="auto"/>
        </w:rPr>
        <w:t>”) from and against any and all damages asserted against, suffered, sustained, accrued or incurred by such Acquirer Indemnified Party as a result of or relating to:</w:t>
      </w:r>
    </w:p>
    <w:p>
      <w:pPr>
        <w:spacing w:after="0" w:line="111" w:lineRule="exact"/>
        <w:rPr>
          <w:sz w:val="20"/>
          <w:szCs w:val="20"/>
          <w:color w:val="auto"/>
        </w:rPr>
      </w:pPr>
    </w:p>
    <w:p>
      <w:pPr>
        <w:ind w:left="660" w:hanging="328"/>
        <w:spacing w:after="0" w:line="277" w:lineRule="auto"/>
        <w:tabs>
          <w:tab w:leader="none" w:pos="6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breach of, or any inaccuracy in, any representation or warranty of the GeneDx Parties or OPKO in the Merger Agreement or certain certificates delivered in connection with the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GeneDx or OPKO under this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liabilities not related to the GeneDx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Indebtedness of the GeneDx Group or transaction expenses of the GeneDx Group to the extent not taken into account in the calculation of the Cash Consideration in accordance with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Pre-Closing Taxes; or</w:t>
      </w:r>
    </w:p>
    <w:p>
      <w:pPr>
        <w:spacing w:after="0" w:line="171" w:lineRule="exact"/>
        <w:rPr>
          <w:rFonts w:ascii="Arial" w:cs="Arial" w:eastAsia="Arial" w:hAnsi="Arial"/>
          <w:sz w:val="18"/>
          <w:szCs w:val="18"/>
          <w:color w:val="auto"/>
        </w:rPr>
      </w:pPr>
    </w:p>
    <w:p>
      <w:pPr>
        <w:ind w:left="660" w:hanging="328"/>
        <w:spacing w:after="0" w:line="277" w:lineRule="auto"/>
        <w:tabs>
          <w:tab w:leader="none" w:pos="6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certain repayment obligations, to the extent not taken into account in the calculation of the Cash Consideration (the “</w:t>
      </w:r>
      <w:r>
        <w:rPr>
          <w:rFonts w:ascii="Arial" w:cs="Arial" w:eastAsia="Arial" w:hAnsi="Arial"/>
          <w:sz w:val="18"/>
          <w:szCs w:val="18"/>
          <w:i w:val="1"/>
          <w:iCs w:val="1"/>
          <w:color w:val="auto"/>
        </w:rPr>
        <w:t>Repayment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and (ii) the Pre-Closing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Indemnification Obligations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and after the Closing, subject to the terms and conditions set forth in the Merger Agreement, the Company has agreed to indemnify, defend and hold harmless OPKO and its affiliates (excluding, after the Closing, the Surviving Entity and the other members of the GeneDx Group) representatives (the “</w:t>
      </w:r>
      <w:r>
        <w:rPr>
          <w:rFonts w:ascii="Arial" w:cs="Arial" w:eastAsia="Arial" w:hAnsi="Arial"/>
          <w:sz w:val="17"/>
          <w:szCs w:val="17"/>
          <w:i w:val="1"/>
          <w:iCs w:val="1"/>
          <w:color w:val="auto"/>
        </w:rPr>
        <w:t>OPKO Indemnified Parties</w:t>
      </w:r>
      <w:r>
        <w:rPr>
          <w:rFonts w:ascii="Arial" w:cs="Arial" w:eastAsia="Arial" w:hAnsi="Arial"/>
          <w:sz w:val="17"/>
          <w:szCs w:val="17"/>
          <w:color w:val="auto"/>
        </w:rPr>
        <w:t>” and together with the Acquirer Indemnified Parties, the “</w:t>
      </w:r>
      <w:r>
        <w:rPr>
          <w:rFonts w:ascii="Arial" w:cs="Arial" w:eastAsia="Arial" w:hAnsi="Arial"/>
          <w:sz w:val="17"/>
          <w:szCs w:val="17"/>
          <w:i w:val="1"/>
          <w:iCs w:val="1"/>
          <w:color w:val="auto"/>
        </w:rPr>
        <w:t>Indemnified Parties</w:t>
      </w:r>
      <w:r>
        <w:rPr>
          <w:rFonts w:ascii="Arial" w:cs="Arial" w:eastAsia="Arial" w:hAnsi="Arial"/>
          <w:sz w:val="17"/>
          <w:szCs w:val="17"/>
          <w:color w:val="auto"/>
        </w:rPr>
        <w:t>”) from and against any and all damages asserted against, suffered, sustained, accrued or incurred by such OPKO Indemnified Party as a result of or relating to:</w:t>
      </w:r>
    </w:p>
    <w:p>
      <w:pPr>
        <w:spacing w:after="0" w:line="117" w:lineRule="exact"/>
        <w:rPr>
          <w:sz w:val="20"/>
          <w:szCs w:val="20"/>
          <w:color w:val="auto"/>
        </w:rPr>
      </w:pPr>
    </w:p>
    <w:p>
      <w:pPr>
        <w:ind w:left="660" w:hanging="328"/>
        <w:spacing w:after="0" w:line="277" w:lineRule="auto"/>
        <w:tabs>
          <w:tab w:leader="none" w:pos="6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breach of, or any inaccuracy in, any representation or warranty of the Company or the Merger Subs in the Merger Agreement or certain certificates delivered in connection with the Closing;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the Company or the Merger Subs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Limitations on Liability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case of General Claims (as such term is defined in the Merger Agreement): (a) 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w:t>
      </w:r>
      <w:r>
        <w:rPr>
          <w:rFonts w:ascii="Arial" w:cs="Arial" w:eastAsia="Arial" w:hAnsi="Arial"/>
          <w:sz w:val="18"/>
          <w:szCs w:val="18"/>
          <w:i w:val="1"/>
          <w:iCs w:val="1"/>
          <w:color w:val="auto"/>
        </w:rPr>
        <w:t>De Minimis Claims</w:t>
      </w:r>
      <w:r>
        <w:rPr>
          <w:rFonts w:ascii="Arial" w:cs="Arial" w:eastAsia="Arial" w:hAnsi="Arial"/>
          <w:sz w:val="18"/>
          <w:szCs w:val="18"/>
          <w:color w:val="auto"/>
        </w:rPr>
        <w:t>”), and no De Minimis Claims shall be included in the calculation used to determine whether the Deductible shall have been satisfied; and (b) the Indemnifying Party shall not be liable for any such General Claims (or series of related General Claims) unless and until the aggregate of all indemnifiable Damages that may be recovered from such Indemnifying Party for General Claims exceeds $5,565,000 (the “</w:t>
      </w:r>
      <w:r>
        <w:rPr>
          <w:rFonts w:ascii="Arial" w:cs="Arial" w:eastAsia="Arial" w:hAnsi="Arial"/>
          <w:sz w:val="18"/>
          <w:szCs w:val="18"/>
          <w:i w:val="1"/>
          <w:iCs w:val="1"/>
          <w:color w:val="auto"/>
        </w:rPr>
        <w:t>Deductible</w:t>
      </w:r>
      <w:r>
        <w:rPr>
          <w:rFonts w:ascii="Arial" w:cs="Arial" w:eastAsia="Arial" w:hAnsi="Arial"/>
          <w:sz w:val="18"/>
          <w:szCs w:val="18"/>
          <w:color w:val="auto"/>
        </w:rPr>
        <w:t>”) and then such Indemnifying Party shall be liable only for those amount in excess of the Deductible; and (c) the maximum aggregate Liability of an Indemnifying Party with respect to General Claims shall not exceed an amount equal to the Escrow Amount.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Except in the case of (i) Fundamental Claims (as such term is defined in the Merger Agreement) involving Third Party Claims and (ii) fraud, no Indemnifying Party shall be liable under the Merger Agreement for an aggregate amount in excess of the actual amount of the Merger Consideration, exclusive of any Milestone Payments, paid to OPKO (it being agreed that, for purposes of calculating such amount, the shares of our Class A common stock received by OPKO shall be deemed to have a value equal to the Share Value); provided that, with respect to the Repayment Obligations Indemnity, OPKO’s maximum liability shall not exceed an amount equal to $35,000,000.</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case of (i) Fundamental Claims (other than the Repayment Obligations Indemnity, which shall be limited as set forth above) involving Third Party Claims or (ii) fraud, no Indemnifying Party shall be liable under the Merger Agreement for an aggregate amount in excess of the actual amount of the Total Merger Consideration, inclusive of any Milestone Payments, paid to OPKO.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Merger Agreement contains additional terms governing the process by which an Indemnified Party may bring and assert a claim for indemnification, the process by which an Indemnifying Party may dispute a claim for indemnification, the order of recovery against an Indemnifying Party and the control of the defense and settlement of any third-party claims.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respective obligations of each Party to complete the Acquisition are subject to the satisfaction of the following conditions:</w:t>
      </w:r>
    </w:p>
    <w:p>
      <w:pPr>
        <w:spacing w:after="0" w:line="171"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approval of the Stock Consideration Issuance Proposal and the Charter Amendment Proposal by the Company’s shareholders;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approval by OPKO, as sole stockholder of Holdco, of the Merger Agreement and the transactions contemplated thereby;</w:t>
      </w:r>
    </w:p>
    <w:p>
      <w:pPr>
        <w:spacing w:after="0" w:line="171"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All filings with and approvals of any Governmental Authority required to be made or obtained prior to the Closing in connection with the Acquisition shall have been made or obtained and in full force and effect, and the applicable waiting period(s) under the HSR Act and, if required, any other applicable antitrust law in respect of the transactions contemplated by the Merger Agreement must have expired or been terminated; and</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must be no order issued by any court of competent jurisdiction preventing the consummation of the Acquisition in effect, and no action shall have been taken by any Governmental Authority seeking the foregoing, and no law or order shall have been enacted or entered that makes the consummation of the Acquisition illegal.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the Company’s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obligation of the Company to complete the Acquisition is also subject to the satisfaction, or waiver by the Company, of the following conditions:</w:t>
      </w:r>
    </w:p>
    <w:p>
      <w:pPr>
        <w:spacing w:after="0" w:line="194" w:lineRule="exact"/>
        <w:rPr>
          <w:sz w:val="20"/>
          <w:szCs w:val="20"/>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GeneDx Parties and OPKO as of the date of the Merger Agreement and as of the Closing, subject to certain materiality thresholds;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OPKO and the GeneDx Parties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Order issued by any court of competent jurisdiction or other legal or regulatory restraint or prohibition materially limiting or restricting the Company’s ownership, conduct or operation of GeneDx’s business following the Closing shall be in effect, and no proceeding seeking any of the foregoing shall be pending or threatened;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material adverse effect with respect to the GeneDx Group (taken as a whole) may have occurred since the date of the Merger Agreement that is continuing;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HoldCo must have delivered the Required Financial Statements to the Company (subject to a grace period that may be available under applicable SEC rules);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GeneDx Parties and OPKO must have completed certain pre-closing restructuring transactions and received written confirmation from the IRS (or other evidence reasonably satisfactory to the Company) stating that GeneDx will retain its EIN following completion of the Transactions, as set out in the Merger Agreement;</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Katherine Stueland must have remained continuously employed on a full-time basis with GeneDx through the Closing, Ms. Stueland’s Key Employment Agreement must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member of the GeneDx Group and the applicable Third Parties shall have entered into the Required Closing Contracts and delivered copies thereof to the Company; and</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GeneDx must have delivered, or caused to have been delivered, or must stand ready to deliver all of the certificates, instruments, contracts and other documents specified to be delivered by it hereunder, duly executed by the applicable signatory or signatories specified therein,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OPKO and GeneDx’s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OPKO and the GeneDx Parties to complete the Acquisition is also subject to the satisfaction, or waiver by OPKO,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thresholds;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must have performed or complied with all agreements and covenants required by the Merger Agreement to be performed or complied with by it on or prior to the Closing Date, in each case in all material respects;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Subs, as applicable;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shares of Class A common stock to be issued in connection with the Acquisition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consent of the Company and OPKO;</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the Acquisition is not completed by August 14, 2022, which date may be extended, by either party’s written notice, to October 14, 2022 if, as of the August 14, 2022, any one of certain conditions have not been met (the “</w:t>
      </w:r>
      <w:r>
        <w:rPr>
          <w:rFonts w:ascii="Arial" w:cs="Arial" w:eastAsia="Arial" w:hAnsi="Arial"/>
          <w:sz w:val="17"/>
          <w:szCs w:val="17"/>
          <w:i w:val="1"/>
          <w:iCs w:val="1"/>
          <w:color w:val="auto"/>
        </w:rPr>
        <w:t>termination date</w:t>
      </w:r>
      <w:r>
        <w:rPr>
          <w:rFonts w:ascii="Arial" w:cs="Arial" w:eastAsia="Arial" w:hAnsi="Arial"/>
          <w:sz w:val="17"/>
          <w:szCs w:val="17"/>
          <w:color w:val="auto"/>
        </w:rPr>
        <w:t>”), provided that the right to terminate the Merger Agreement under this provision will not be available to any party whose breach of any covenant, agreement or obligation hereunder was the principal cause of, or directly resulted in, the failure of the Closing to occur on or before the termination date; or</w:t>
      </w:r>
    </w:p>
    <w:p>
      <w:pPr>
        <w:spacing w:after="0" w:line="117"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GeneDx if a governmental entity has issued an order preventing the consummation of the Merger and such order shall have become final and non-appealable.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OPKO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96"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by OPKO, by written notice to the Company, if there shall have been an inaccuracy in any representation or warranty made by, or a breach of any covenant, agreement or obligation of, the Company or any of the Merger Subs in the Merger Agreement and such inaccuracy or breach shall not have been cured within 30 days after receipt by the Company of written notice from OPKO of such inaccuracy or breach and, if not cured within such period and at or prior to the Closing, such breach would result in the failure of certain of the conditions set forth in the Merger Agreement to be satisfied (provided that no such cure period shall be available or applicable to any such inaccuracy or breach that by its nature cannot be cured).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Termination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Merger Agreement may be terminated and the transactions contemplated thereby abandoned by the Company, by written notice to OPKO, if there shall have been an inaccuracy in any representation or warranty made by, or a breach of any covenant, agreement or obligation of, the GeneDx Parties or OPKO in the Merger Agreement and such inaccuracy or breach shall not have been cured within 30 days after receipt by OPKO of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the Company of such inaccuracy or breach and, if not cured within such period and at or prior to the Closing, such inaccuracy or breach would result in the failure of certain of the conditions set forth in the Merger Agreement to be satisfied (provided that no such cure period shall be available or applicable to any such breach that by its nature cannot be cured).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Merger Agreement is validly terminated, the agreement will become void without any liability on the part of any of the parties, except in the event of any intentional misrepresentation made by, or a willful breach of any covenant, agreement or obligation of, such party in the Merger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Merger Agreement may be amended by the parties at any time by execution of an instrument in writing signed on behalf of each of OPKO and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parties to the Merger Agreement agreed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GeneDx,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Acquisition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Acquisition are the result of negotiations among the representatives of Sema4 and GeneDx. The following is a brief description of the background of these negotiations and the resulting Acquisition.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consummation of its business combination with CMLS in July 2021, Sema4 has endeavored to identify opportunities to expand its capabilities through acquisitions and, to that end, the Board established a standing transaction committee (the “</w:t>
      </w:r>
      <w:r>
        <w:rPr>
          <w:rFonts w:ascii="Arial" w:cs="Arial" w:eastAsia="Arial" w:hAnsi="Arial"/>
          <w:sz w:val="18"/>
          <w:szCs w:val="18"/>
          <w:i w:val="1"/>
          <w:iCs w:val="1"/>
          <w:color w:val="auto"/>
        </w:rPr>
        <w:t>Transaction Committee</w:t>
      </w:r>
      <w:r>
        <w:rPr>
          <w:rFonts w:ascii="Arial" w:cs="Arial" w:eastAsia="Arial" w:hAnsi="Arial"/>
          <w:sz w:val="18"/>
          <w:szCs w:val="18"/>
          <w:color w:val="auto"/>
        </w:rPr>
        <w:t>”) composed of Joshua Ruch, Michael Pellini and Eli Casdin to supervise Sema4’s consideration of various proposed acquisitions. Believing that the addition of precision oncology, clinical genomics and rare disease testing capabilities would significantly enhance Sema4’s platform, Sema4 analyzed the precision oncology, clinical genomics and rare disease market segments through the course of 2021 with respect to various companies and technologies as potential acquisition candidates.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2021, the Sema4 corporate development team began evaluating the rare disease market and identifying target companies that were attractive in that space. On March 16, 2021 and through a number of mutual business connections, an introduction was made to OPKO management team, along with their financial advisors, to explore potential opportunities of strategic alignment with their subsidiary, GeneDx.</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24, 2021, a call was arranged through OPKO’s advisors between Phil Frost, OPKO’s Chairman and CEO, and Kareem Saad, Sema4’s Chief Business Officer, to share high level executive overviews and discuss the potential of a business transaction. A mutual non-disclosure agreement was signed by both parties on April 5, 2021 to facilitate each party’s respective due diligence, and a confidential information memorandum that detailed the overall business summary, a product breakdown and a financial overview was shared with the Sema4 corporate development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OPKO spent the following six months upgrading GeneDx’s executive leadership team, refocusing their business strategy and considering several strategic paths including the potential to spin the company out as a standalone entity.</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early September 2021, during a discussion between Casdin Capital and Ms. Stueland regarding a potential private equity investment by Casdin Capital in GeneDx, Eli Casdin suggested that a meeting among Sema4 and GeneDx could be advantageous for both parties. During a subsequent call among Ms. Stueland, Mr. Casdin and Steve Rubin, it was agreed that Mr. Casdin would facilitate a broader introduction of Sema4 to OPKO.</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16, 2021, Ms. Stueland and representatives from GeneDx held a laboratory tour and meeting with members from Casdin Capital, including Eli Casdin, Shaun Rodriquez, Ryan Blicker, at GeneDx’s facilities in Gaithersburg, MD.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21, 2021, Eric Schadt, Sema4’s Founder and CEO, met in person with Katherine Stueland, GeneDx’s President and CEO, to continue discussions around business synergies and the potential of combining both organizations. Both agreed to convene a follow-up meeting between members of both leadership teams to dive deeper into the respective businesses to determine if there was a viable path forward.</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1, 2021, Mr. Casdin met with Ms. Stueland, Dr. Frost and Mr. Rubin in Miami, FL and it was agreed that there were significant potential benefits and synergies from a combination of GeneDx and Sema4 and further discussion was warranted. It was agreed that next steps would include a tour of GeneDx’s facilities in Gaithersburg followed by a tour of Sema4’s facilities in Stamford, CT and New York, NY.</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5, 2021, members of the Sema4’s management team, led by Mr. Schadt, met with members of GeneDx’s management team, led by Ms. Stueland, at Sema4’s corporate headquarters in Stamford, CT. Both companies shared more detailed information on their respective corporate strategies, product and solution portfolios, go-to-market plans and solution portfolios, long term growth plans and financial profiles. A mutual determination was made to pursue deeper exploratory diligence to assess the feasibility of a merger of both organizations and to enter into negotiations on business terms. JP Morgan Chase, financial advisors to OPKO (“</w:t>
      </w:r>
      <w:r>
        <w:rPr>
          <w:rFonts w:ascii="Arial" w:cs="Arial" w:eastAsia="Arial" w:hAnsi="Arial"/>
          <w:sz w:val="18"/>
          <w:szCs w:val="18"/>
          <w:i w:val="1"/>
          <w:iCs w:val="1"/>
          <w:color w:val="auto"/>
        </w:rPr>
        <w:t>JP Morgan</w:t>
      </w:r>
      <w:r>
        <w:rPr>
          <w:rFonts w:ascii="Arial" w:cs="Arial" w:eastAsia="Arial" w:hAnsi="Arial"/>
          <w:sz w:val="18"/>
          <w:szCs w:val="18"/>
          <w:color w:val="auto"/>
        </w:rPr>
        <w:t>”), and Goldman Sachs, financial advisors to Sema4, were brought into the conversation to help broker and facilitate a potential transaction.</w:t>
      </w:r>
    </w:p>
    <w:p>
      <w:pPr>
        <w:spacing w:after="0" w:line="1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October 6, 2021, Sema4’s Transaction Committee was fully briefed on conversations and approved a plan to enter into exploratory diligence with GeneDx to explore a potential acquisition and to proceed with the development of a term sheet that outlines the business terms for the transaction.</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12, 2021, Sema4 then commenced a due diligence investigation of GeneDx, with the assistance of its financial, accounting, tax and legal advisors. Over the next several weeks, Sema4, with assistance from Goldman Sachs, financial advisor to Sema4, and Fenwick &amp; West LLP, outside legal counsel to Sema4 (“</w:t>
      </w:r>
      <w:r>
        <w:rPr>
          <w:rFonts w:ascii="Arial" w:cs="Arial" w:eastAsia="Arial" w:hAnsi="Arial"/>
          <w:sz w:val="18"/>
          <w:szCs w:val="18"/>
          <w:i w:val="1"/>
          <w:iCs w:val="1"/>
          <w:color w:val="auto"/>
        </w:rPr>
        <w:t>Fenwick</w:t>
      </w:r>
      <w:r>
        <w:rPr>
          <w:rFonts w:ascii="Arial" w:cs="Arial" w:eastAsia="Arial" w:hAnsi="Arial"/>
          <w:sz w:val="18"/>
          <w:szCs w:val="18"/>
          <w:color w:val="auto"/>
        </w:rPr>
        <w:t>”), assessed various preliminary diligence materials received from GeneDx and worked on developing potential transaction strategies and structures for a potential acquisition of GeneDx. Conversely, GeneDx along with a number of their advisors entered into a series of discussions with the Sema4 management team to assess technology, product, go-to-market and human resources aspects of the Sema4 business. During the due diligence period and throughout the course of negotiations with OPKO, the Transaction Committee met regularly with members of the Sema4 management team, Goldman Sachs and Fenwick to review progress on the proposed transaction, analyze the results of due diligence and provide input on proposed transaction terms.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18, 2021, representatives of OPKO and GeneDx visited Sema4 headquarters in Stamford, CT and in New York, NY. Sema4 and GeneDx made presentations to each other’s management teams.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2021, the Transaction Committee authorized the submission to OPKO of a non-binding indication of interest (the “</w:t>
      </w:r>
      <w:r>
        <w:rPr>
          <w:rFonts w:ascii="Arial" w:cs="Arial" w:eastAsia="Arial" w:hAnsi="Arial"/>
          <w:sz w:val="18"/>
          <w:szCs w:val="18"/>
          <w:i w:val="1"/>
          <w:iCs w:val="1"/>
          <w:color w:val="auto"/>
        </w:rPr>
        <w:t>Non-Binding</w:t>
      </w:r>
      <w:r>
        <w:rPr>
          <w:rFonts w:ascii="Arial" w:cs="Arial" w:eastAsia="Arial" w:hAnsi="Arial"/>
          <w:sz w:val="18"/>
          <w:szCs w:val="18"/>
          <w:color w:val="auto"/>
        </w:rPr>
        <w:t xml:space="preserve"> </w:t>
      </w:r>
      <w:r>
        <w:rPr>
          <w:rFonts w:ascii="Arial" w:cs="Arial" w:eastAsia="Arial" w:hAnsi="Arial"/>
          <w:sz w:val="18"/>
          <w:szCs w:val="18"/>
          <w:i w:val="1"/>
          <w:iCs w:val="1"/>
          <w:color w:val="auto"/>
        </w:rPr>
        <w:t>Indication</w:t>
      </w:r>
      <w:r>
        <w:rPr>
          <w:rFonts w:ascii="Arial" w:cs="Arial" w:eastAsia="Arial" w:hAnsi="Arial"/>
          <w:sz w:val="18"/>
          <w:szCs w:val="18"/>
          <w:color w:val="auto"/>
        </w:rPr>
        <w:t>”) for an acquisition of GeneDx by Sema4 for total consideration of up to $850 million in a taxable transaction, payable in the form of (i) an</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cash payment of $150 million, (ii) upfront stock consideration with a value of $500 million in shares of Sema4’s Class A common stock (valued based on the average of the daily VWAP of the Class A common stock over the 30 trading days prior to the date that would be two days prior to the signing of a potential purchase agreement (a 30-day VWAP), referred to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Stock Price</w:t>
      </w:r>
      <w:r>
        <w:rPr>
          <w:rFonts w:ascii="Arial" w:cs="Arial" w:eastAsia="Arial" w:hAnsi="Arial"/>
          <w:sz w:val="18"/>
          <w:szCs w:val="18"/>
          <w:color w:val="auto"/>
        </w:rPr>
        <w:t>”) and (iii) post-closing potential milestone-based consideration of up to $200 million in cash, shares of Class A common stock (based on the Sema4 Stock Price) or a mix thereof (such allocation to be determined by Sema4 in its sole discretion) to be paid upon the achievement of certain revenue targets following the closing of the transaction. The Non-Binding Indication also provided that the stock portion of the consideration to be paid in the transaction, including the milestone payments, would be subject to a two-year lock-up period and that following the lock-up period, any resale of the stock consideration would be subject to certain resale limitations.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22, 2021, the Board met to discuss the potential acquisition of GeneDx, including a range of possible terms for such acquisition and financing options related to the cash consideration expected to be paid in the acquisition. Representatives of Goldman Sachs provided the Board preliminary financial analysis of Sema4 and GeneDx. Representatives of Fenwick were also present at the meeting. Representatives of Sema4 management, Goldman Sachs and Fenwick then reviewed with the Board the proposed terms of a non-binding offer for the acquisition of GeneDx.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23, 2021, Goldman Sachs conveyed initial feedback received from representatives of JP Morgan, regarding the Non-Binding Indication, which included a request for additional upfront consideration and a tax deferred transaction structure as well as rejection of a lock-up. Over the course of the following days, the Sema4 management team met regularly with Goldman Sachs and Fenwick to consider a response to the initial OPKO feedback on the Non-Binding Indication.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25, 2021, representatives of Sema4, Goldman Sachs and Fenwick met with the Transaction Committee to discuss revisions to the Non-Binding Indication. The Transaction Committee authorized the submission of a revised Non-Binding Indication and, on October 26, 2021, a representative of Goldman Sachs delivered the revised Non-Binding Indication to JP Morgan on behalf of OPKO.</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Over the following weeks, representatives of Goldman Sachs met with representatives of JP Morgan to discuss the terms of the revised Non-Binding Indication and JP Morgan, on behalf of OPKO, proposed modifications that would, among other things, increase the total consideration, provide for a tax deferred transaction and modify other terms of the Non-Binding Indication. Goldman Sachs, Sema4 and Fenwick met regularly during the course of the negotiations and reported to the Transaction Committee on a regular basis.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4, 2021, the Transaction Committee authorized Goldman Sachs to convey to JP Morgan unwillingness to do a tax-deferred transaction but willingness to (A) increase total consideration from up to $875 million to up to $900 million by adding $25 million to the up front equity consideration and (B) shorten the proposed lockup period applicable to the Sema4 equity issued in the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revised terms proposed by Goldman Sachs, JP Morgan proposed on the same day an increase in total consideration of up to $925 million, with the additional $25.0 million being paid in cash or Class A common stock, or a mix thereof, at Sema4’s option and a revision to the structure of the proposed milestone-based consideration.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 Committee met with representatives of Goldman Sachs, Fenwick and Sema4 on November 5, 2021 and November 8, 2021 to discuss revised terms for the transaction. On November 8, 2021, the Transaction Committee authorized Goldman Sachs to deliver to JP Morgan on behalf of OPKO a revised Non-Binding Indication providing for a taxable transaction with total consideration of up to $925 million, with the additional $25 million payable in the form of post-closing potential milestone-based consideration, and revised lock-up terms.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11, 2021, OPKO delivered a revised Non-Binding Indication to Sema4, which revised the terms of the prior draft Non-Binding Indication to provide, among other things, for a tax deferred transaction structure and an increase in total consideration to up to $950 million, with to the additional $25.0 million payable in the form of post-closing milestone-based consideration to the extent revenue targets are exceeded, a proposal that OPKO would be entitled to nominate two directors to serve on the Board following the closing of the transaction.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12, 2021, the Transaction Committee met to discuss the revised Non-Binding Indication received from OPKO. Representatives of Fenwick and Goldman Sachs were present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13, Sema4 delivered a further revised Non-Binding Indication to GeneDx proposing, among other things, a taxable transaction, one year lock-up and resale limitations on Class A common stock issued in the transaction and the addition of one mutually agreed GeneDx designee to the Board following the closing of the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15, 2021, Kareem Saad, Chief Business Officer of Sema4, spoke with Steve Rubin, Executive Vice President of OPKO to discuss the revised Non-Binding Indication and potential alternatives to work toward an agreement on outstanding points. Mr. Saad and Mr. Rubin agreed to meet later that week to suggest solutions and come to an agreement on terms.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17, 2021, members of OPKO and GeneDx management met with members of Sema4 management at Sema4’s headquarters to negotiate the terms of the Non-Binding Indication. Representatives of OPKO and GeneDx’s outside legal counsel, Greenberg Traurig, LLP (“</w:t>
      </w:r>
      <w:r>
        <w:rPr>
          <w:rFonts w:ascii="Arial" w:cs="Arial" w:eastAsia="Arial" w:hAnsi="Arial"/>
          <w:sz w:val="17"/>
          <w:szCs w:val="17"/>
          <w:i w:val="1"/>
          <w:iCs w:val="1"/>
          <w:color w:val="auto"/>
        </w:rPr>
        <w:t>Greenberg Traurig</w:t>
      </w:r>
      <w:r>
        <w:rPr>
          <w:rFonts w:ascii="Arial" w:cs="Arial" w:eastAsia="Arial" w:hAnsi="Arial"/>
          <w:sz w:val="17"/>
          <w:szCs w:val="17"/>
          <w:color w:val="auto"/>
        </w:rPr>
        <w:t>”), and Fenwick, Goldman Sachs and certain members of Sema4 management attended via videoconference.</w:t>
      </w:r>
    </w:p>
    <w:p>
      <w:pPr>
        <w:spacing w:after="0" w:line="1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November 18 and 19, 2021, Mr. Saad met with Mr. Rubin regarding a revised transaction proposal, including a reduction of $25 million in potential milestone payments in exchange for agreeing to structure the transaction as a tax-free reorganization, as well as certain other modifications.</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20, 2021, Sema4 delivered a further revised Non-Binding Indication to OPKO providing for, among other things, a tax-free reorganization transaction structure.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parties negotiated the terms of the revised Non-Binding Indication over the next two days and, on November 21, 2021, with the approval of the Transaction Committee, the parties executed the Non-Binding Indication.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November 21, 2021, GeneDx and OPKO, Sema4 with assistance from its advisors, including Goldman Sachs, Fenwick and Deloitte LLP, continued to engage in diligence activities with respect to GeneDx and a potential combination of GeneDx with Sema4. In addition to reviewing information in the data room assembled by GeneDx, such diligence activities included multiple discussions and exchanges with GeneDx and its advisors, including Fenwick and Goldman Sachs, on various diligence matters and aspects of GeneDx including commercial, scientific, operations, finance, accounting, legal, intellectual property and human resources.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24, 2021, representatives from Fenwick sent a draft Merger Agreement to representatives from Greenberg Traurig.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December 2, 2021, representatives from Fenwick and Greenberg Traurig met by telephone conference to review the draft Merger Agreement.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15, 2021, representatives from Greenberg Traurig sent a revised draft Merger Agreement to representatives from Fenwick. As part of its comments to the Merger Agreement, OPKO proposed that certain stockholders of Sema4 enter into support agreements in respect of the proposed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17, 2021, Fenwick delivered a draft Shareholder Agreement to representatives from Greenberg Traurig, providing for certain voting, lock-up, registration rights and standstill provisions relating to the shares of Class A common stock to be issued to OPKO in connection with the closing of the transaction.</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Between December 17, 2021 and December 24, 2021, due to changes in equity market conditions and Sema4’s market valuation, representatives of Sema4 and OPKO negotiated revisions to the aggregate consideration proposed to be paid in the transaction to reflect such changes.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24, 2021, Sema4 and OPKO reached agreement on revised economic terms for the acquisition of GeneDx by Sema4, providing for, among other things, (i) $150 million in cash consideration to be paid at the closing of the transaction, (ii) 80 million shares of Sema4 to be paid at the closing of the transaction, (iii) up to $150 million in potential milestone-based consideration payable in cash and/or shares based on the achievement of certain revenue targets by GeneDx following the transaction, with any shares included in such milestone consideration valued on the basis of the Sema4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27, 2021, representatives from Sema4 met by telephonic conference with representatives from Fenwick and Goldman Sachs to discuss the revised terms of the transaction as well as issues presented in the revised draft Merger Agreement received from Greenberg Traurig on December 15, 2021 including, among other items, the possibility of seeking support agreements from certain Sema4 stockholders.</w:t>
      </w:r>
    </w:p>
    <w:p>
      <w:pPr>
        <w:spacing w:after="0" w:line="11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Over the course of the following weeks, the parties and their respective legal counsels negotiated the Merger Agreement and other definitive agreements governing the transaction and completed due diligence. The parties also prepared an investor presentation for meetings with certain targeted PIPE investors and, on January 5, 2022, Goldman Sachs began wall-crossing PIPE investors and GeneDx and Sema4’s management team then began information sessions with the wall-crossed investors, which continued over the following weeks. Sema4 also began to negotiate the terms of employment of Katherine Stueland, Kevin Feeley and Jennifer Brendel.</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5, 2022, representatives from Fenwick delivered a draft Support Agreement in respect of the transaction to representatives of Greenberg Traurig and representatives of certain of the supporting stockholders. Following January 5, 2022, representatives of Fenwick, along with representatives of Greenberg Traurig and each of the supporting stockholders negotiated the terms of the Support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6 and January 7, 2022, Sema4 and representatives of Goldman Sachs and Fenwick held informal information sessions for the Board to review key transaction terms and progress on negotiations for the acquisition, as well as the proposed roles of Katherine Stueland, Kevin Feeley and Jennifer Brendel following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on January 6, 2022, Fenwick sent an initial draft employment agreement for Katherine Stueland to her personal counsel. The parties and their legal representatives then negotiated the terms of such agreement over the coming days, along with the terms of employment agreements for Kevin Feeley and Jennifer Brendel.</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January 11, 2022, the Board held a meeting during which representatives of Goldman Sachs and Fenwick reviewed with the Board the terms of the proposed acquisition of GeneDx, including a review by Fenwick of the terms of the proposed definitive agreements and the results of Sema4’s due diligence review, and a review by Goldman Sachs of its financial analysis of GeneDx, Sema4 and the pro forma combination of Sema4 and GeneDx. Ms. Stueland attended a portion of the meeting to discuss and present her background and vision for GeneDx and the combined business with Sema4.</w:t>
      </w:r>
    </w:p>
    <w:p>
      <w:pPr>
        <w:spacing w:after="0" w:line="10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Board met again on January 14, 2022, with representatives of Goldman Sachs and Fenwick present, to review the proposed final terms of the acquisition of GeneDx by Sema4. Mr. Saad and a representative of Fenwick reviewed with the Board the terms of the proposed final Merger Agreement and other definitive agreements. Mr. Saad and a representative of Goldman Sachs then reviewed with the Board the terms of the proposed PIPE Investment for the cash consideration payable in the transaction and additional operating capital for the combined company. Representatives of Goldman Sachs next reviewed and discussed with the Board Goldman Sachs’ financial analysis of the aggregate consideration to be paid in the acquisition, and following such discussion, Goldman Sachs rendered its oral opinion to the Board, which it subsequently confirmed in writing, that, as of such date and based upon and subject to the various assumptions made, procedures followed, matters considered and qualifications and limitations set forth therein, the aggregate consideration to be paid in the acquisition of GeneDx was, as of the date of the opinion, fair, from a financial point of view, to Sema4. The Board unanimously voted in favor of the approval of the proposed Merger Agreement and the transactions contemplated thereby, including the merger of GeneDx with a subsidiary of Sema4 to result in GeneDx becoming a wholly-owned subsidiary of Sema4, as well as the proposed PIPE Investment.</w:t>
      </w:r>
    </w:p>
    <w:p>
      <w:pPr>
        <w:spacing w:after="0" w:line="1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Following the meeting of the Board, GeneDx and Sema4 executed the Merger Agreement and other definitive agreements related to the transaction, and Sema4 entered into the Subscription Agreements for the PIPE Investment and the Support Agreements. Also on January 14, 2022, each of Katherine Stueland, Kevin Feeley and Jennifer Brendel entered into employment agreements with Sema4, to become effective upon the closing of the acquisition.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17, 2022, each of GeneDx and Sema4 issued a press release regarding the execution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Board of Directors’ Reasons for the Acquisition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14, 2022, in reaching unanimous resolution that the terms and conditions of the Merger Agreement and the Acquisition are advisable, fair to and in the best interests of the Company and its stockholders, the Board considered and evaluated a number of factors, including, but not limited to, the factors discussed below. In light of the number and wide variety of factors considered in connection with its evaluation of the Acquisition,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Acquisition and all other information presented in this section is forward-looking in nature and, therefore, should be read in light of the factors discussed under the section entitled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January 14, 2022, the Board of Directors considered the views of Sema4 Management regarding the opportunity represented by the proposed transaction and the report from Management and the Company’s legal counsel on the results of their due diligence of GeneDx.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Public research on the life sciences industry and its prospects and review of GeneDx’s historical financial performance and forecasts;</w:t>
      </w:r>
    </w:p>
    <w:p>
      <w:pPr>
        <w:spacing w:after="0" w:line="182"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Conference call meetings with GeneDx’s management and representatives regarding operations, company products and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of GeneDx’s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considered a number of factors pertaining to the Acquisition as generally supporting its decision to enter into the Merger Agreement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including but not limited to, the above and following material factors:</w:t>
      </w:r>
    </w:p>
    <w:p>
      <w:pPr>
        <w:spacing w:after="0" w:line="157" w:lineRule="exact"/>
        <w:rPr>
          <w:sz w:val="20"/>
          <w:szCs w:val="20"/>
          <w:color w:val="auto"/>
        </w:rPr>
      </w:pPr>
    </w:p>
    <w:p>
      <w:pPr>
        <w:jc w:val="both"/>
        <w:ind w:left="660" w:hanging="328"/>
        <w:spacing w:after="0" w:line="273" w:lineRule="auto"/>
        <w:tabs>
          <w:tab w:leader="none" w:pos="655"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in Rare Diseases and Competitive Advantage of Data Asset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that GeneDx has an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p>
    <w:p>
      <w:pPr>
        <w:spacing w:after="0" w:line="12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Strong Revenue Growth Profile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had estimated 2021 revenue of $116 million, representing 22% growth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and estimated 2021 test volume of 145,000, representing 29% over the prior year, as well as the anticipated growth reflected in the projections prepared by GeneDx management.</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Experienced Management, Commercial and Laboratory Operations Team With Deep Genetics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 experienced management and engineering team, 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ind w:left="328" w:hanging="328"/>
        <w:spacing w:after="0" w:line="27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Relationships with Health Systems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has entrenched relationships with leading hospitals, based on its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children’s hospitals in the United States.</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Growth and Business Opportunities of the Acquisition</w:t>
      </w:r>
      <w:r>
        <w:rPr>
          <w:rFonts w:ascii="Arial" w:cs="Arial" w:eastAsia="Arial" w:hAnsi="Arial"/>
          <w:sz w:val="18"/>
          <w:szCs w:val="18"/>
          <w:color w:val="auto"/>
        </w:rPr>
        <w:t>. The Board believed the Acquisition would create a market-leading, AI-driven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spacing w:after="0" w:line="133" w:lineRule="exact"/>
        <w:rPr>
          <w:rFonts w:ascii="Arial" w:cs="Arial" w:eastAsia="Arial" w:hAnsi="Arial"/>
          <w:sz w:val="18"/>
          <w:szCs w:val="18"/>
          <w:color w:val="auto"/>
        </w:rPr>
      </w:pPr>
    </w:p>
    <w:p>
      <w:pPr>
        <w:ind w:left="648" w:right="20" w:hanging="324"/>
        <w:spacing w:after="0" w:line="277" w:lineRule="auto"/>
        <w:tabs>
          <w:tab w:leader="none" w:pos="644"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Health Systems</w:t>
      </w:r>
      <w:r>
        <w:rPr>
          <w:rFonts w:ascii="Arial" w:cs="Arial" w:eastAsia="Arial" w:hAnsi="Arial"/>
          <w:sz w:val="18"/>
          <w:szCs w:val="18"/>
          <w:color w:val="auto"/>
        </w:rPr>
        <w:t>. Opportunities for Sema4 to accelerate the uptake of GeneDx’s clinical exome sequencing into Sema4’s core channels,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Sema4 to accelerate the adoption of its Oncology solutions through GeneDx’s relationships.</w:t>
      </w:r>
    </w:p>
    <w:p>
      <w:pPr>
        <w:spacing w:after="0" w:line="116" w:lineRule="exact"/>
        <w:rPr>
          <w:rFonts w:ascii="Arial" w:cs="Arial" w:eastAsia="Arial" w:hAnsi="Arial"/>
          <w:sz w:val="18"/>
          <w:szCs w:val="18"/>
          <w:color w:val="auto"/>
        </w:rPr>
      </w:pPr>
    </w:p>
    <w:p>
      <w:pPr>
        <w:ind w:left="648" w:right="560" w:hanging="324"/>
        <w:spacing w:after="0" w:line="277" w:lineRule="auto"/>
        <w:tabs>
          <w:tab w:leader="none" w:pos="644"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Data</w:t>
      </w:r>
      <w:r>
        <w:rPr>
          <w:rFonts w:ascii="Arial" w:cs="Arial" w:eastAsia="Arial" w:hAnsi="Arial"/>
          <w:sz w:val="18"/>
          <w:szCs w:val="18"/>
          <w:color w:val="auto"/>
        </w:rPr>
        <w:t>. An opportunity for Sema4 to leverage GeneDx’s exome database with Sema4’s Centrellis platform to drive increased biopharma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opportunities.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Scale</w:t>
      </w:r>
      <w:r>
        <w:rPr>
          <w:rFonts w:ascii="Arial" w:cs="Arial" w:eastAsia="Arial" w:hAnsi="Arial"/>
          <w:sz w:val="18"/>
          <w:szCs w:val="18"/>
          <w:color w:val="auto"/>
        </w:rPr>
        <w:t>. An opportunity Sema4 to be the market leader in both Women’s Health and rare disease diagnostics.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Growth and Synergy</w:t>
      </w:r>
      <w:r>
        <w:rPr>
          <w:rFonts w:ascii="Arial" w:cs="Arial" w:eastAsia="Arial" w:hAnsi="Arial"/>
          <w:sz w:val="18"/>
          <w:szCs w:val="18"/>
          <w:color w:val="auto"/>
        </w:rPr>
        <w:t>. An opportunity for Sema4 to increase its revenues and accelerate its path to profitability.</w:t>
      </w:r>
    </w:p>
    <w:p>
      <w:pPr>
        <w:spacing w:after="0" w:line="171"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Benefit of Combining Management and Board Members of both the Company and GeneDx</w:t>
      </w:r>
      <w:r>
        <w:rPr>
          <w:rFonts w:ascii="Arial" w:cs="Arial" w:eastAsia="Arial" w:hAnsi="Arial"/>
          <w:sz w:val="17"/>
          <w:szCs w:val="17"/>
          <w:color w:val="auto"/>
        </w:rPr>
        <w:t>. The Board considered that GeneDx’s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Sema4’s Board of Directors’ Reasons</w:t>
      </w:r>
      <w:r>
        <w:rPr>
          <w:rFonts w:ascii="Arial" w:cs="Arial" w:eastAsia="Arial" w:hAnsi="Arial"/>
          <w:sz w:val="17"/>
          <w:szCs w:val="17"/>
          <w:color w:val="auto"/>
        </w:rPr>
        <w:t xml:space="preserve"> </w:t>
      </w:r>
      <w:r>
        <w:rPr>
          <w:rFonts w:ascii="Arial" w:cs="Arial" w:eastAsia="Arial" w:hAnsi="Arial"/>
          <w:sz w:val="17"/>
          <w:szCs w:val="17"/>
          <w:i w:val="1"/>
          <w:iCs w:val="1"/>
          <w:color w:val="auto"/>
        </w:rPr>
        <w:t>for the Stock Consideration Issuance Proposal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Due Diligence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the thoroughness of Sema4’s due diligence examinations of GeneDx and discussions with GeneDx’s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financial and legal advisors.</w:t>
      </w:r>
    </w:p>
    <w:p>
      <w:pPr>
        <w:spacing w:after="0" w:line="116" w:lineRule="exact"/>
        <w:rPr>
          <w:rFonts w:ascii="Arial" w:cs="Arial" w:eastAsia="Arial" w:hAnsi="Arial"/>
          <w:sz w:val="18"/>
          <w:szCs w:val="18"/>
          <w:color w:val="auto"/>
        </w:rPr>
      </w:pPr>
    </w:p>
    <w:p>
      <w:pPr>
        <w:jc w:val="both"/>
        <w:ind w:left="328" w:hanging="328"/>
        <w:spacing w:after="0" w:line="289" w:lineRule="auto"/>
        <w:tabs>
          <w:tab w:leader="none" w:pos="323"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Receipt of Fairness Opinion from its Financial Advisor in connection with the Acquisition</w:t>
      </w:r>
      <w:r>
        <w:rPr>
          <w:rFonts w:ascii="Arial" w:cs="Arial" w:eastAsia="Arial" w:hAnsi="Arial"/>
          <w:sz w:val="16"/>
          <w:szCs w:val="16"/>
          <w:color w:val="auto"/>
        </w:rPr>
        <w:t>. The Board considered that on January 14, 2022,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of the Board, Goldman Sachs &amp; Co. LLC (“</w:t>
      </w:r>
      <w:r>
        <w:rPr>
          <w:rFonts w:ascii="Arial" w:cs="Arial" w:eastAsia="Arial" w:hAnsi="Arial"/>
          <w:sz w:val="16"/>
          <w:szCs w:val="16"/>
          <w:i w:val="1"/>
          <w:iCs w:val="1"/>
          <w:color w:val="auto"/>
        </w:rPr>
        <w:t>Goldman Sachs</w:t>
      </w:r>
      <w:r>
        <w:rPr>
          <w:rFonts w:ascii="Arial" w:cs="Arial" w:eastAsia="Arial" w:hAnsi="Arial"/>
          <w:sz w:val="16"/>
          <w:szCs w:val="16"/>
          <w:color w:val="auto"/>
        </w:rPr>
        <w:t>”)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 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Arial" w:cs="Arial" w:eastAsia="Arial" w:hAnsi="Arial"/>
          <w:sz w:val="16"/>
          <w:szCs w:val="16"/>
          <w:i w:val="1"/>
          <w:iCs w:val="1"/>
          <w:color w:val="auto"/>
        </w:rPr>
        <w:t>The Acquisition</w:t>
      </w:r>
      <w:r>
        <w:rPr>
          <w:rFonts w:ascii="Arial" w:cs="Arial" w:eastAsia="Arial" w:hAnsi="Arial"/>
          <w:sz w:val="16"/>
          <w:szCs w:val="16"/>
          <w:color w:val="auto"/>
        </w:rPr>
        <w:t>—</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left="328" w:hanging="328"/>
        <w:spacing w:after="0" w:line="263"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Acquisition represents an excellent opportunity for Sema4 and its stockholders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its view of the growth prospects and risks associated with GeneDx and its business, and at the time it approved the transaction had not identified another target that it determined would represent a preferred transaction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08"/>
          </w:cols>
          <w:pgMar w:left="652" w:top="1440" w:right="339" w:bottom="1440" w:gutter="0" w:footer="0" w:header="0"/>
        </w:sectPr>
      </w:pPr>
    </w:p>
    <w:bookmarkStart w:id="131" w:name="page132"/>
    <w:bookmarkEnd w:id="131"/>
    <w:p>
      <w:pPr>
        <w:spacing w:after="0" w:line="144" w:lineRule="exact"/>
        <w:rPr>
          <w:sz w:val="20"/>
          <w:szCs w:val="20"/>
          <w:color w:val="auto"/>
        </w:rPr>
      </w:pPr>
    </w:p>
    <w:p>
      <w:pPr>
        <w:jc w:val="both"/>
        <w:ind w:left="660" w:hanging="328"/>
        <w:spacing w:after="0" w:line="30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Terms of the Merger Agreement</w:t>
      </w:r>
      <w:r>
        <w:rPr>
          <w:rFonts w:ascii="Arial" w:cs="Arial" w:eastAsia="Arial" w:hAnsi="Arial"/>
          <w:sz w:val="16"/>
          <w:szCs w:val="16"/>
          <w:color w:val="auto"/>
        </w:rPr>
        <w:t>. The Board believed that the financial and other terms and conditions of the Merger Agreement,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PIPE Equity Commitment</w:t>
      </w:r>
      <w:r>
        <w:rPr>
          <w:rFonts w:ascii="Arial" w:cs="Arial" w:eastAsia="Arial" w:hAnsi="Arial"/>
          <w:sz w:val="17"/>
          <w:szCs w:val="17"/>
          <w:color w:val="auto"/>
        </w:rPr>
        <w:t>. A group of growth and life sciences investors, including Pfizer, have committed approximately $200 million in PIPE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subscriptions. This was viewed as support from growth and life sciences investors for the opportunities represented by the Transactions, and provides committed capital to fund the Cash Consideration and transaction costs and to fuel the Company’s growth.</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Support</w:t>
      </w:r>
      <w:r>
        <w:rPr>
          <w:rFonts w:ascii="Arial" w:cs="Arial" w:eastAsia="Arial" w:hAnsi="Arial"/>
          <w:sz w:val="18"/>
          <w:szCs w:val="18"/>
          <w:color w:val="auto"/>
        </w:rPr>
        <w:t>. The Board also considered that the holders of approximately 61% of the outstanding Class A common stock were willing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Acquisition,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Acquisition may not be fully achieved, or may not be achieved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timeframe.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GeneDx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Vote</w:t>
      </w:r>
      <w:r>
        <w:rPr>
          <w:rFonts w:ascii="Arial" w:cs="Arial" w:eastAsia="Arial" w:hAnsi="Arial"/>
          <w:sz w:val="18"/>
          <w:szCs w:val="18"/>
          <w:color w:val="auto"/>
        </w:rPr>
        <w:t>. The risk that the Company’s stockholders may fail to provide the votes necessary to effect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Acquisition is conditioned on the satisfaction of certain closing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Acquisition or that an adverse judgment granting permanent injunctive relief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indefinitely enjoin consummation of the Acquisition.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Acquisition.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Acquisition, the business of the Company and the business of GeneDx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In addition to considering the factors described above, the Board also considered that certain of the directors (including the members of the Transaction Committee) and the officers of the Company may have interests in the Acquisition (including in connection with the PIPE Investment) as individuals that are in addition to, and that may be different from, the interests of the Company’s stockholders (see </w:t>
      </w:r>
      <w:r>
        <w:rPr>
          <w:rFonts w:ascii="Arial" w:cs="Arial" w:eastAsia="Arial" w:hAnsi="Arial"/>
          <w:sz w:val="16"/>
          <w:szCs w:val="16"/>
          <w:i w:val="1"/>
          <w:iCs w:val="1"/>
          <w:color w:val="auto"/>
        </w:rPr>
        <w:t>“The Acquisition—Interests of Certain Persons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The Company’s independent directors reviewed and considered these interests during the negotiation of the Acquisition and in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approving, as members of the Company Board, the Merger Agreement and the transactions contemplated therein, including the Acquisition.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Acquisition outweighed the potentially negative factors associated with the Acquisition. Accordingly, the Board unanimously determined that the Merger Agreement and the Acquisition were advisable, fair to, and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Projected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Prospective Financial Information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evaluation of the Acquisition, the Company’s management reviewed certain unaudited prospective financial information for GeneDx for fiscal years 2021 through 2025 prepared by GeneDx management. Following the Company’s diligence of GeneDx, the Company’s management made certain adjustments to the unaudited prospective financial information prepared by GeneDx management. The adjustments made by the Company’s management included a more conservative estimate on average selling prices (ASPs) for GeneDx’s diagnostic products, extending the timing required to drive adoption of GeneDx’s whole exome and genome sequencing solution into new markets, and lowering the productivity assumptions of GeneDx’s planned salesforce expansion. The adjustments made by the Company’s management were intended to reflect inherent uncertainties and risks in this type of unaudited prospective financial information. The Company’s management also provided growth and margin guidance for extending the unaudited prospective financial information through 2040 for purposes of Goldman Sachs’s financial analysis, as adjusted by the Company’s management. The unaudited prospective financial information for GeneDx, reflecting adjustments made by the Company’s management, is referred to in this proxy statement as the Adjusted GeneDx Projections. The Company is electing to provide the Adjusted GeneDx Projections in this section of the proxy statement to provide the Company’s stockholders access to certain non-public unaudited prospective financial information about GeneDx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6"/>
          <w:szCs w:val="16"/>
          <w:i w:val="1"/>
          <w:iCs w:val="1"/>
          <w:color w:val="auto"/>
        </w:rPr>
        <w:t>The Acquisition</w:t>
      </w:r>
      <w:r>
        <w:rPr>
          <w:rFonts w:ascii="Arial" w:cs="Arial" w:eastAsia="Arial" w:hAnsi="Arial"/>
          <w:sz w:val="16"/>
          <w:szCs w:val="16"/>
          <w:color w:val="auto"/>
        </w:rPr>
        <w:t>—</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Adjusted GeneDx Projections were developed from historical financial statements and reflect numerous assumptions and estimates that GeneDx’s and the Company’s management made in good faith at the time the Adjusted GeneDx Projections were prepared, including, without limitation, as to industry performance, general business, economic, regulatory, market and financial conditions and other future events. In particular, the Adjusted GeneDx Projections reflect the adjustments made by the Company’s management discussed above. These assumptions and estimates are inherently uncertain, may be beyond the control of GeneDx or any other person, were made as of the date the Adjusted GeneDx Projections was prepared, and may not be reflective of actual results, either since the date such information was prepared, now or in the future, in light of changed circumstances, economic conditions, or other developments.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GeneDx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2"/>
              </w:rPr>
              <w:t>For the Forecast Year Ended December 31,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560" w:type="dxa"/>
            <w:vAlign w:val="bottom"/>
          </w:tcPr>
          <w:p>
            <w:pPr>
              <w:spacing w:after="0"/>
              <w:rPr>
                <w:sz w:val="16"/>
                <w:szCs w:val="16"/>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w w:val="93"/>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certain one-time non-recurring items, including a one-time tax refund in 2021, and stock based compensation expense in 2022–2025.</w:t>
      </w:r>
    </w:p>
    <w:p>
      <w:pPr>
        <w:ind w:left="320" w:hanging="312"/>
        <w:spacing w:after="0"/>
        <w:tabs>
          <w:tab w:leader="none" w:pos="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net loss adjusted for interest expense, depreciation and amortization and stock based compensation expense</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stock-based compensation expense, and less (plus) changes in net working capital.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Prospective Financial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generally publish its business plan and strategy or make external disclosure of its anticipated financial position or results of operations, other than providing, from time to time, estimated ranges of certain expected financial results and operational metrics for the current year in its regular earnings press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as a matter of course publish detailed or long-term public forecasts or projections as to its future financial performance due to the unpredictability of the underlying assumptions and estimates and uncertainty inherent in the Company’s business.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evaluation of the Acquisition, the Company’s management directed the preparation of, and approved, near, medium, and long term projections for fiscal years 2021 through 2025 which are referred to collectively in this proxy statement as the Company Projections. The Company Projections reflected the Company’s management’s estimates as to the Company’s future performance and were prepared on a stand-alone basis assuming the Company would continue as an independent company without giving effect to the Acquisition. The Company is electing to provide the Company Projections in this section of the proxy statement to provide the Company’s stockholders access to certain non-public unaudited prospective financial information about the Company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6"/>
          <w:szCs w:val="16"/>
          <w:i w:val="1"/>
          <w:iCs w:val="1"/>
          <w:color w:val="auto"/>
        </w:rPr>
        <w:t>The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Projections were developed from historical financial statements and reflect numerous assumptions and estimates that the Company’s management made in good faith at the time the Company Projections were prepared, including, without limitation, as to industry performance, general business, economic, regulatory, market and financial conditions and other future events. In particular, the Company Projections assume: continued volume growth of the Company’s Women’s Health and Oncology diagnostic testing solutions; improvement in ASPs for the Company’s Oncology diagnostic testing solutions through molecular diagnostic services (“</w:t>
      </w:r>
      <w:r>
        <w:rPr>
          <w:rFonts w:ascii="Arial" w:cs="Arial" w:eastAsia="Arial" w:hAnsi="Arial"/>
          <w:sz w:val="16"/>
          <w:szCs w:val="16"/>
          <w:i w:val="1"/>
          <w:iCs w:val="1"/>
          <w:color w:val="auto"/>
        </w:rPr>
        <w:t>MolDx</w:t>
      </w:r>
      <w:r>
        <w:rPr>
          <w:rFonts w:ascii="Arial" w:cs="Arial" w:eastAsia="Arial" w:hAnsi="Arial"/>
          <w:sz w:val="16"/>
          <w:szCs w:val="16"/>
          <w:color w:val="auto"/>
        </w:rPr>
        <w:t>”) reimbursement initiatives; and that growth in the Company’s Other Revenue will outpace the Company’s Diagnostic Revenue growth, primarily driven by continued uptake of the Company’s offerings by the biopharmaceutical industry.</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assumptions and estimates are inherently uncertain, may be beyond the control of the Company or any other person, were made as of the date the Company Projections were prepared, and may not be reflective of actual results, either since the date such information was prepared, now or in the future, in light of changed circumstances, economic conditions, or other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5"/>
          </w:tcPr>
          <w:p>
            <w:pPr>
              <w:jc w:val="center"/>
              <w:ind w:right="273"/>
              <w:spacing w:after="0"/>
              <w:rPr>
                <w:sz w:val="20"/>
                <w:szCs w:val="20"/>
                <w:color w:val="auto"/>
              </w:rPr>
            </w:pPr>
            <w:r>
              <w:rPr>
                <w:rFonts w:ascii="Arial" w:cs="Arial" w:eastAsia="Arial" w:hAnsi="Arial"/>
                <w:sz w:val="14"/>
                <w:szCs w:val="14"/>
                <w:b w:val="1"/>
                <w:bCs w:val="1"/>
                <w:color w:val="auto"/>
                <w:w w:val="92"/>
              </w:rPr>
              <w:t>As of and For the Forecast 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3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Year End Cash</w:t>
            </w:r>
          </w:p>
        </w:tc>
        <w:tc>
          <w:tcPr>
            <w:tcW w:w="3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stock-based compensation expense, and COVID-19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Non-GAAP financial measure calculated as net loss adjusted for interest expense, net, depreciation and amortization, stock-based compensation expenses, transaction costs associated with the Company’s business combination, other income (expense), net, change in fair market value of warrant and earn-out contingent liabilities and COVID-19 costs.</w:t>
      </w:r>
    </w:p>
    <w:p>
      <w:pPr>
        <w:ind w:left="340" w:hanging="332"/>
        <w:spacing w:after="0" w:line="255" w:lineRule="auto"/>
        <w:tabs>
          <w:tab w:leader="none" w:pos="33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 based compensation, and less (plus) change in net working capital.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Prospective Financial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evaluation of the Acquisition, the Company’s management directed the preparation of, and approved, pro forma projections for the combined company after giving effect to the Acquisition, which are referred to in this proxy statement as the “</w:t>
      </w:r>
      <w:r>
        <w:rPr>
          <w:rFonts w:ascii="Arial" w:cs="Arial" w:eastAsia="Arial" w:hAnsi="Arial"/>
          <w:sz w:val="18"/>
          <w:szCs w:val="18"/>
          <w:i w:val="1"/>
          <w:iCs w:val="1"/>
          <w:color w:val="auto"/>
        </w:rPr>
        <w:t>Pro Forma Projections</w:t>
      </w:r>
      <w:r>
        <w:rPr>
          <w:rFonts w:ascii="Arial" w:cs="Arial" w:eastAsia="Arial" w:hAnsi="Arial"/>
          <w:sz w:val="18"/>
          <w:szCs w:val="18"/>
          <w:color w:val="auto"/>
        </w:rPr>
        <w:t>.”The Pro Forma Projections were based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summation of the Adjusted GeneDx Projections and the Company Projections, as adjusted to reflect the Company’s management’s expectations as to certain future synergies. The Company is electing to provide the Pro Forma Projections in this section of the proxy statement to provide the Company’s stockholders access to certain non-public unaudited prospective financial information about the combined company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7"/>
          <w:szCs w:val="17"/>
          <w:i w:val="1"/>
          <w:iCs w:val="1"/>
          <w:color w:val="auto"/>
        </w:rPr>
        <w:t>The Acquisition —Opinion of Sema4’s Financial Advisor</w:t>
      </w:r>
      <w:r>
        <w:rPr>
          <w:rFonts w:ascii="Arial" w:cs="Arial" w:eastAsia="Arial" w:hAnsi="Arial"/>
          <w:sz w:val="17"/>
          <w:szCs w:val="17"/>
          <w:color w:val="auto"/>
        </w:rPr>
        <w:t>.”</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 Forma Projections reflect numerous assumptions and estimates that the Company’s management made in good faith at the time such unaudited prospective financial information was prepared, including, without limitation, as to industry performance, general business, economic, regulatory, market and financial conditions and other future events. In particular, the Pro Forma Projections (i) assume approximately $11 million, $22 million and $28 million of revenue synergies in 2023, 2024 and 2025, respectively, (ii) assume approximately $15 million, $30 million, $29 million and $25 million of cost synergies in 2022, 2023, 2024 and 2025, respectively, and (iii) exclude one-time transaction expenses and integration expenses. These assumptions and estimates are inherently uncertain, may be beyond the control of the combined company or any other person, were made as of the date the Pro Forma Projections were prepared, and may not be reflective of actual results, either since the date such information was prepared, now or in the future, in light of changed circumstances, economic conditions, or other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2"/>
              </w:rPr>
              <w:t>For the Forecast Year Ended December 31,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560" w:type="dxa"/>
            <w:vAlign w:val="bottom"/>
          </w:tcPr>
          <w:p>
            <w:pPr>
              <w:spacing w:after="0"/>
              <w:rPr>
                <w:sz w:val="16"/>
                <w:szCs w:val="16"/>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w w:val="93"/>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stock-based compensation expense, COVID-19 costs and a one-time tax refund.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net loss adjusted for interest expense, net, depreciation and amortization, stock-based compensation expenses, transaction costs associated with Company’s business combination, other income (expense), net, change in fair market value of warrant and earn-out contingent liabilities and COVID-19 costs. In addition, one-time transaction expenses and integration expenses related to the Acquisition are excluded.</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 based compensation expense, and less (plus) change in net working capital. In addition, one-time transaction expenses and integration expenses related to the Acquisition are excluded.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Unaudited Prospective Financial Information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unaudited prospective financial information presented above was not prepared with a view toward public disclosure and the inclusion of the unaudited prospective financial information above should not be regarded as an indication that the Company, GeneDx, their respective affiliates, representatives or advisors or any other recipient of this information considered, or now considers, such information to be material or to be predictive of actual future results. None of the Company, GeneDx, or their respective affiliates, representatives or advisors assume any responsibility to stockholders of the Company if GeneDx’s, the Company’s or the combined company’s actual financial performance differs from the information presented above.</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prospective financial information summarized above was not prepared for purposes of public disclosure, nor was it prepared on a basis designed to comply with published guidelines of the SEC or the guidelines established by the American Institute of Certified Public Accountants for preparation and presentation of projections. Neither the Company’s nor GeneDx’s independent registered public accounting firms,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LLP and Ernst &amp; Young LLP, respectively, nor any other independent accountants, compiled, examined or performed any procedures with respect to the prospective financial information summarized above, and has not expressed any opinion or any other form of assurance on this information or its achievability, and assume no responsibility for, and disclaims any association with, the unaudited prospective financial information. The reports of the independent registered public accounting firms included in this proxy statement relate to historical financial statements. They do not extend to any prospective financial information and should not be seen to do so.</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prospective financial information constitutes forward-looking information. Although presented with numerical specificity, the unaudited prospective financial information was prepared using variables, estimates, and assumptions that are inherently uncertain and may be beyond the control of GeneDx, the Company or the combined company, and which may not be realized. The unaudited prospective financial information is subject to many risks and uncertainties. Important factors that may affect actual results and cause actual results to differ materially from the unaudited prospective financial information include risks and uncertainties relating to the Company’s and GeneDx’s businesses, industry performance, the regulatory environment, general business and economic conditions, market and financial conditions and various risks and other factors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prospective financial information also reflects assumptions that are subject to change and are susceptible to multiple interpretations and to conditions, transactions or events that may occur and were not anticipated at the time the unaudited prospective financial information was prepared. In addition, the unaudited prospective financial information does not take into account any circumstances, transactions or events occurring after the date the unaudited prospective financial information was prepared. Accordingly, actual results will likely differ, and may differ materially, from those contained in the unaudited prospective financial information. Neither the Company nor GeneDx can assure you that the financial results in the unaudited prospective financial information will be realized or that future financial results of GeneDx, the Company or the combined company will not materially vary from those in the unaudited prospective financial information.</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one has made or makes any representation to any stockholder of the Company or anyone else regarding the achievability of the unaudited prospective financial information set forth above. You are cautioned not to rely on the unaudited prospective financial information.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prospective financial information included above covers multiple years, and this information by its nature becomes subject to greater uncertainty with each successive year. The unaudited prospective financial information should be evaluated, if at all, in conjunction with the Company’s and GeneDx’s historical financial statements included in this proxy statement and other information contained in the Company’s public filings with the SEC.</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Given the forward-looking nature of the unaudited prospective financial information, specific quantifications of the amounts that would be required to reconcile it to GAAP measures are not available. The Company and GeneDx believe that there is a high degree of volatility with respect to certain GAAP measures and certain adjustments made to arrive at the relevant non-GAAP measures, which preclude the Company and GeneDx from providing accurate forecasted non-GAAP to GAAP reconciliations.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inclusion of the unaudited prospective financial information in this proxy statement should not be regarded as an indication that the Company, GeneDx or any of their respective affiliates, advisors or representatives considered the unaudited prospective financial information to be predictive of actual future events, and the unaudited prospective financial information should not be relied on as such. None of the Company, GeneDx or any of their respective affiliates, advisors, officers, employees, directors or representatives can give you any assurance that actual results will not differ from the unaudited prospective financial information, and none of those persons undertakes any obligation to update or otherwise revise or reconcile the unaudited prospective financial information to reflect circumstances existing after the date such information was prepared or to reflect the occurrence of future events even in the event that any or all of the assumptions underlying such unaudited prospective financial information are shown to be in error. The Company does not intend to publicly update or make any other revision to the unaudited prospective financial information. None of the Company, GeneDx or any of their respective affiliates, advisors, officers, employees, directors or representatives makes any representation to any stockholder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or any other person regarding actual performance compared to the unaudited prospective financial information or that the results reflected therein will be achieved. For the reasons described above, readers of this proxy statement are cautioned not to place undue, if any, reliance on the unaudited prospective financial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Transactions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In particular, these PIPE Investors include: Casdin Partners Master Fund, L.P, which has subscribed for 11,437,500 shares of Class A common stock and is affiliated with Mr. Casdin; entities affiliated with Rho Partners, which have subscribed for an aggregate of 2,124,000 shares of Class A common stock and are affiliated with Mr. Ruch; and Section 32 Fund, L.P., which has subscribed for 1,250,000 shares of Class A common stock and is affiliated with Mr. Pellini. Each of Messrs. Casdin, Ruch and Pellini are members our the Transaction Committee, which supervised Sema4’s consideration of the Acquisition. In addition, each of Casdin Partners Master Fund, L.P and Section 32 Fund 2, L.P. have entered into Support Agreements with Sema4. For more information, see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 and PIPE Investment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January 14, 2022, concurrently with the execution of the Merger Agreement, Sema4 entered into the Subscription Agreement with the PIPE Investors. The PIPE Investors include certain existing equity holders of Sema4, some of whom own more than 5% of the outstanding shares of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or October 14, 2022 (the “</w:t>
      </w:r>
      <w:r>
        <w:rPr>
          <w:rFonts w:ascii="Arial" w:cs="Arial" w:eastAsia="Arial" w:hAnsi="Arial"/>
          <w:sz w:val="16"/>
          <w:szCs w:val="16"/>
          <w:i w:val="1"/>
          <w:iCs w:val="1"/>
          <w:color w:val="auto"/>
        </w:rPr>
        <w:t>Outside Date</w:t>
      </w:r>
      <w:r>
        <w:rPr>
          <w:rFonts w:ascii="Arial" w:cs="Arial" w:eastAsia="Arial" w:hAnsi="Arial"/>
          <w:sz w:val="16"/>
          <w:szCs w:val="16"/>
          <w:color w:val="auto"/>
        </w:rPr>
        <w:t>”), or become incapable of being satisfied on or prior to the earlier of the Closing Date or the Outside Date, and, as a result thereof, the transactions contemplated by the Subscription Agreements are not consummated at the closing of the PIPE Investment, and (d) the Outside Date. Each Subscriber may, by written notice to Sema4, extend the Outside Date beyond October 14, 2022.</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existing equity holders of Sema4 have agreed in their Subscription Agreements to certain covenants that are substantially similar to the covenants set forth in the Support Agreements.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Subscription Agreements is subject to and qualified in its entirety by reference to the full text of the form of Subscription Agreement, a copy of which is attached as Annex 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Acquisition and the PIPE Investment</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It is anticipated that,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and (iii) OPKO will own approximately 21.5% of the outstanding shares of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Acquisition (all numbers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Sources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Uses</w:t>
            </w:r>
          </w:p>
        </w:tc>
        <w:tc>
          <w:tcPr>
            <w:tcW w:w="1160" w:type="dxa"/>
            <w:vAlign w:val="bottom"/>
            <w:tcBorders>
              <w:bottom w:val="single" w:sz="8" w:color="auto"/>
            </w:tcBorders>
          </w:tcPr>
          <w:p>
            <w:pPr>
              <w:spacing w:after="0"/>
              <w:rPr>
                <w:sz w:val="16"/>
                <w:szCs w:val="16"/>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Investment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Stock Consideration</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Estimated Transaction Costs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SMFR Balance Sheet Cash</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Upfront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Milestone Payments</w:t>
            </w:r>
            <w:r>
              <w:rPr>
                <w:rFonts w:ascii="Arial" w:cs="Arial" w:eastAsia="Arial" w:hAnsi="Arial"/>
                <w:sz w:val="23"/>
                <w:szCs w:val="23"/>
                <w:color w:val="auto"/>
                <w:vertAlign w:val="superscript"/>
              </w:rPr>
              <w:t>(2)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Upfront &amp; Milestone Payments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Stock Consideration is valued at a price of $4.04 per share, which is the closing price of our Class A common stock on January 14, 2022, which is the date of execution of the Merger Agreement.</w:t>
      </w:r>
    </w:p>
    <w:p>
      <w:pPr>
        <w:ind w:left="320" w:hanging="312"/>
        <w:spacing w:after="0"/>
        <w:tabs>
          <w:tab w:leader="none" w:pos="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Assumes revenue target is met for each Milestone Payment and each Milestone Payment is satisfied through the issuance of shares of Class A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Arrangements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execution of the Merger Agreement we entered into new employment agreements with Katherine Stueland, the Chief Executive Officer of GeneDx, Jennifer Brendel, the Chief Commercial Officer of GeneDx, and Kevin Feeley, the Chief Financial Officer of GeneDx. Each of the employment agreements will become effective as of the Closing, at which time Ms. Stueland will become our co-Chief Executive Officer, Ms. Brendel will become our Chief Growth Officer, and Mr. Feeley will become a Senior Vice President, Operations and the Head of GeneDx. The employment agreements provide for at-will employment and include a base salary of $675,000 for Ms. Stueland, $425,000 for Ms. Brendel and $400,000 for Mr. Feeley, a discretionary incentive bonus opportunity with a target amount of 100% of annual base salary for Ms. Stueland, 65% of annual base salary for Ms. Brendel and 40% of annual base salary for Mr. Feeley, an initial grant of stock options and restricted stock units with an aggregate grant-date value of $9,000,000 for Ms. Stueland, $1,750,000 for Ms. Brendel and $1,750,000 for Mr. Feeley, and standard employee benefit plan participation.</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12 months of continued coverage under our group health plans, and accelerated vesting of a portion of her initial stock option grant, subject to her execution of a release of claims. If instead such termination occurs within the period commencing three months prior to (or the date on which we have commenced engagement with a change in control counterparty, if later) and ending 12 months following a change in control, Ms. Stueland will be entitled to receive 24 months of base salary continuation, a lump sum payment equal to two times her target annual bonus, 24 months of continued coverage under our group health plans, and accelerated vesting of her outstanding equity-based compensation awards, subject to her execution of a release of claims. Ms. Stueland’s employment agreement also includes restrictive covenants that would prohibit Ms. Stueland from soliciting our employees and exclusive consultants or competing with us during the 12-month period following her termination of employment.</w:t>
      </w:r>
    </w:p>
    <w:p>
      <w:pPr>
        <w:spacing w:after="0" w:line="1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their employment agreements, if either of Ms. Brendel or Mr. Feely is terminated without “cause” or resigns for “good reason” (as such terms are defined in their employment agreements) other than in connection with a change in control, they will be entitled to receive 9 months of base salary continuation and 12 months of continued coverage under our group health benefit plans, subject to his or her execution of a release of claims.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instead such termination occurs within the period commencing three months prior to and ending 12 months following a change in control, Ms. Brendel and Mr. Feeley would be entitled to receive 12 months of base salary continuation, a lump sum payment equal to one times his or her target annual bonus, 12 months of continued coverage under our group health benefit plans, and accelerated vesting of his or her outstanding equity-based compensation awards, subject to his or her execution of a release of claims. Ms. Brendel’s and Mr. Feeley’s employment agreements also include restrictive covenants that would prohibit Ms. Brendel or Mr. Feeley from soliciting our employees and exclusive consultants or competing with us during the 9-month period following their termination of employment.</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pursuant to their employment agreements, each of Ms. Stueland, Ms. Brendel and Mr. Feely agreed that, during the nine-month period following the Closing, they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Company’s board of directors following the Closing:</w:t>
      </w:r>
    </w:p>
    <w:p>
      <w:pPr>
        <w:spacing w:after="0" w:line="171" w:lineRule="exact"/>
        <w:rPr>
          <w:sz w:val="20"/>
          <w:szCs w:val="20"/>
          <w:color w:val="auto"/>
        </w:rPr>
      </w:pPr>
    </w:p>
    <w:p>
      <w:pPr>
        <w:ind w:left="340"/>
        <w:spacing w:after="0"/>
        <w:tabs>
          <w:tab w:leader="none" w:pos="640" w:val="left"/>
          <w:tab w:leader="none" w:pos="11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Acquisition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Agreements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January 14, 2022, we entered into the Support Agreements with OPKO and certain of our stockholders (including certain stockholders that own more than 5% of the outstanding shares of our Class A common stock and certain entities affiliated with our directors), whereby such stockholders have agreed to, among other things, (a) vote at any meeting of our stockholders all of their shares of Class A common stock held of record or beneficially: (i) to approve the issuance of the Stock Consideration pursuant to Merger Agreement and the issuance of the Class A common stock pursuant to the Subscription Agreements; (ii) to approve the appointment of the Specified Designees to the Board for terms that expire no earlier than the end of the Second Milestone Period; (iii) to approve an amendment to our current Third Amended and Restated Certificate of Incorporation to increase the authorized shares of Class A common stock from 380,000,000 to 1,000,000,000; (iv) to approve any other proposal included in the proxy statement that is recommended by the Board as necessary to consummate the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our ability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Class A common stock, prior to the meeting, in each case, on the terms and subject to the conditions set forth in the Support Agreements.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 of the Support Agreements is subject to and qualified in its entirety by reference to the full text of the form of Support Agreement, a copy of which is attached as Exhibit B to the Merger Agreement in Annex A hereto, and the terms of which are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Agreements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execution of the Merger Agreement, OPKO and certain individual stockholders of OPKO who hold 5% or more of OPKO’s common stock (each a “</w:t>
      </w:r>
      <w:r>
        <w:rPr>
          <w:rFonts w:ascii="Arial" w:cs="Arial" w:eastAsia="Arial" w:hAnsi="Arial"/>
          <w:sz w:val="18"/>
          <w:szCs w:val="18"/>
          <w:i w:val="1"/>
          <w:iCs w:val="1"/>
          <w:color w:val="auto"/>
        </w:rPr>
        <w:t>Lock-Up Holder</w:t>
      </w:r>
      <w:r>
        <w:rPr>
          <w:rFonts w:ascii="Arial" w:cs="Arial" w:eastAsia="Arial" w:hAnsi="Arial"/>
          <w:sz w:val="18"/>
          <w:szCs w:val="18"/>
          <w:color w:val="auto"/>
        </w:rPr>
        <w:t>”) entered into the Shareholder Agreements, whereby each agreed to certain transfer restrictions with respect 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in the Merger Consideration or Milestone Payments that were distributed or otherwise transferred to it (such shares of Class A common stock, the “</w:t>
      </w:r>
      <w:r>
        <w:rPr>
          <w:rFonts w:ascii="Arial" w:cs="Arial" w:eastAsia="Arial" w:hAnsi="Arial"/>
          <w:sz w:val="17"/>
          <w:szCs w:val="17"/>
          <w:i w:val="1"/>
          <w:iCs w:val="1"/>
          <w:color w:val="auto"/>
        </w:rPr>
        <w:t>Lock-up Shares</w:t>
      </w:r>
      <w:r>
        <w:rPr>
          <w:rFonts w:ascii="Arial" w:cs="Arial" w:eastAsia="Arial" w:hAnsi="Arial"/>
          <w:sz w:val="17"/>
          <w:szCs w:val="17"/>
          <w:color w:val="auto"/>
        </w:rPr>
        <w:t>”) that will remain in place until, (a) with respect to the Stock Consideration, the date that is one year from the Closing Date (as defined in the Merger Agreement), (b) with respect to the stock portion of the first Milestone Payment, if any, the date that is one year from the date of issuance for such payment and (c) with respect to the stock portion of the second Milestone Payment, if any, the date that is six months from the date of issuance for such payment (the period described in (a), (b) and (c) are referred to as the “</w:t>
      </w:r>
      <w:r>
        <w:rPr>
          <w:rFonts w:ascii="Arial" w:cs="Arial" w:eastAsia="Arial" w:hAnsi="Arial"/>
          <w:sz w:val="17"/>
          <w:szCs w:val="17"/>
          <w:i w:val="1"/>
          <w:iCs w:val="1"/>
          <w:color w:val="auto"/>
        </w:rPr>
        <w:t>Lock-Up Period</w:t>
      </w:r>
      <w:r>
        <w:rPr>
          <w:rFonts w:ascii="Arial" w:cs="Arial" w:eastAsia="Arial" w:hAnsi="Arial"/>
          <w:sz w:val="17"/>
          <w:szCs w:val="17"/>
          <w:color w:val="auto"/>
        </w:rPr>
        <w:t>”).</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Lock-Up Holder has also agreed in the Shareholders Agreements that, following the Lock-Up Period and for so long as such Lock-Up Holder is the record or beneficial owner of at least 5% of the issued and outstanding Class A common stock, such Lock-Up Holder shall not, without the Company’s consent, sell more than 25% of the shares of the Company’s Class A common stock it received in connection with the Acquisition in any 90-day period, except as part of a marketed sale process for which one lead bookrunner has been selected by Company in its sole discretion.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Lock-Up Holder has also agreed to vote all of his, her or its Lock-Up Shares in whatever manner is recommended by the Board for so long as such Lock-Up Holder is the record or beneficial owner of at least 5% of the issued and outstanding Class A common stock.</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Shareholder Agreements also provide that, for a period of twelve months from the Closing, the Lock-Up Holders shall not, without the consent of the Company’s Board or chief executive officer (a) acquire shares or voting securities in the Company, (b) make any solicitation of votes, or seek to advise on any vote of the Company’s securities, (c) form a “group” (with the meaning of Section 13(d)(3) of the Exchange Act) with respect to any voting securities of the Company, (e) propose any merger, business combination, tender offer, or similar transaction with respect to the Company, (f) solicit or provide information to any person with respect of a business combination or tender offer involving the Company, (g) advise, assist or knowingly encourage any other person with respect to the actions described in (a)-(g) above, (h) enter into any discussions or negotiations with respect to the foregoing, (i) take any action that could reasonably be expected to require disclosure on the part of the Company with respect to any of the foregoing, or (j) disclose any intention inconsistent with the foregoing.</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agreed in the Shareholder Agreements to file a registration statement in respect of the Registrable Securities (as defined therein) within 30 days following the closing of the Acquisition and granted to the Lock-Up Holders certain customary shelf, piggyback and demand registration rights. The foregoing description of the Shareholder Agreements is subject to and qualified in its entirety by reference to the full text of the form of Shareholder Agreement, the form of which is attached as Exhibit A to the Merger Agreement in Annex A hereto, and the terms of which are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Amendment Proposal is also a condition to the Closing under the Merger Agreement. Upon stockholder approval, we will file the Amendment and thereby amend our Charter to increase the number of authorized shares of our Class A common stock from 380,000,000 to 1,000,000,000. See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name of the Company after the Acquisition will continue to be Sema4 Holdings Corp. and our headquarters will continue to be located at 333 Ludlow Street, North Tower, 8th Floor, Stamford, Connecticut 06902.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will be accounted for using the acquisition method of accounting in accordance with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805 - Business Combinations. Under the acquisition method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right="180"/>
        <w:spacing w:after="0" w:line="438" w:lineRule="auto"/>
        <w:rPr>
          <w:sz w:val="20"/>
          <w:szCs w:val="20"/>
          <w:color w:val="auto"/>
        </w:rPr>
      </w:pPr>
      <w:r>
        <w:rPr>
          <w:rFonts w:ascii="Arial" w:cs="Arial" w:eastAsia="Arial" w:hAnsi="Arial"/>
          <w:sz w:val="18"/>
          <w:szCs w:val="18"/>
          <w:color w:val="auto"/>
        </w:rPr>
        <w:t xml:space="preserve">accounting, the total purchase price is allocated to the tangible and identifiable intangible assets and liabilities assumed based on their relative fair values. </w:t>
      </w:r>
      <w:r>
        <w:rPr>
          <w:rFonts w:ascii="Arial" w:cs="Arial" w:eastAsia="Arial" w:hAnsi="Arial"/>
          <w:sz w:val="18"/>
          <w:szCs w:val="18"/>
          <w:b w:val="1"/>
          <w:bCs w:val="1"/>
          <w:color w:val="auto"/>
        </w:rPr>
        <w:t>Material U.S. Federal Income Tax Consequences of the Acquisition</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discusses the material U.S. federal income tax consequences of the merger together with the subsequent merger, to Sema4 stockholders who are U.S. persons (as defined below). The following discussion is based on existing provisions of the Code, existing treasury regulations and current administrative rulings and court decisions, all of which are subject to change and to differing interpretations, possibly with retroactive effect. Any such change could affect the continuing validity of this discussion.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summary does not discuss all U.S. federal income tax considerations that may be relevant to a particular stockholder in light of his or her personal circumstances or to stockholders subject to special treatment under U.S. federal income tax laws, including:</w:t>
      </w:r>
    </w:p>
    <w:p>
      <w:pPr>
        <w:spacing w:after="0" w:line="116"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traders in securities or foreign currencies who elect the mark-to-market method of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Sema4 stockholders who are not U.S. persons (as defined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expatriates or stockholders who have a functional currency other than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financial institutions or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stockholders who acquired Sema4 common stock in connection with stock option or stock purchase plans or in other compensatory transactions;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exercising appraisal or dissenters’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that purchased or sold their shares of Sema4 common stock as part of a wash sale;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who hold Sema4 common stock as part of an integrated investment, including a “straddle,” comprised of shares of Sema4 common stock and one or more other positions.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partnership (including any entity or arrangement, domestic or foreign, treated as a partnership for U.S. federal income tax purposes) holds Sema4 common stock, the tax treatment of a partner will generally depend on the status of the partner and the activities of the partnership. If a holder is a partner in a partnership holding Sema4 common stock, the holder should consult its tax advisors.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discussion assumes that Sema4 stockholders hold their shares of Sema4 common stock as capital assets within the meaning of Section 1221 of the Code (generally, as property held as an investment). This summary is limited to U.S. federal income tax aspects and does not address the tax consequences of the merger and the subsequent merger under non-U.S., state or local tax laws or any non-income tax laws (such as estate and gift tax laws). It also does not consider the impact of the alternative minimum tax or the Medicare contribution tax on net investment income. Accordingly, Sema4 stockholders should consult their tax advisors as to the specific tax consequences of the merger and the subsequent merger, including any applicable federal, state, local, non-U.S., and non-income tax consequences.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discussion, the term “U.S. person” means a beneficial owner of Sema4 common stock who, for U.S. federal income tax purposes, is:</w:t>
      </w:r>
    </w:p>
    <w:p>
      <w:pPr>
        <w:spacing w:after="0" w:line="194"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left="660" w:hanging="328"/>
        <w:spacing w:after="0" w:line="277" w:lineRule="auto"/>
        <w:tabs>
          <w:tab w:leader="none" w:pos="6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or of any state of the United States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a trust that has a valid election in effect under applicable Treasury regulations to be treated as a U.S.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Mergers as a “Reorganization”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Parties intend to report and, except to the extent otherwise required by Law, shall report, for U.S. federal income tax purposes, the merger and the subsequent merger, taken together, as a “reorganization” within the meaning of Section 368(a) of the Code.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GeneDX Stockholders in the Proposed Merger</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GeneDX stockholder will recognize gain, but not loss, upon the exchange of GeneDX common stock for Sema4 Class A common stock and cash in the merger and the subsequent merger that is equal to the lesser of (i) the amount of cash received by the GeneDX stockholder (excluding any cash received in lieu of fractional shares) and (ii) the excess of the “amount realized” by the GeneDX stockholder over the GeneDX stockholder’s tax basis in the GeneDX common stock exchanged. The “amount realized” by the GeneDX stockholder will equal the sum of the fair market value of the Sema4 Class A common stock and the amount of cash (including any cash received in lieu of fractional shares) received by the GeneDX stockholder. The aggregate tax basis of Sema4 Class A common stock received by a GeneDX stockholder in the merger and the subsequent merger (including the basis in any fractional share for which cash is received) will be the same as the stockholder’s aggregate tax basis in GeneDX common stock surrendered in the merger and the subsequent merger, reduced by the amount of cash the GeneDX stockholder received (excluding any cash received in lieu of fractional shares), and increased by the amount of gain that the GeneDX stockholder recognizes (excluding any gain or loss from the deemed receipt and redemption of fractional shares described below). A GeneDX stockholder receiving cash in the merger and the subsequent merger in lieu of a fractional share of Sema4 Class A common stock will be treated as if such fractional share were issued in the merger and the subsequent merger and then redeemed by Sema4 for cash, resulting in a recognition of gain or loss that is equal to the difference, if any, between the stockholder’s basis allocable to the fractional share and the amount of cash received therefor. The holding period of Sema4 Class A common stock received by a GeneDX stockholder in the merger and the subsequent merger will include the holding period of the GeneDX common stock held by such GeneDX stockholder.</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gain or loss recognized by a GeneDX stockholder will generally be long-term capital gain or loss if the stockholder’s holding period for the GeneDX common stock is more than a year at the time of the merger and the subsequent merger. Individuals are eligible for reduced rates of taxation with respect to long-term capital gains. In some cases, if a holder actually or constructively owns Sema4 Class A common stock other than Sema4 Class A common stock received pursuant to the merger and the subsequent merger, the recognized gain could be treated as having the effect of a distribution of a dividend under the tests set forth in Section 302 of the Internal Revenue Code, in which case such gain would be treated as dividend income. Because the possibility of dividend treatment depends upon each holder’s particular circumstances, including the application of constructive ownership rules, holders of GeneDX common stock should consult their tax advisors regarding the application of the foregoing rules to their particular circumstances.</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a GeneDX stockholder who acquired different blocks of GeneDX common stock at different times and at different prices, realized gain or loss generally must be calculated separately for each identifiable block of shares exchanged in the merger and the subsequent merger, and a loss realized on the exchange of one block of shares cannot be used to offset a gain realized on the exchange of another block of shares. In addition, holders’ basis and holding period in their shares of Sema4 Class A common stock may be determined with reference to each block of GeneDX common stock. Any such holders should consult their tax advisors regarding the manner in which cash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Sema4 common stock received in the exchange should be allocated among different blocks of GeneDX common stock and with respect to identifying the bases or holding periods of the particular shares of Sema4 common stock received in the merger and the subsequent merger.</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Neither Sema4 nor GeneDX will recognize any gain or loss as a result of the merger and the subsequent merger. It is the intention of Sema4 and GeneDX that the merger and the subsequent merger, taken together, will be treated as a reorganization within the meaning of Section 368(a) of the Code. If GeneDX is unable to obtain an opinion in this regard after the registration statement of which this joint proxy statement/prospectus is a part is declared effective by the SEC, and the change in expected tax consequences is material, Sema4 and GeneDX will undertake to recirculate and re-solicit stockholders of GeneDX. If the merger and the subsequent merger, taken together, are not treated as a reorganization within the meaning of Section 368(a) of the Code, the merger and the subsequent merger, taken together, will be treated as a fully taxable transaction to GeneDX stockholders for U.S. federal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 stockholders who owned at least five percent (by vote or value) of the total outstanding stock of GeneDX or GeneDX stock with a tax basis of $1 million or more are required to attach a statement to their tax returns for the year in which the merger and the subsequent merger are completed that contains the information listed in Treasury Regulations Section 1.368-3(b). Such statement must include the stockholder’s tax basis in the stockholder’s GeneDX common stock and the fair market value of such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stockholders may be subject to information reporting and backup withholding with respect to cash received in the merger and the subsequent merger unless the stockholder comes within certain exempt categories and, when required, demonstrates this fact, or provides a correct taxpayer identification number (typically by completing and signing an IRS Form W-9), certifies as to no loss of exemption from backup withholding and that such holder is a U.S. person (including a U.S. resident alien) and otherwise complies with applicable requirements of the backup withholding rules. Any amount withheld as backup withholding is not an additional tax and may be refunded or credited against such stockholder’s U.S. federal income tax liability, provided that the required information is properly furnished in a timely manner to the IRS.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discussion of U.S. federal income tax consequences is not intended to constitute a complete description of all tax consequences relating to the merger and the subsequent merger. The tax consequences of the merger and the subsequent merger to a GeneDX stockholder will depend upon the facts of the stockholder’s particular situation. Because individual circumstances may differ, GeneDX stockholders are urged to consult with their own tax advisor regarding the applicability of the rules discussed above and the particular tax effects of the merger and the subsequent merger, including the application of state, local, non-U.S. and non-income tax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Acquisition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Second Request, the waiting period with respect to the Acquisition will be extended for an additional period of 30 calendar days, which will begin on the date on which the Company and GeneDx each certify compliance with the Second Request. Complying with a Second Request can take a significant period of time. On January 28, the Company and GeneDx filed the required forms under the HSR Act with the Antitrust Division and the FTC. The waiting period under the HSR Act with respect to the Acquisition expired on February 28, 2022.</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any time before or after consummation of the Acquisition, notwithstanding termination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We cannot assure you that the Antitrust Division, the FTC, any state attorney general, or any other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authority will not attempt to challenge the Acquisition on antitrust grounds, and, if such a challenge is made, we cannot assure you as to its result. Neither the Company nor GeneDx is aware of any material regulatory approvals or actions that are required for completion of the Acquisition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Sema4’s Financial Advisor</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Goldman Sachs rendered its opinion to the Board that, as of January 14, 2022, and based upon and subject to the factors and assumptions set forth therein, the (i) $150 million in cash, subject to closing adjustments pursuant to the Merger Agreement (the “</w:t>
      </w:r>
      <w:r>
        <w:rPr>
          <w:rFonts w:ascii="Arial" w:cs="Arial" w:eastAsia="Arial" w:hAnsi="Arial"/>
          <w:sz w:val="17"/>
          <w:szCs w:val="17"/>
          <w:i w:val="1"/>
          <w:iCs w:val="1"/>
          <w:color w:val="auto"/>
        </w:rPr>
        <w:t>Adjustments</w:t>
      </w:r>
      <w:r>
        <w:rPr>
          <w:rFonts w:ascii="Arial" w:cs="Arial" w:eastAsia="Arial" w:hAnsi="Arial"/>
          <w:sz w:val="17"/>
          <w:szCs w:val="17"/>
          <w:color w:val="auto"/>
        </w:rPr>
        <w:t>”), (ii) 80 million shares of Class A common stock of Sema4 and (iii) up to $150 million of contingent payments, payable in cash or shares of Class A common stock of Sema4, based upon achievement of 2022 and 2023 revenue milestones (collectively, the “</w:t>
      </w:r>
      <w:r>
        <w:rPr>
          <w:rFonts w:ascii="Arial" w:cs="Arial" w:eastAsia="Arial" w:hAnsi="Arial"/>
          <w:sz w:val="17"/>
          <w:szCs w:val="17"/>
          <w:i w:val="1"/>
          <w:iCs w:val="1"/>
          <w:color w:val="auto"/>
        </w:rPr>
        <w:t>Total Acquisition Consideration</w:t>
      </w:r>
      <w:r>
        <w:rPr>
          <w:rFonts w:ascii="Arial" w:cs="Arial" w:eastAsia="Arial" w:hAnsi="Arial"/>
          <w:sz w:val="17"/>
          <w:szCs w:val="17"/>
          <w:color w:val="auto"/>
        </w:rPr>
        <w:t>”), to be paid to acquire all of the issued at outstanding shares of capital stock of GeneDx pursuant to the Merger Agreement, was fair from a financial point of view to Sema4.</w:t>
      </w:r>
    </w:p>
    <w:p>
      <w:pPr>
        <w:spacing w:after="0" w:line="11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The full text of the written opinion of Goldman Sachs, dated January 14, 2022, which sets forth assumptions made, procedures followed, matters considered and limitations on the review undertaken in connection with the opinion, is attached as Annex C. Sema4’s stockholders are encouraged to read the opinion carefully in its entirety. The following is a summary of Goldman Sachs’ opinion and the methodology that Goldman Sachs used to render its opinion. The summary is qualified in its entirety by reference to the full text of the opinion.</w:t>
      </w:r>
    </w:p>
    <w:p>
      <w:pPr>
        <w:spacing w:after="0" w:line="9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Goldman Sachs provided advisory services and its opinion for the information and assistance of the Board in connection with its consideration of the Acquisition. The Goldman Sachs opinion is not a recommendation as to how any holder of shares of Sema4’s Class A common stock should vote with respect to the Acquisition or any other matter.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94"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Sema4’s Registration Statement on Form S-1, including the prospectus contained therein dated August 12,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Quarterly Reports on Form 10-Q of Sema4;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other communications from Sema4 and OPKO to their respective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Sema4 and OPKO;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audited financial statements for GeneDx for the two fiscal years ended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unaudited financial statements for GeneDx for the twelve month period ended December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GeneDx as prepared by OPKO;</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Sema4 and certain internal financial analyses and forecasts for GeneDx, in each case, as prepared by the management of Sema4 and approved for Goldman Sachs’ use by Sema4 (the “</w:t>
      </w:r>
      <w:r>
        <w:rPr>
          <w:rFonts w:ascii="Arial" w:cs="Arial" w:eastAsia="Arial" w:hAnsi="Arial"/>
          <w:sz w:val="18"/>
          <w:szCs w:val="18"/>
          <w:i w:val="1"/>
          <w:iCs w:val="1"/>
          <w:color w:val="auto"/>
        </w:rPr>
        <w:t>Forecasts</w:t>
      </w:r>
      <w:r>
        <w:rPr>
          <w:rFonts w:ascii="Arial" w:cs="Arial" w:eastAsia="Arial" w:hAnsi="Arial"/>
          <w:sz w:val="18"/>
          <w:szCs w:val="18"/>
          <w:color w:val="auto"/>
        </w:rPr>
        <w:t>”), including operating synergies projected to result from the transaction, as prepared by the management of Sema4 and approved for Goldman Sachs’ use by Sema4 (the “</w:t>
      </w:r>
      <w:r>
        <w:rPr>
          <w:rFonts w:ascii="Arial" w:cs="Arial" w:eastAsia="Arial" w:hAnsi="Arial"/>
          <w:sz w:val="18"/>
          <w:szCs w:val="18"/>
          <w:i w:val="1"/>
          <w:iCs w:val="1"/>
          <w:color w:val="auto"/>
        </w:rPr>
        <w:t>Synergies</w:t>
      </w:r>
      <w:r>
        <w:rPr>
          <w:rFonts w:ascii="Arial" w:cs="Arial" w:eastAsia="Arial" w:hAnsi="Arial"/>
          <w:sz w:val="18"/>
          <w:szCs w:val="18"/>
          <w:color w:val="auto"/>
        </w:rPr>
        <w:t>”) (for more information, see “—</w:t>
      </w:r>
      <w:r>
        <w:rPr>
          <w:rFonts w:ascii="Arial" w:cs="Arial" w:eastAsia="Arial" w:hAnsi="Arial"/>
          <w:sz w:val="18"/>
          <w:szCs w:val="18"/>
          <w:i w:val="1"/>
          <w:iCs w:val="1"/>
          <w:color w:val="auto"/>
        </w:rPr>
        <w:t>Certain Projected Financial Information</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estimates as to the amount of the Adjustments and the contingent payments, in each case, as prepared by the management of Sema4 and approved for Goldman Sachs’ use by Sema4 (the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Goldman Sachs also held discussions with members of the senior managements of Sema4, GeneDx and OPKO regarding their assessment of the strategic rationale for, and the potential benefits of, the Acquisition and the past and current business operations, financial condition and future prospects of GeneDx and Sema4; reviewed the reported price and trading activity for Sema4’s Class A common stock; compared certain financial information for GeneDx and certain financial and stock market information for Sema4 with similar financial and stock market information for certain other companies the securities of which were publicly traded; and performed such other studies and analyses, and considered such other factors, as Goldman Sachs deemed appropriate.</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purposes of rendering their opinion, Goldman Sachs, with Sema4’s consent,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Sema4’s consent, that the Forecasts, including the Synergies, and the Estimates were reasonably prepared on a basis reflecting the best currently available estimates and judgments of the management of Sema4. Goldman Sachs did not make an independent evaluation or appraisal of the assets and liabilities (including any contingent, derivative or other off-balance-sheet assets and liabilities) of Sema4 or OPKO or any of their respective subsidiaries, including GeneDx, and Goldman Sachs was not furnished with any such evaluation or appraisal. Goldman Sachs has assumed that all governmental, regulatory or other consents and approvals necessary for the consummation of the Acquisition will be obtained without any adverse effect on Sema4 or GeneDx or on the expected benefits of the Acquisition in any way meaningful to Goldman Sachs’ analysis. Goldman Sachs also assumed that the Acquisition will be consummated on the terms set forth in the Merger Agreement, without the waiver or modification of any term or condition the effect of which would be in any way meaningful to Goldman Sachs’ analysis.</w:t>
      </w:r>
    </w:p>
    <w:p>
      <w:pPr>
        <w:spacing w:after="0" w:line="11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Goldman Sachs’ opinion does not address the underlying business decision of Sema4 to engage in the Acquisition or the relative merits of the Acquisition as compared to any strategic alternatives that may be available to Sema4; nor does it address any legal, regulatory, tax or accounting matters. Goldman Sachs’ opinion addresses only the fairness from a financial point of view to Sema4, as of the date of the opinion, of the Total Acquisition Consideration to be paid by Sema4 to acquire all of the issued and outstanding shares of capital stock of GeneDx pursuant to the Merger Agreement. Goldman Sachs does not express any view on, and Goldman Sachs’ opinion does not address, any other term or aspect of the Merger Agreement or the Acquisition or any term or aspect of any other agreement or instrument contemplated by the Merger Agreement or entered into or amended in connection with the Acquisition, including any allocation of the Total Acquisition Consideration, any ongoing obligations of Sema4 or OPKO, any private placement of Sema4’s Class A common stock, the Pre-Closing Restructuring (as defined in the Merger Agreement), the fairness of the Acquisition to, or any consideration received in connection therewith by, the holders of any class of securities, creditors or other constituencies of Sema4, nor as to the fairness of the amount or nature of any compensation to be paid or payable to any of the officers, directors or employees of Sema4, GeneDx or OPKO, or any class of such persons in connection with the Acquisition, whether relative to the Total Acquisition Consideration to be paid by Sema4 for all of the issued and outstanding shares of capital stock of GeneDx pursuant to the Merger Agreement or otherwise. Goldman Sachs is not expressing any opinion as to the prices at which shares of Sema4’s Class A common stock will trade at any time, as to the potential effects of volatility in the credit, financial and stock markets on Sema4, GeneDx or OPKO or the Acquisition or as to the impact of the Acquisition on the solvency or viability of Sema4, GeneDx or OPKO or the ability of Sema4, GeneDx or OPKO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Material Financial Analyses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14, 2022, the last trading day before the announcement of the Acquisition, and is not necessarily indicative of current market conditions.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purposes of its analyses, Goldman Sachs calculated $488 million as the implied market value of the Total Acquisition Consideration, derived using the January 14, 2022 closing price per share of $4.04 for the portion of the Total Acquisition Consideration consisting of Sema4’s Class A common stock and, based on the Estimates provided by the management of Sema4 and approved for Goldman Sachs’ use, assumed the Adjustments net to a $15 million outflow of funds and no contingent payments were made because the revenue milestones were not achieved in the Forecasts.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Discounted Cash Flow Analysis —GeneDx Standalone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Using discount rates ranging from 8.5% to 10.5%, Goldman Sachs discounted to present value estimates of unlevered free cash using projections for fiscal years 2022 through 2040 included in the Forecasts for standalone GeneDx (excluding Synergies) and applied perpetuity growth rates ranging from 2.5% to 3.5% for the terminal year. Goldman Sachs derived the discount rates using estimates of GeneDx’s weighted average cost of capital calculated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The range of perpetuity growth rates was derived by Goldman Sachs utilizing its professional judgment and experience, taking into account, among other things, the Forecasts and market expectations regarding long-term economic growth of gross domestic product and inflation. The discounted unlevered cash flow analysis implied standalone intrinsic GeneDx enterprise values of between $1,048 million and $1,869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Enterprise Value Analysis-- GeneDx Standalone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Goldman Sachs calculated ranges of illustrative GeneDx standalone enterprise values based on reference multiples of enterprise value to revenue.</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Goldman Sachs also derived a range of illustrative enterprise values for GeneDx by multiplying (x) GeneDx projected 2021 revenue set forth in the Forecasts by (y) an enterprise value to revenue multiple range of 3.5x to 10.0x, and Goldman Sachs multiplied (x) GeneDx projected 2022 revenue set forth in the Forecasts by (y) an enterprise value to revenue multiple range of 4.0x to 7.5x. The enterprise value to revenue multiple ranges were derived by Goldman Sachs based on its professional judgment and experience, taking into account the enterprise value to revenue multiples for the GeneDx Selected Companies (as defined below). This analysis implied an enterprise value range of $405 million to $1,157 million based on 2021 figures and an enterprise value range of $521 million to $977 million based on 2022 figures.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Public Company Comparables Analysis-GeneDx</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Goldman Sachs reviewed and compared certain financial information for GeneDx to corresponding financial information, ratios and public market multiples for the following publicly traded corporations in the life sciences and diagnostics industry (the “</w:t>
      </w:r>
      <w:r>
        <w:rPr>
          <w:rFonts w:ascii="Arial" w:cs="Arial" w:eastAsia="Arial" w:hAnsi="Arial"/>
          <w:sz w:val="17"/>
          <w:szCs w:val="17"/>
          <w:i w:val="1"/>
          <w:iCs w:val="1"/>
          <w:color w:val="auto"/>
        </w:rPr>
        <w:t>GeneDx Selected Companies</w:t>
      </w:r>
      <w:r>
        <w:rPr>
          <w:rFonts w:ascii="Arial" w:cs="Arial" w:eastAsia="Arial" w:hAnsi="Arial"/>
          <w:sz w:val="17"/>
          <w:szCs w:val="17"/>
          <w:color w:val="auto"/>
        </w:rPr>
        <w:t>”):</w:t>
      </w:r>
    </w:p>
    <w:p>
      <w:pPr>
        <w:spacing w:after="0" w:line="92"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Natera,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Invitae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Exact Sciences;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Castle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NeoGenomics,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Personalis, Inc.;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Myriad Genetics, Inc.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none of the GeneDx Selected Companies is directly comparable to GeneDx, the companies included were chosen because they are publicly traded companies with operations that for purposes of analysis may be considered similar to certain operations of GeneDx.</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Estimates of 2021 and 2022 revenues for the GeneDx Selected Companies were based on Wall Street research. The enterprise value to revenue multiples for these companies appear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Comparable Company</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EV/2021E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EV/2022E</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Natera, Inc.</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10.4x</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8.5x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Veracyte,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9.9x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7.5x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Invitae Corporation</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9.3x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Exact Sciences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8.1x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7.1x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Castle Biosciences,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6.8x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NeoGenomics,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6.4x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Personalis,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3.3x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Myriad Genetics,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2.8x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2.9x</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Present Value of Future Share Price—Sema4 Standalone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Goldman Sachs performed an illustrative analysis of the implied present values of illustrative future values per share of Sema4’s Class A common stock. This analysis was designed to provide indications of the present values of theoretical future intrinsic values of Sema4’s Class A common stock. For this analysis, Goldman Sachs used the Sema4 standalone projections in the Forecasts for each of the fiscal years 2023 through 2025. Goldman Sachs calculated implied enterprise values for standalone Sema4 as of December 31, for each of the fiscal years 2022 through 2024, by applying enterprise value to revenue multiples of 6.0x to 8.0x against the next twelve months revenue projections for standalone Sema4 in the Forecasts. The illustrative enterprise value to revenue multiple range was derived by Goldman Sachs using its professional judgment and experience, taking into account current and historical multiples for Sema4, the range of Sema4 enterprise value to revenue multiples implied in Wall Street analyst forecasts, and enterprise value to revenue multiples for the Sema4 Selected Companies (as defined below). Goldman Sachs added the amount of net cash in the Forecasts for standalone Sema4 in order to derive a range of illustrative equity values. Goldman Sachs divided the results by the number of fully diluted outstanding shares of Sema4 Class A common stock provided by the management of Sema4 for standalone Sema4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(the “</w:t>
      </w:r>
      <w:r>
        <w:rPr>
          <w:rFonts w:ascii="Arial" w:cs="Arial" w:eastAsia="Arial" w:hAnsi="Arial"/>
          <w:sz w:val="17"/>
          <w:szCs w:val="17"/>
          <w:i w:val="1"/>
          <w:iCs w:val="1"/>
          <w:color w:val="auto"/>
        </w:rPr>
        <w:t>Capital</w:t>
      </w:r>
      <w:r>
        <w:rPr>
          <w:rFonts w:ascii="Arial" w:cs="Arial" w:eastAsia="Arial" w:hAnsi="Arial"/>
          <w:sz w:val="17"/>
          <w:szCs w:val="17"/>
          <w:color w:val="auto"/>
        </w:rPr>
        <w:t xml:space="preserve"> </w:t>
      </w:r>
      <w:r>
        <w:rPr>
          <w:rFonts w:ascii="Arial" w:cs="Arial" w:eastAsia="Arial" w:hAnsi="Arial"/>
          <w:sz w:val="17"/>
          <w:szCs w:val="17"/>
          <w:i w:val="1"/>
          <w:iCs w:val="1"/>
          <w:color w:val="auto"/>
        </w:rPr>
        <w:t>Asset Pricing Model</w:t>
      </w:r>
      <w:r>
        <w:rPr>
          <w:rFonts w:ascii="Arial" w:cs="Arial" w:eastAsia="Arial" w:hAnsi="Arial"/>
          <w:sz w:val="17"/>
          <w:szCs w:val="17"/>
          <w:color w:val="auto"/>
        </w:rPr>
        <w:t>”), which requires certain company-specific inputs, including a beta for the company, as well as certain financial metrics for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financial markets generally.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analysis resulted in a range of implied present values per share of Sema4’s Class A common stock of $6.60 to $9.86. Goldman Sachs then adjusted the analysis to give effect to the PIPE Investment (but not the Acquisition), which resulted in a range of implied present values per share of Sema4’s Class A common stock of $6.14 to $8.93.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Public Company Comparables Analysis—Sema4</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Goldman Sachs reviewed and compared certain financial information for Sema4 to corresponding financial information, ratios and public market multiples for the following publicly traded corporations in the life sciences and diagnostics industry (the “</w:t>
      </w:r>
      <w:r>
        <w:rPr>
          <w:rFonts w:ascii="Arial" w:cs="Arial" w:eastAsia="Arial" w:hAnsi="Arial"/>
          <w:sz w:val="17"/>
          <w:szCs w:val="17"/>
          <w:i w:val="1"/>
          <w:iCs w:val="1"/>
          <w:color w:val="auto"/>
        </w:rPr>
        <w:t>Sema4 Selected Companies</w:t>
      </w:r>
      <w:r>
        <w:rPr>
          <w:rFonts w:ascii="Arial" w:cs="Arial" w:eastAsia="Arial" w:hAnsi="Arial"/>
          <w:sz w:val="17"/>
          <w:szCs w:val="17"/>
          <w:color w:val="auto"/>
        </w:rPr>
        <w:t>”):</w:t>
      </w:r>
    </w:p>
    <w:p>
      <w:pPr>
        <w:spacing w:after="0" w:line="92"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Guardant Health;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Natera,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Invitae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Exact Sciences;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Castle Biosciences,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NeoGenomics,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Personalis,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Myriad Genetics,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Centogene;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Progenity.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none of the Sema4 Selected Companies is directly comparable to Sema4, the companies included were chosen because they are publicly traded companies with operations that for purposes of analysis may be considered similar to certain operations of Sema4.</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Estimates of 2021 and 2022 revenues for the Sema4 Selected Companies were based on Wall Street research. The enterprise value to revenue multiples for these companies appear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Comparable Company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EV/2021E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EV/2022E</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Guardant Health</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23.1x</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Natera,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8.5x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Veracyte,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9.9x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Invitae Corporation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9.3x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Exact Sciences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8.1x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Castle Biosciences,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6.8x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NeoGenomics,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6.4x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Personalis,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3.3x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4.2x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Myriad Genetics,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2.8x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Centogene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0.4x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1.3x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Progenity</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NM</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Present Value of Future Share Price—Combined Company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Goldman Sachs performed an illustrative analysis of the implied present values of illustrative future values per share of Sema4’s Class A common stock on a pro forma basis, after giving effect to the Acquisition. This analysis was designed to provide indications of the present values of theoretical future intrinsic values of Sema4’s Class A common stock with a combined company. For this analysis, Goldman Sachs used the Sema4 combined company projections in the Forecasts for each of the fiscal years 2023 through 2025 including the Synergies. Goldman Sachs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1440" w:right="339" w:bottom="1440" w:gutter="0" w:footer="0" w:header="0"/>
          <w:type w:val="continuous"/>
        </w:sectPr>
      </w:pPr>
    </w:p>
    <w:bookmarkStart w:id="148" w:name="page149"/>
    <w:bookmarkEnd w:id="148"/>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calculated implied enterprise values of the combined company as of December 31, for each of the fiscal years 2022 through 2024, by applying enterprise value to revenue multiples of 6.0x to 8.0x against the next twelve months revenue projections for the combined company in the Forecasts. The illustrative enterprise value to revenue multiple range was derived by Goldman Sachs using its professional judgment and experience, taking into account current and historical multiples for Sema4, the range of Sema4 enterprise value to revenue multiples implied in Wall Street analyst forecasts, and the multiples referenced above for Sema4 Selected Companies. Goldman Sachs added the projected amount of the net cash in the Forecasts for the combined company in order to derive a range of illustrative equity values for the combined company. Goldman Sachs divided the results by the number of fully diluted outstanding shares of Sema4’s Class A common stock provided by the management of Sema4 for the combined company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which requires certain company-specific inputs, including a beta for the company, as well as certain financial metrics for the United States financial markets generally. This analysis resulted in a range of implied present values per share of Class A common stock of the combined company of $6.92 to $11.58.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used in the above analyses as a comparison is directly comparable to Sema4 or OPKO.</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Goldman Sachs prepared these analyses for purposes of providing its opinion to the Board as to the fairness from a financial point of view, as of the date of the opinion, to Sema4 of the Acquisition Consideration to be paid to OPKO to acquire all of the issued and outstanding shares of capital stock of GeneDx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Sema4, OPKO, Goldman Sachs or any other person assumes responsibility if future results are materially different from those forecasts.</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Total Acquisition Consideration was determined through arm’s-length negotiations between Sema4 and OPKO and was approved by the Board. Goldman Sachs provided advice to Sema4 during these negotiations. Goldman Sachs did not, however, recommend any specific form or amount of consideration to Sema4 or the Board or that any specific form or amount of consideration constituted the only appropriate consideration for the Acquisition.</w:t>
      </w:r>
    </w:p>
    <w:p>
      <w:pPr>
        <w:spacing w:after="0" w:line="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w:t>
      </w:r>
    </w:p>
    <w:p>
      <w:pPr>
        <w:spacing w:after="0" w:line="9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Sema4, OPKO, any of their respective affiliates and third parties, including the Icahn School of Medicine at Mount Sinai (“</w:t>
      </w:r>
      <w:r>
        <w:rPr>
          <w:rFonts w:ascii="Arial" w:cs="Arial" w:eastAsia="Arial" w:hAnsi="Arial"/>
          <w:sz w:val="18"/>
          <w:szCs w:val="18"/>
          <w:i w:val="1"/>
          <w:iCs w:val="1"/>
          <w:color w:val="auto"/>
        </w:rPr>
        <w:t>ISMMS</w:t>
      </w:r>
      <w:r>
        <w:rPr>
          <w:rFonts w:ascii="Arial" w:cs="Arial" w:eastAsia="Arial" w:hAnsi="Arial"/>
          <w:sz w:val="18"/>
          <w:szCs w:val="18"/>
          <w:color w:val="auto"/>
        </w:rPr>
        <w:t>”), a significant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Sema4, and affiliates of Phillip Frost, a significant stockholder of OKPO, or any currency or commodity that may be involved in the Acquisition. Goldman Sachs acted as financial advisor to Sema4 in connection with, and participated in certain of the negotiations leading to, the Acquisition. Goldman Sachs expects to receive fees for its services in connection with the Acquisition, contingent upon consummation of the Acquisition, and Sema4 has agreed to reimburse certain of Goldman Sachs’ expenses arising, and indemnify Goldman Sachs against certain liabilities that may arise, out of Goldman Sachs’ engagement. In addition, Goldman Sachs acted as placement agent to Sema4 on the PIPE Investment. Goldman Sachs expects to receive a fee for its role as placement agent for the PIPE Investment, contingent upon consummation of the PIPE Investment, and Sema4 has agreed to reimburse certain of Goldman Sachs’ expenses arising, and indemnify Goldman Sachs against certain liabilities that may arise, out of Goldman Sachs’ engagement as placement agent for the PIPE Investment. Goldman Sachs has provided certain financial advisory and/or underwriting services to Sema4 and/or its affiliates from time to time for which Goldman Sachs’ Investment Banking Division has received, and may receive, compensation, including having acted in 2021 as financial advisor to Legacy Sema4 in its de-SPAC transaction with CM Life Sciences, Inc. and as placement agent in its July 2020 Series C private placement. During the two year period ended January 14, 2022, Goldman Sachs has recognized compensation for financial advisory and/or underwriting services provided by its Investment Banking Division to Sema4 and/or its affiliates of approximately $11.6 million. Goldman Sachs also has provided certain advisory and/or underwriting services to ISMMS and/or its affiliates (collectively, “</w:t>
      </w:r>
      <w:r>
        <w:rPr>
          <w:rFonts w:ascii="Arial" w:cs="Arial" w:eastAsia="Arial" w:hAnsi="Arial"/>
          <w:sz w:val="16"/>
          <w:szCs w:val="16"/>
          <w:i w:val="1"/>
          <w:iCs w:val="1"/>
          <w:color w:val="auto"/>
        </w:rPr>
        <w:t>Mount Sinai</w:t>
      </w:r>
      <w:r>
        <w:rPr>
          <w:rFonts w:ascii="Arial" w:cs="Arial" w:eastAsia="Arial" w:hAnsi="Arial"/>
          <w:sz w:val="16"/>
          <w:szCs w:val="16"/>
          <w:color w:val="auto"/>
        </w:rPr>
        <w:t>”) from time to time for which Goldman Sachs’ Investment Banking Division has received, and may receive, compensation, including having acted as co-manager in a 2020 $400 million fixed rate debt offering by Mount Sinai Health System, an affiliate of ISMMS. During the two year period ended January 14, 2022, Goldman Sachs has recognized compensation for financial advisory and/or underwriting services provided by its Investment Banking Division to Mount Sinai and/or its affiliates of approximately $400,000. During the two year period ended January 14, 2022, Goldman Sachs did not recognize any compensation for financial advisory and/or underwriting services provided by its Investment Banking Division to OPKO and/or its affiliates. Goldman Sachs may also in the future provide financial advisory and/or underwriting services to Sema4, OPKO, Mount Sinai or Phillip Frost and their respective affiliates for which Goldman Sachs’ Investment Banking Division may receive compensation.</w:t>
      </w:r>
    </w:p>
    <w:p>
      <w:pPr>
        <w:spacing w:after="0" w:line="3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selected Goldman Sachs as its financial advisor because it is an internationally recognized investment banking firm that has substantial experience in transactions similar to the Acquisition. Pursuant to a letter agreement, dated January 10, 2022, Sema4 engaged Goldman Sachs to act as its financial advisor in connection with the Acquisition. The engagement letter between Sema4 and Goldman Sachs provides for a transaction fee that is estimated, based on the information available as of the date of announcement of the Acquisition, at approximately $8.5 million, all of which is contingent upon consummation of the Acquisition. In addition, Sema4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THE STOCK CONSIDERATION ISSUANCE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asking our stockholders to approve, for purposes of complying with applicable Nasdaq Listing Rules, the issuance of more than 20% of the Company’s outstanding Class A common stock in connection with the Acquisition, including the issuances pursuant to the Merger Agreement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shares of our Class A common stock pursuant to the Merger Agreement.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approval of the Stock Consideration Issuance Proposal is also a condition to the Closing under the Merger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that this proposal is not approved by Company stockholders, the Acquisition cannot be consummated. In the event that this proposal is approved by Company stockholders, but the Merger Agreement is terminated (without the Acquisition being consummated) prior to the issuance of shares of our Class A common stock pursuant to the Merger Agreement, such shares of Class A common stock will not be issued.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Acquisition is conditioned on the approval of the Stock Consideration Issuance Proposal and the Charter Amendment Proposal. The PIPE Investment Proposal and the Special Designee Director Election Proposal are conditioned upon stockholders’ approval of the Stock Consideration Issuance Proposal and the Charter Amendment Proposal. This Stock Consideration Issuance Proposal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Stock Consideration Issuance Proposal. A stockholder’s failure to vote, as well as an abstention and broker non-vote, will have no effect on the Stock Consideration Issuance Proposal. Abstentions and broker non-votes will be counted in connection with the determination of whether a valid quorum is established.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 CONSIDERATION ISSUANCE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PIPE INVESTMENT PROPOSAL</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Assuming the Stock Consideration Issuance Proposal and the Charter Amendment Proposal are approved and adopted, we are asking our stockholders to approve, for purposes of complying with applicable Nasdaq Listing Rules, the issuance of more than 20% of the Company’s outstanding Class A common stock in connection with the Acquisition, including the issuances pursuant to the Subscription Agreements described below.</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the PIPE Shares pursuant to the Subscription Agreements, as the issuance of the PIPE Share is occurring in connection with the Acquisition.</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that this proposal is not approved by Company stockholders, the PIPE Investment cannot be consummated. In the event that this proposal is approved by Company stockholders, but the Merger Agreement is terminated (without the Acquisition being consummated) prior to the issuance of shares of the PIPE Shares pursuant to the Subscription Agreement, such shares of Class A common stock will not be issued.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PIPE Investment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Proposal No. 2 is conditioned upon the approval of the Stock Consideration Issuance Proposal and the Charter Amendment Proposal. If the Stock Consideration Issuance Proposal or the Charter Amendment Proposal is not approved, this Proposal No. 2 will have no effect, even if approved by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PIPE INVESTMENT APPROVAL.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SPECIAL DESIGNEE DIRECTORS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Assuming the Stock Consideration Issuance Proposal and the Charter Amendment Proposal are approved and adopted and the Acquisition is consummated, we are asking our stockholders to consider and vote upon a proposal to approve by resolution of the Class A common stock, the election, effective immediately in connection with the Closing of the Acquisition, of two directors, Katherine Stueland and Richard C. Pfenniger, Jr., to serve until the [ ] annual meeting of stockholders, each until such director’s respective successor is duly elected and qualified, subject to such director’s earlier death, resignation, disqualification or removal. The Company believes it is in the best interests of stockholders to allow stockholders to vote upon the election of newly appointed directors. In addition, the inclusion of this proposal is a requirement under the Merger Agreement.</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board of directors currently consists of [ten (10)] directors, and is divided into three classes. Each class serves for three years, with the terms of office of the respective classes expiring in successive years.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Following approval of the Special Designee Director Election Approval by the stockholders, and following the Closing of the Acquisition, Sema4’s board of directors will take appropriate actions to effect the stockholders resolution to approve the Special Designee Director Election Approval.</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the Acquisition, it is expected that Sema4’s board of directors will consist of [twelve] directors, divided into three classes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(Class I, II and III) with Class I consisting of [</w:t>
            </w: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 directors, Class II consisting of [</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w w:val="98"/>
              </w:rPr>
              <w:t>] directors and Class III consisting of [</w:t>
            </w:r>
          </w:p>
        </w:tc>
        <w:tc>
          <w:tcPr>
            <w:tcW w:w="1480" w:type="dxa"/>
            <w:vAlign w:val="bottom"/>
          </w:tcPr>
          <w:p>
            <w:pPr>
              <w:jc w:val="right"/>
              <w:spacing w:after="0"/>
              <w:rPr>
                <w:sz w:val="20"/>
                <w:szCs w:val="20"/>
                <w:color w:val="auto"/>
              </w:rPr>
            </w:pPr>
            <w:r>
              <w:rPr>
                <w:rFonts w:ascii="Arial" w:cs="Arial" w:eastAsia="Arial" w:hAnsi="Arial"/>
                <w:sz w:val="18"/>
                <w:szCs w:val="18"/>
                <w:color w:val="auto"/>
              </w:rPr>
              <w:t>] directors. It is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contemplated that [   ] and [   ] will serve as Class I Directors, [   ] and [</w:t>
            </w:r>
          </w:p>
        </w:tc>
        <w:tc>
          <w:tcPr>
            <w:tcW w:w="3060" w:type="dxa"/>
            <w:vAlign w:val="bottom"/>
            <w:gridSpan w:val="2"/>
          </w:tcPr>
          <w:p>
            <w:pPr>
              <w:ind w:left="80"/>
              <w:spacing w:after="0"/>
              <w:rPr>
                <w:sz w:val="20"/>
                <w:szCs w:val="20"/>
                <w:color w:val="auto"/>
              </w:rPr>
            </w:pPr>
            <w:r>
              <w:rPr>
                <w:rFonts w:ascii="Arial" w:cs="Arial" w:eastAsia="Arial" w:hAnsi="Arial"/>
                <w:sz w:val="18"/>
                <w:szCs w:val="18"/>
                <w:color w:val="auto"/>
              </w:rPr>
              <w:t>] will serve as Class II Directors and [</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 and [   ] will serve as Class III</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Directors. Information regarding Ms. Stueland and Mr. Pfenniger, as well</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as the other</w:t>
            </w:r>
          </w:p>
        </w:tc>
        <w:tc>
          <w:tcPr>
            <w:tcW w:w="2060" w:type="dxa"/>
            <w:vAlign w:val="bottom"/>
          </w:tcPr>
          <w:p>
            <w:pPr>
              <w:ind w:left="40"/>
              <w:spacing w:after="0"/>
              <w:rPr>
                <w:sz w:val="20"/>
                <w:szCs w:val="20"/>
                <w:color w:val="auto"/>
              </w:rPr>
            </w:pPr>
            <w:r>
              <w:rPr>
                <w:rFonts w:ascii="Arial" w:cs="Arial" w:eastAsia="Arial" w:hAnsi="Arial"/>
                <w:sz w:val="18"/>
                <w:szCs w:val="18"/>
                <w:color w:val="auto"/>
                <w:w w:val="99"/>
              </w:rPr>
              <w:t>members of the Board, is</w:t>
            </w:r>
          </w:p>
        </w:tc>
        <w:tc>
          <w:tcPr>
            <w:tcW w:w="980" w:type="dxa"/>
            <w:vAlign w:val="bottom"/>
          </w:tcPr>
          <w:p>
            <w:pPr>
              <w:ind w:left="60"/>
              <w:spacing w:after="0"/>
              <w:rPr>
                <w:sz w:val="20"/>
                <w:szCs w:val="20"/>
                <w:color w:val="auto"/>
              </w:rPr>
            </w:pPr>
            <w:r>
              <w:rPr>
                <w:rFonts w:ascii="Arial" w:cs="Arial" w:eastAsia="Arial" w:hAnsi="Arial"/>
                <w:sz w:val="18"/>
                <w:szCs w:val="18"/>
                <w:color w:val="auto"/>
              </w:rPr>
              <w:t>set forth in</w:t>
            </w:r>
          </w:p>
        </w:tc>
        <w:tc>
          <w:tcPr>
            <w:tcW w:w="1480" w:type="dxa"/>
            <w:vAlign w:val="bottom"/>
          </w:tcPr>
          <w:p>
            <w:pPr>
              <w:jc w:val="right"/>
              <w:spacing w:after="0"/>
              <w:rPr>
                <w:sz w:val="20"/>
                <w:szCs w:val="20"/>
                <w:color w:val="auto"/>
              </w:rPr>
            </w:pPr>
            <w:r>
              <w:rPr>
                <w:rFonts w:ascii="Arial" w:cs="Arial" w:eastAsia="Arial" w:hAnsi="Arial"/>
                <w:sz w:val="18"/>
                <w:szCs w:val="18"/>
                <w:color w:val="auto"/>
                <w:w w:val="97"/>
              </w:rPr>
              <w:t>the section entitled</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After the Acquisition</w:t>
            </w:r>
            <w:r>
              <w:rPr>
                <w:rFonts w:ascii="Arial" w:cs="Arial" w:eastAsia="Arial" w:hAnsi="Arial"/>
                <w:sz w:val="18"/>
                <w:szCs w:val="18"/>
                <w:color w:val="auto"/>
              </w:rPr>
              <w:t>.”</w:t>
            </w:r>
          </w:p>
        </w:tc>
        <w:tc>
          <w:tcPr>
            <w:tcW w:w="2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Special Designee Director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Proposal. Abstentions and broker non-votes will be counted in connection with the determination of whether a valid quorum is established.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Proposal No. 3 is conditioned upon the approval of the Stock Consideration Issuance Proposal and the Charter Amendment Proposal. If the Stock Consideration Issuance Proposal or the Charter Amendment Proposal is not approved, this Proposal No. 3 will have no effect, even if approved by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DESIGNEE ELECTION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 THE CHARTER APPROVAL PROPOSAL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stockholders are also being asked to adopt the Amendment to the Charter in the form attached hereto as Annex B, which, in the judgment of our Board, is necessary and advisable in connection with the consummation of the Acquisition and the PIPE Investment. In addition, the approval of the Charter Amendment Proposal is also a condition to the Closing under the Merger Agreement.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key changes effected by the Amendment, but this summary is qualified in its entirety by reference to the full text of the Amendment, a copy of which is included as Annex B.</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currently provides for 380,000,000 shares of authorized Class A common stock. Our Board of Directors has adopted a resolution to amend our Charter to increase the authorized number of shares of Class A common stock to 1,000,000,000, subject to stockholder approval of the Amendment. No changes will be made to the number of authorized shares of our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stockholder approval, we will file the Amendment and thereby amend our Charter.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Amendment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proposed increase in the number of shares of Class A common stock available for issuance under our Charter is required for the issuance of the Stock Consideration under the Merger Agreement and the issuance of the PIPE Shares under the Subscription Agreements. The approval of the Charter Amendment Proposal is also a condition to the Closing under the Merger Agreement. The proposed increase will also facilitate the Company’s ability to satisfy the potential Milestone Payments under the Merger Agreement through the issuance of shares of Class A common stock.</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Board of Directors further believes that the proposed increase in the number of shares of Class A common stock available for issuance under our Charter is required for the continued growth and development of our business. In particular, when practical, we may attempt to fund our future merger and acquisition transactions and/or strategic collaborations and partnerships and other corporate development objectives through the issuance of shares, which we believe may be less dilutive to stockholders than funding these activities from the proceeds of typical equity financings. The Company currently is limited to 380,000,000 shares of Class A common stock available; the details from which this number is derived are provided below.</w:t>
      </w:r>
    </w:p>
    <w:p>
      <w:pPr>
        <w:spacing w:after="0" w:line="107" w:lineRule="exact"/>
        <w:rPr>
          <w:sz w:val="20"/>
          <w:szCs w:val="20"/>
          <w:color w:val="auto"/>
        </w:rPr>
      </w:pPr>
    </w:p>
    <w:p>
      <w:pPr>
        <w:ind w:left="340"/>
        <w:spacing w:after="0"/>
        <w:tabs>
          <w:tab w:leader="none" w:pos="3000" w:val="left"/>
        </w:tabs>
        <w:rPr>
          <w:sz w:val="20"/>
          <w:szCs w:val="20"/>
          <w:color w:val="auto"/>
        </w:rPr>
      </w:pPr>
      <w:r>
        <w:rPr>
          <w:rFonts w:ascii="Arial" w:cs="Arial" w:eastAsia="Arial" w:hAnsi="Arial"/>
          <w:sz w:val="18"/>
          <w:szCs w:val="18"/>
          <w:color w:val="auto"/>
        </w:rPr>
        <w:t>As of the Record Date, we had [</w:t>
      </w:r>
      <w:r>
        <w:rPr>
          <w:sz w:val="20"/>
          <w:szCs w:val="20"/>
          <w:color w:val="auto"/>
        </w:rPr>
        <w:tab/>
      </w:r>
      <w:r>
        <w:rPr>
          <w:rFonts w:ascii="Arial" w:cs="Arial" w:eastAsia="Arial" w:hAnsi="Arial"/>
          <w:sz w:val="16"/>
          <w:szCs w:val="16"/>
          <w:color w:val="auto"/>
        </w:rPr>
        <w:t>] shares of Class A common stock outstanding. In addition, as of such date:</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63"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]shares of our Class A common stock were reserved for issuance upon exercise of our outstanding warrants, including (a) [ ] shares issuable by us upon the exercise of [ ]public warrants, and (b) [ ] shares issuable by us upon the exercise of [ ] private placement warrants;</w:t>
      </w:r>
    </w:p>
    <w:p>
      <w:pPr>
        <w:spacing w:after="0" w:line="130"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shares of our Class A common stock were reserved for issuance upon exercise of outstanding options under the Mount Sinai Genomics, Inc. 2017 Equity Incentive Plan (the “</w:t>
      </w:r>
      <w:r>
        <w:rPr>
          <w:rFonts w:ascii="Arial" w:cs="Arial" w:eastAsia="Arial" w:hAnsi="Arial"/>
          <w:sz w:val="18"/>
          <w:szCs w:val="18"/>
          <w:i w:val="1"/>
          <w:iCs w:val="1"/>
          <w:color w:val="auto"/>
        </w:rPr>
        <w:t>2017 Plan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shares of our Class A common stock were reserved for issuance upon exercise or vesting of outstanding options and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granted under the Sema4 Holdings Corp. 2021 Equity Incentive Plan (the “</w:t>
      </w:r>
      <w:r>
        <w:rPr>
          <w:rFonts w:ascii="Arial" w:cs="Arial" w:eastAsia="Arial" w:hAnsi="Arial"/>
          <w:sz w:val="18"/>
          <w:szCs w:val="18"/>
          <w:i w:val="1"/>
          <w:iCs w:val="1"/>
          <w:color w:val="auto"/>
        </w:rPr>
        <w:t>2021 EIP</w:t>
      </w:r>
      <w:r>
        <w:rPr>
          <w:rFonts w:ascii="Arial" w:cs="Arial" w:eastAsia="Arial" w:hAnsi="Arial"/>
          <w:sz w:val="18"/>
          <w:szCs w:val="18"/>
          <w:color w:val="auto"/>
        </w:rPr>
        <w:t>”);</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 shares of Class A common stock (the “</w:t>
            </w:r>
            <w:r>
              <w:rPr>
                <w:rFonts w:ascii="Arial" w:cs="Arial" w:eastAsia="Arial" w:hAnsi="Arial"/>
                <w:sz w:val="18"/>
                <w:szCs w:val="18"/>
                <w:i w:val="1"/>
                <w:iCs w:val="1"/>
                <w:color w:val="auto"/>
                <w:w w:val="93"/>
              </w:rPr>
              <w:t>Earn-Out Shares</w:t>
            </w:r>
            <w:r>
              <w:rPr>
                <w:rFonts w:ascii="Arial" w:cs="Arial" w:eastAsia="Arial" w:hAnsi="Arial"/>
                <w:sz w:val="18"/>
                <w:szCs w:val="18"/>
                <w:color w:val="auto"/>
                <w:w w:val="93"/>
              </w:rPr>
              <w:t>”) were reserved for issuance to certain former stockholders of Mount Sinai</w:t>
            </w:r>
          </w:p>
        </w:tc>
      </w:tr>
      <w:tr>
        <w:trPr>
          <w:trHeight w:val="216"/>
        </w:trPr>
        <w:tc>
          <w:tcPr>
            <w:tcW w:w="180" w:type="dxa"/>
            <w:vAlign w:val="bottom"/>
          </w:tcPr>
          <w:p>
            <w:pPr>
              <w:spacing w:after="0"/>
              <w:rPr>
                <w:sz w:val="18"/>
                <w:szCs w:val="18"/>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0"/>
              </w:rPr>
              <w:t>Genomics, Inc. d/b/a Sema4 (“</w:t>
            </w:r>
            <w:r>
              <w:rPr>
                <w:rFonts w:ascii="Arial" w:cs="Arial" w:eastAsia="Arial" w:hAnsi="Arial"/>
                <w:sz w:val="18"/>
                <w:szCs w:val="18"/>
                <w:i w:val="1"/>
                <w:iCs w:val="1"/>
                <w:color w:val="auto"/>
                <w:w w:val="90"/>
              </w:rPr>
              <w:t>Legacy Sema4</w:t>
            </w:r>
            <w:r>
              <w:rPr>
                <w:rFonts w:ascii="Arial" w:cs="Arial" w:eastAsia="Arial" w:hAnsi="Arial"/>
                <w:sz w:val="18"/>
                <w:szCs w:val="18"/>
                <w:color w:val="auto"/>
                <w:w w:val="90"/>
              </w:rPr>
              <w:t>”) pursuant to that certain Agreement and Plan of Merger, dated as of February 9, 2021 (as amended,</w:t>
            </w:r>
          </w:p>
        </w:tc>
      </w:tr>
      <w:tr>
        <w:trPr>
          <w:trHeight w:val="230"/>
        </w:trPr>
        <w:tc>
          <w:tcPr>
            <w:tcW w:w="180" w:type="dxa"/>
            <w:vAlign w:val="bottom"/>
          </w:tcPr>
          <w:p>
            <w:pPr>
              <w:spacing w:after="0"/>
              <w:rPr>
                <w:sz w:val="20"/>
                <w:szCs w:val="20"/>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8"/>
              </w:rPr>
              <w:t>the “</w:t>
            </w:r>
            <w:r>
              <w:rPr>
                <w:rFonts w:ascii="Arial" w:cs="Arial" w:eastAsia="Arial" w:hAnsi="Arial"/>
                <w:sz w:val="18"/>
                <w:szCs w:val="18"/>
                <w:i w:val="1"/>
                <w:iCs w:val="1"/>
                <w:color w:val="auto"/>
                <w:w w:val="98"/>
              </w:rPr>
              <w:t>Prior Merger Agreement</w:t>
            </w:r>
            <w:r>
              <w:rPr>
                <w:rFonts w:ascii="Arial" w:cs="Arial" w:eastAsia="Arial" w:hAnsi="Arial"/>
                <w:sz w:val="18"/>
                <w:szCs w:val="18"/>
                <w:color w:val="auto"/>
                <w:w w:val="98"/>
              </w:rPr>
              <w:t>”), by and among CM Life Sciences, Inc. (“</w:t>
            </w:r>
            <w:r>
              <w:rPr>
                <w:rFonts w:ascii="Arial" w:cs="Arial" w:eastAsia="Arial" w:hAnsi="Arial"/>
                <w:sz w:val="18"/>
                <w:szCs w:val="18"/>
                <w:i w:val="1"/>
                <w:iCs w:val="1"/>
                <w:color w:val="auto"/>
                <w:w w:val="98"/>
              </w:rPr>
              <w:t>CMLS</w:t>
            </w:r>
            <w:r>
              <w:rPr>
                <w:rFonts w:ascii="Arial" w:cs="Arial" w:eastAsia="Arial" w:hAnsi="Arial"/>
                <w:sz w:val="18"/>
                <w:szCs w:val="18"/>
                <w:color w:val="auto"/>
                <w:w w:val="98"/>
              </w:rPr>
              <w:t>”), S-IV Sub, Inc. (“</w:t>
            </w:r>
            <w:r>
              <w:rPr>
                <w:rFonts w:ascii="Arial" w:cs="Arial" w:eastAsia="Arial" w:hAnsi="Arial"/>
                <w:sz w:val="18"/>
                <w:szCs w:val="18"/>
                <w:i w:val="1"/>
                <w:iCs w:val="1"/>
                <w:color w:val="auto"/>
                <w:w w:val="98"/>
              </w:rPr>
              <w:t>Merger Sub</w:t>
            </w:r>
            <w:r>
              <w:rPr>
                <w:rFonts w:ascii="Arial" w:cs="Arial" w:eastAsia="Arial" w:hAnsi="Arial"/>
                <w:sz w:val="18"/>
                <w:szCs w:val="18"/>
                <w:color w:val="auto"/>
                <w:w w:val="98"/>
              </w:rPr>
              <w:t>”) and Legacy Sema4; and</w:t>
            </w: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0180" w:type="dxa"/>
            <w:vAlign w:val="bottom"/>
          </w:tcPr>
          <w:p>
            <w:pPr>
              <w:ind w:left="360"/>
              <w:spacing w:after="0"/>
              <w:rPr>
                <w:sz w:val="20"/>
                <w:szCs w:val="20"/>
                <w:color w:val="auto"/>
              </w:rPr>
            </w:pPr>
            <w:r>
              <w:rPr>
                <w:rFonts w:ascii="Arial" w:cs="Arial" w:eastAsia="Arial" w:hAnsi="Arial"/>
                <w:sz w:val="18"/>
                <w:szCs w:val="18"/>
                <w:color w:val="auto"/>
                <w:w w:val="93"/>
              </w:rPr>
              <w:t>] shares of Class A common stock (the “</w:t>
            </w:r>
            <w:r>
              <w:rPr>
                <w:rFonts w:ascii="Arial" w:cs="Arial" w:eastAsia="Arial" w:hAnsi="Arial"/>
                <w:sz w:val="18"/>
                <w:szCs w:val="18"/>
                <w:i w:val="1"/>
                <w:iCs w:val="1"/>
                <w:color w:val="auto"/>
                <w:w w:val="93"/>
              </w:rPr>
              <w:t>Earn-Out RSU Shares</w:t>
            </w:r>
            <w:r>
              <w:rPr>
                <w:rFonts w:ascii="Arial" w:cs="Arial" w:eastAsia="Arial" w:hAnsi="Arial"/>
                <w:sz w:val="18"/>
                <w:szCs w:val="18"/>
                <w:color w:val="auto"/>
                <w:w w:val="93"/>
              </w:rPr>
              <w:t>”) were reserved for issuance upon the vesting of certain RSU awards</w:t>
            </w:r>
          </w:p>
        </w:tc>
      </w:tr>
      <w:tr>
        <w:trPr>
          <w:trHeight w:val="216"/>
        </w:trPr>
        <w:tc>
          <w:tcPr>
            <w:tcW w:w="180" w:type="dxa"/>
            <w:vAlign w:val="bottom"/>
          </w:tcPr>
          <w:p>
            <w:pPr>
              <w:spacing w:after="0"/>
              <w:rPr>
                <w:sz w:val="18"/>
                <w:szCs w:val="18"/>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Earn-Out RSUs</w:t>
            </w:r>
            <w:r>
              <w:rPr>
                <w:rFonts w:ascii="Arial" w:cs="Arial" w:eastAsia="Arial" w:hAnsi="Arial"/>
                <w:sz w:val="18"/>
                <w:szCs w:val="18"/>
                <w:color w:val="auto"/>
                <w:w w:val="91"/>
              </w:rPr>
              <w:t>”) that were granted to certain former equity award holders of Legacy Sema4 and certain employees of the Company pursuant to</w:t>
            </w:r>
          </w:p>
        </w:tc>
      </w:tr>
      <w:tr>
        <w:trPr>
          <w:trHeight w:val="230"/>
        </w:trPr>
        <w:tc>
          <w:tcPr>
            <w:tcW w:w="180" w:type="dxa"/>
            <w:vAlign w:val="bottom"/>
          </w:tcPr>
          <w:p>
            <w:pPr>
              <w:spacing w:after="0"/>
              <w:rPr>
                <w:sz w:val="20"/>
                <w:szCs w:val="20"/>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rPr>
              <w:t>the Prior Merger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14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Based upon the foregoing number of outstanding and reserved shares of Class A common stock, we have [ ] shares of Class A common stock remaining available for other purposes. We also have [ ] shares of Class A common stock available for future equity grants under the 2021 EIP and</w:t>
      </w:r>
    </w:p>
    <w:p>
      <w:pPr>
        <w:ind w:left="420" w:hanging="412"/>
        <w:spacing w:after="0"/>
        <w:tabs>
          <w:tab w:leader="none" w:pos="4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shares of Class A common stock available for future grants under the Sema4 Holdings Corp. 2021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proposed increase in the number of shares available for issuance under our Charter is intended to allow the Company to consummate the issuances of shares of Class A common stock contemplated by the Acquisition and the PIPE Investment, as well as to provide the Board of Directors with authority, without further action of the stockholders, to issue additional shares of Class A common stock from time to time in such amounts as the Board of Directors deems necessary. Without limitation of the foregoing, following the Closing, additional shares may be issued in connection with (1) the satisfaction of the potential Milestone Payments under the Merger Agreement, (2) future merger and acquisition transactions, strategic collaborations and partnerships and/or licensing arrangements involving the issuance of our securities, (3) future capital raising transactions through the sale of Class A common stock and/or securities convertible into or exercisable for Class A common stock in the private and/or public equity markets; (4) the provision of equity incentives to employees, officers, directors or consultants; and (5) other corporate purposes.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absence of a proportionate increase in our earnings and book value, an increase in the aggregate number of outstanding shares of Class A common stock caused by the issuance of the additional shares, pursuant to the Merger Agreement, the Subscription Agreements or otherwise, would dilute the earnings per share (including projected future earnings per share) and book value per share of all outstanding shares of our Class A common stock. If such factors were reflected in the price per share of the Class A common stock, the potential realizable value of a stockholder’s investment could be adversely affected. An issuance of additional shares of Class A common stock could therefore have an adverse effect on the potential realizable value of a stockholder’s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Additional Authorized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newly authorized shares of Class A common stock will be identical to the shares of Class A common stock now authorized and outstanding. The Amendment will not affect the rights of current holders of our Class A common stock, none of whom have preemptive or similar rights to acquire the newly authorized shares pursuant to our Charter.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Proposal</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issuance of the Stock Consideration under the Merger Agreement and the PIPE Shares under the Subscription Agreements will have an immediate dilutive effect on the proportionate voting power or other rights of the Company’s existing stockholders at the Closing, and future issuances of additional could have a similar dilutive effect. The proposed increase in the authorized number of shares of Class A common stock could have other effects on our stockholders. The increase could deter takeovers, in that additional shares could be issued (within the limits imposed by applicable law) in one or more transactions that could make a change in control or takeover of us more difficult. For example, additional shares could be issued by us so as to dilute the stock ownership or voting rights of persons seeking to obtain control. Similarly, the issuance of additional shares to certain persons allied with our management could have the effect of making it more difficult to remove our current management by diluting the stock ownership or voting rights of persons seeking to cause such removal. Our Board of Directors, however, does not intend or view the Charter Amendment Proposal as an anti-takeover measure, nor does it contemplate its use in this manner at any time in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Amendment Proposal requires the affirmative vote of holders of a majority of our outstanding shares of Class A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CHARTER AMENDMENT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CLASS I DIRECTORS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2023 and 2024, respectively. Our Nominating and Corporate Governance Committee recommended to our Board of Directors, and our Board of Directors nominated Eli D. Casdin, Joshua Ruch and Michael Pellini, each of whom is currently serving as a Class I director, for election as Class I directors at the Special Meeting. At the recommendation of our Nominating and Corporate Governance Committee, our Board of Directors proposes that each of the Class I nominees be elected as a Class I director for a three-year term expiring at the annual meeting of stockholders to be held in 2025 and until such director’s successor is duly elected and qualified or until such director’s earlier death, resignation, disqualification or removal.</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director will be elected by a plurality of the votes present online at the virtual Special Meeting or represented by proxy at the Special Meeting and entitled to vote on the election of directors. This means that the three individuals nominated for election to the Board of Directors at the Special Meeting receiving the highest number of “FOR” votes will be elected. You may either vote “FOR” any of the nominees or “WITHHOLD” your vote with respect to any of the nominees. Shares represented by proxies will be voted “FOR” the election of each of the Class 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three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the Board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nominees and their ages as of December 31, 2021 are provided in the table below. Additional biographical information for each nominee is set forth in the text below the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Age</w:t>
            </w: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Borders>
              <w:top w:val="single" w:sz="8" w:color="CCEEFF"/>
            </w:tcBorders>
            <w:shd w:val="clear" w:color="auto" w:fill="CCEEFF"/>
          </w:tcPr>
          <w:p>
            <w:pPr>
              <w:spacing w:after="0"/>
              <w:rPr>
                <w:sz w:val="19"/>
                <w:szCs w:val="19"/>
                <w:color w:val="auto"/>
              </w:rPr>
            </w:pPr>
          </w:p>
        </w:tc>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Class I</w:t>
            </w:r>
          </w:p>
        </w:tc>
      </w:tr>
      <w:tr>
        <w:trPr>
          <w:trHeight w:val="230"/>
        </w:trPr>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Joshua Ruch </w:t>
            </w:r>
            <w:r>
              <w:rPr>
                <w:rFonts w:ascii="Arial" w:cs="Arial" w:eastAsia="Arial" w:hAnsi="Arial"/>
                <w:sz w:val="23"/>
                <w:szCs w:val="23"/>
                <w:color w:val="auto"/>
                <w:vertAlign w:val="superscript"/>
              </w:rPr>
              <w:t>(1)(2)</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Class 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-445135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-445135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Member of our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Member of our Compensation Committee</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Eli D. Casdin </w:t>
      </w:r>
      <w:r>
        <w:rPr>
          <w:rFonts w:ascii="Arial" w:cs="Arial" w:eastAsia="Arial" w:hAnsi="Arial"/>
          <w:sz w:val="16"/>
          <w:szCs w:val="16"/>
          <w:color w:val="auto"/>
        </w:rPr>
        <w:t>has served as a member of our Board since July 2020, and previously served as the Chief Executive Officer of CMLS from July 2020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Arial" w:cs="Arial" w:eastAsia="Arial" w:hAnsi="Arial"/>
          <w:sz w:val="16"/>
          <w:szCs w:val="16"/>
          <w:i w:val="1"/>
          <w:iCs w:val="1"/>
          <w:color w:val="auto"/>
        </w:rPr>
        <w:t>CMLS II</w:t>
      </w:r>
      <w:r>
        <w:rPr>
          <w:rFonts w:ascii="Arial" w:cs="Arial" w:eastAsia="Arial" w:hAnsi="Arial"/>
          <w:sz w:val="16"/>
          <w:szCs w:val="16"/>
          <w:color w:val="auto"/>
        </w:rPr>
        <w:t>”)), since September 2021 (having previously served as the Chief Executive Officer of CMLS II from February 2021 to September 2021), and EQRx, Inc., a pharmaceutical company (formerly, CM Life Sciences III Inc., a special purpose acquisition company (“</w:t>
      </w:r>
      <w:r>
        <w:rPr>
          <w:rFonts w:ascii="Arial" w:cs="Arial" w:eastAsia="Arial" w:hAnsi="Arial"/>
          <w:sz w:val="16"/>
          <w:szCs w:val="16"/>
          <w:i w:val="1"/>
          <w:iCs w:val="1"/>
          <w:color w:val="auto"/>
        </w:rPr>
        <w:t>CMLS III</w:t>
      </w:r>
      <w:r>
        <w:rPr>
          <w:rFonts w:ascii="Arial" w:cs="Arial" w:eastAsia="Arial" w:hAnsi="Arial"/>
          <w:sz w:val="16"/>
          <w:szCs w:val="16"/>
          <w:color w:val="auto"/>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experience in the life sciences and healthcare sectors, and his expertise in finance, capital markets, and the biotechnology industry.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directors who are serving for terms that end after the Special Meeting and their ages as of December 31, 2021 are provided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 biographical information for each continuing director is set forth in the text below the table.</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560"/>
              <w:spacing w:after="0"/>
              <w:rPr>
                <w:sz w:val="20"/>
                <w:szCs w:val="20"/>
                <w:color w:val="auto"/>
              </w:rPr>
            </w:pPr>
            <w:r>
              <w:rPr>
                <w:rFonts w:ascii="Arial" w:cs="Arial" w:eastAsia="Arial" w:hAnsi="Arial"/>
                <w:sz w:val="14"/>
                <w:szCs w:val="14"/>
                <w:b w:val="1"/>
                <w:bCs w:val="1"/>
                <w:color w:val="auto"/>
              </w:rPr>
              <w:t>Age</w:t>
            </w:r>
          </w:p>
        </w:tc>
        <w:tc>
          <w:tcPr>
            <w:tcW w:w="2680" w:type="dxa"/>
            <w:vAlign w:val="bottom"/>
          </w:tcPr>
          <w:p>
            <w:pPr>
              <w:ind w:left="2280"/>
              <w:spacing w:after="0"/>
              <w:rPr>
                <w:sz w:val="20"/>
                <w:szCs w:val="20"/>
                <w:color w:val="auto"/>
              </w:rPr>
            </w:pPr>
            <w:r>
              <w:rPr>
                <w:rFonts w:ascii="Arial" w:cs="Arial" w:eastAsia="Arial" w:hAnsi="Arial"/>
                <w:sz w:val="14"/>
                <w:szCs w:val="14"/>
                <w:b w:val="1"/>
                <w:bCs w:val="1"/>
                <w:color w:val="auto"/>
              </w:rPr>
              <w:t>Class</w:t>
            </w:r>
          </w:p>
        </w:tc>
        <w:tc>
          <w:tcPr>
            <w:tcW w:w="2180" w:type="dxa"/>
            <w:vAlign w:val="bottom"/>
          </w:tcPr>
          <w:p>
            <w:pPr>
              <w:spacing w:after="0"/>
              <w:rPr>
                <w:sz w:val="16"/>
                <w:szCs w:val="16"/>
                <w:color w:val="auto"/>
              </w:rPr>
            </w:pPr>
          </w:p>
        </w:tc>
      </w:tr>
      <w:tr>
        <w:trPr>
          <w:trHeight w:val="229"/>
        </w:trPr>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tcBorders>
              <w:top w:val="single" w:sz="8" w:color="auto"/>
            </w:tcBorders>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Borders>
              <w:top w:val="single" w:sz="8" w:color="auto"/>
            </w:tcBorders>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29"/>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29"/>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-1028065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-1028065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familial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Executive Compensation—Director Compensation</w:t>
      </w:r>
      <w:r>
        <w:rPr>
          <w:rFonts w:ascii="Arial" w:cs="Arial" w:eastAsia="Arial" w:hAnsi="Arial"/>
          <w:sz w:val="18"/>
          <w:szCs w:val="18"/>
          <w:color w:val="auto"/>
        </w:rPr>
        <w:t>” for a summary of payments made to our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CLASS I DIRECTOR ELECTION PROPOSAL</w:t>
      </w:r>
      <w:r>
        <w:rPr>
          <w:rFonts w:ascii="Arial" w:cs="Arial" w:eastAsia="Arial" w:hAnsi="Arial"/>
          <w:sz w:val="18"/>
          <w:szCs w:val="18"/>
          <w:color w:val="auto"/>
        </w:rPr>
        <w:t>.</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has selected Ernst &amp; Young LLP as our principal independent registered public accounting firm to perform the audit of our consolidated financial statements for the fiscal year ending December 31, 2022. Ernst &amp; Young LLP has served as the Company’s independent registered public accounting firm since firm since the closing of the business combination and the independent registered public accounting firm of Legacy Sema4 prior to the closing of the business combination. We expect that representatives of Ernst &amp; Young LLP will be present at the Special Meeting, will be able to make a statement if they so desire and will be available to respond to appropriate questions.</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the Special Meeting, the stockholders are being asked to ratify the appointment of Ernst &amp; Young LLP as the Company’s independent registered public accounting firm for the fiscal year ending December 31, 2022.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Ernst &amp; Young LLP for the audit of our annual consolidated financial statements for the years ended December 31, 2021 and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Billed to Sema4</w:t>
            </w: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 2021</w:t>
            </w:r>
          </w:p>
        </w:tc>
        <w:tc>
          <w:tcPr>
            <w:tcW w:w="180" w:type="dxa"/>
            <w:vAlign w:val="bottom"/>
          </w:tcPr>
          <w:p>
            <w:pPr>
              <w:spacing w:after="0"/>
              <w:rPr>
                <w:sz w:val="16"/>
                <w:szCs w:val="16"/>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Fiscal Year 2020</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2,766,250</w:t>
            </w: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2,768,851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 fees</w:t>
      </w:r>
      <w:r>
        <w:rPr>
          <w:rFonts w:ascii="Arial" w:cs="Arial" w:eastAsia="Arial" w:hAnsi="Arial"/>
          <w:sz w:val="14"/>
          <w:szCs w:val="14"/>
          <w:color w:val="auto"/>
        </w:rPr>
        <w:t>” 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the SPAC merger transaction and subsequent SEC filings including registration statements.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Audit-related fees</w:t>
      </w:r>
      <w:r>
        <w:rPr>
          <w:rFonts w:ascii="Arial" w:cs="Arial" w:eastAsia="Arial" w:hAnsi="Arial"/>
          <w:sz w:val="14"/>
          <w:szCs w:val="14"/>
          <w:color w:val="auto"/>
        </w:rPr>
        <w:t>” include fees related to performing Sema4’s internal control environment assessment.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Tax fees</w:t>
      </w:r>
      <w:r>
        <w:rPr>
          <w:rFonts w:ascii="Arial" w:cs="Arial" w:eastAsia="Arial" w:hAnsi="Arial"/>
          <w:sz w:val="14"/>
          <w:szCs w:val="14"/>
          <w:color w:val="auto"/>
        </w:rPr>
        <w:t>” 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“All other fees” include fees for services other than the services described in the above three categories, principally comprised of support services.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AUDITOR RATIFICATION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ADJOURNMENT PROPOSAL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any of the proposals presented at the Special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any of the proposals presented at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ADJOURNMENT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right="1920"/>
        <w:spacing w:after="0" w:line="464" w:lineRule="auto"/>
        <w:rPr>
          <w:sz w:val="20"/>
          <w:szCs w:val="20"/>
          <w:color w:val="auto"/>
        </w:rPr>
      </w:pPr>
      <w:r>
        <w:rPr>
          <w:rFonts w:ascii="Arial" w:cs="Arial" w:eastAsia="Arial" w:hAnsi="Arial"/>
          <w:sz w:val="17"/>
          <w:szCs w:val="17"/>
          <w:color w:val="auto"/>
        </w:rPr>
        <w:t xml:space="preserve">genomics and information platforms, and intend to continue to expand our scale and reach through organic and inorganic growth. </w:t>
      </w:r>
      <w:r>
        <w:rPr>
          <w:rFonts w:ascii="Arial" w:cs="Arial" w:eastAsia="Arial" w:hAnsi="Arial"/>
          <w:sz w:val="17"/>
          <w:szCs w:val="17"/>
          <w:b w:val="1"/>
          <w:bCs w:val="1"/>
          <w:i w:val="1"/>
          <w:iCs w:val="1"/>
          <w:color w:val="auto"/>
        </w:rPr>
        <w:t>Our Purpose-Built, Flexible Platforms Address Immediate and Untapped Market Opportunities</w:t>
      </w:r>
    </w:p>
    <w:p>
      <w:pPr>
        <w:jc w:val="both"/>
        <w:ind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understanding of disease and wellness and improve the standard of care through information driven knowledge and understanding. </w:t>
      </w:r>
      <w:r>
        <w:rPr>
          <w:rFonts w:ascii="Arial" w:cs="Arial" w:eastAsia="Arial" w:hAnsi="Arial"/>
          <w:sz w:val="18"/>
          <w:szCs w:val="18"/>
          <w:b w:val="1"/>
          <w:bCs w:val="1"/>
          <w:i w:val="1"/>
          <w:iCs w:val="1"/>
          <w:color w:val="auto"/>
        </w:rPr>
        <w:t>Provider Engagement Technologies: Our Next Generation Tools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Collect and Manage Rich, Longitudinal Data Built from Diverse Sources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6"/>
          <w:szCs w:val="16"/>
          <w:i w:val="1"/>
          <w:iCs w:val="1"/>
          <w:color w:val="auto"/>
        </w:rPr>
        <w:t>Certain Relationships and Related Party Transactions—Related Party Transactions—Sema4</w:t>
      </w:r>
      <w:r>
        <w:rPr>
          <w:rFonts w:ascii="Arial" w:cs="Arial" w:eastAsia="Arial" w:hAnsi="Arial"/>
          <w:sz w:val="16"/>
          <w:szCs w:val="16"/>
          <w:color w:val="auto"/>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Payer Relations Strategy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 in their system. In addition to our deep relationship with Mount Sinai, we have contracted to deploy Centrellis in additional health systems, which we expect will expand our impact and reach.</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Biopharma Solutions Engage and Enable Our Partners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health system relationships and information-driven diagnostics solutions, combined with our powerful analytics capabilities and software solutions.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 obesity, and Alzheimer’s disease. Under the leadership of our CEO,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management organizations, or reimbursed by government health administration authorities, such as Medicare and Medicaid and private health insurers.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or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our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we are currently approved for testing samples from New York. We are subject to periodic inspection by the NYDOH and we are required to demonstrate ongoing compliance with NYDOH regulations and standards.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such requirements, or if we are contacted by any other state advising us of such requirements, we intend to follow instructions from the state regulators as to how we should comply with such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obtain FDA premarket approval, or PMA, for some of our tests including its matched whole exome sequencing, or WES, and whole transcriptome sequencing, or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 requirements for the CSF v9.4 Risk-based, 2-year (r2) certification criteria for our Centrellis Platform, for hosting and curating Patient data.</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that do not comply with the electronic data transmission standards established under HIPAA and HITECH, payments to us may be delayed or denied.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through licensure proceedings. Typically, such laws are only applicable to entities that have a physical presence in the 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 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we are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We comply with the CAN-SPAM Act in connection with our transmittal of commercial electronic mail messages, or Commercial Email Messages. Commercial Email Messages do not include emails that are informational or are transactional or relationship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PHI under HIPAA nor patient information that we maintain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 or individual exposure to hazardous substances occur. We cannot predict how changes in laws or new regulations will affect our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ind w:right="1260"/>
        <w:spacing w:after="0" w:line="438" w:lineRule="auto"/>
        <w:rPr>
          <w:sz w:val="20"/>
          <w:szCs w:val="20"/>
          <w:color w:val="auto"/>
        </w:rPr>
      </w:pPr>
      <w:r>
        <w:rPr>
          <w:rFonts w:ascii="Arial" w:cs="Arial" w:eastAsia="Arial" w:hAnsi="Arial"/>
          <w:sz w:val="18"/>
          <w:szCs w:val="18"/>
          <w:color w:val="auto"/>
        </w:rPr>
        <w:t xml:space="preserve">reconfiguring, or revalidating the equipment and reagents we require for our tests, our business and reputation could be adversely affected. </w:t>
      </w:r>
      <w:r>
        <w:rPr>
          <w:rFonts w:ascii="Arial" w:cs="Arial" w:eastAsia="Arial" w:hAnsi="Arial"/>
          <w:sz w:val="18"/>
          <w:szCs w:val="18"/>
          <w:b w:val="1"/>
          <w:bCs w:val="1"/>
          <w:color w:val="auto"/>
        </w:rPr>
        <w:t>Customers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 approximately 500 employees in that timeframe, as a part of scaling our operations in connection with our transition to a public company and meeting our strategic priorities.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 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institutional policies and federal, state, and local laws and regulations. We have implemented various committees, councils and boards such as the Diversity</w:t>
      </w:r>
    </w:p>
    <w:p>
      <w:pPr>
        <w:spacing w:after="0" w:line="46" w:lineRule="exact"/>
        <w:rPr>
          <w:sz w:val="20"/>
          <w:szCs w:val="20"/>
          <w:color w:val="auto"/>
        </w:rPr>
      </w:pPr>
    </w:p>
    <w:p>
      <w:pPr>
        <w:jc w:val="both"/>
        <w:ind w:firstLine="8"/>
        <w:spacing w:after="0" w:line="253" w:lineRule="auto"/>
        <w:tabs>
          <w:tab w:leader="none" w:pos="19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SEMA4</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32">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proxy statement.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8" w:lineRule="exact"/>
        <w:rPr>
          <w:sz w:val="20"/>
          <w:szCs w:val="20"/>
          <w:color w:val="auto"/>
        </w:rPr>
      </w:pPr>
    </w:p>
    <w:p>
      <w:pPr>
        <w:ind w:right="320" w:firstLine="324"/>
        <w:spacing w:after="0" w:line="438"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2022, we and our wholly-owned subsidiaries, Orion Merger Sub I, Inc., or Merger Sub I, and Orion Merger Sub II, LLC, or Merger Sub II, entered into an Agreement and Plan of Merger and Reorganization,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Agreement, with GeneDx, Inc., a New Jersey corporation, or GeneDx, and a wholly-owned subsidiary of OPKO Health, Inc., or OPKO, GeneDx Holding 2, Inc., or Holdco, and OPKO to acquire 100% of GeneDx. Subject to the terms and conditions of the Merger Agreement, we will pay consideration to OPKO for the Acquisition of (i) $150 million in cash at the closing of the Acquisition, subject to certain 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completion of the Acquisition is subject to a number of closing conditions (which, as of the date of this proxy statement,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Concurrently with the execution of the Merger Agreement, we entered into the Subscription Agreements with the PIPE Investors. The PIPE Investment will be consummated substantially concurrently with the closing of the Acquisition.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revenue from providing diagnostic testing and related data aggregation reporting services under both short-term and long-term project-based collaboration service agreements with third parties. The terms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generally include non-refundable upfront payments, which we record as contract liabilities, and variable payments based upon the achievement of certain milestones during the contract term.</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Related party expenses primarily consist of amounts incurred in connection with transactions occurred with ISMMS for expenses under our transition services agreement, or TSA, with ISMMS which expired at the end of the first quarter of 2021, and other service agreements. Additional information can be found in our consolidated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elsewhere in this proxy statement.</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information included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1"/>
              </w:rPr>
              <w:t>2020 to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during the year ended December 31, 2020, compared to the year ended December 31, 2021 (with COVID-19 test volumes growing 26% year over year) .</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175,296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53,501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63,183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49,555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86"/>
              </w:rPr>
              <w:t>105,246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0"/>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(427)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2,492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2020 (Restated)</w:t>
            </w:r>
          </w:p>
        </w:tc>
        <w:tc>
          <w:tcPr>
            <w:tcW w:w="420" w:type="dxa"/>
            <w:vAlign w:val="bottom"/>
          </w:tcPr>
          <w:p>
            <w:pPr>
              <w:spacing w:after="0"/>
              <w:rPr>
                <w:sz w:val="14"/>
                <w:szCs w:val="14"/>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09"/>
        </w:trPr>
        <w:tc>
          <w:tcPr>
            <w:tcW w:w="5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vMerge w:val="restart"/>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5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 to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61,907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top w:val="single" w:sz="8" w:color="auto"/>
              <w:bottom w:val="single" w:sz="8" w:color="auto"/>
            </w:tcBorders>
          </w:tcPr>
          <w:p>
            <w:pPr>
              <w:spacing w:after="0"/>
              <w:rPr>
                <w:sz w:val="17"/>
                <w:szCs w:val="17"/>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37,790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23,831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4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71,258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(482)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1,691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2,118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measures to their most directly comparable GAAP financial measures, and not to rely on any single financial measure to evaluate our business.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(Restated)</w:t>
            </w:r>
          </w:p>
        </w:tc>
        <w:tc>
          <w:tcPr>
            <w:tcW w:w="320" w:type="dxa"/>
            <w:vAlign w:val="bottom"/>
          </w:tcPr>
          <w:p>
            <w:pPr>
              <w:spacing w:after="0"/>
              <w:rPr>
                <w:sz w:val="9"/>
                <w:szCs w:val="9"/>
                <w:color w:val="auto"/>
              </w:rPr>
            </w:pPr>
          </w:p>
        </w:tc>
        <w:tc>
          <w:tcPr>
            <w:tcW w:w="13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78"/>
        </w:trPr>
        <w:tc>
          <w:tcPr>
            <w:tcW w:w="6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our net loss to Adjusted EBITDA for the years ended December 31, 2021, 2020, and 2019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merger agreement for our business combination.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22, 2021, we completed the business combination with CMLS,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Accordingly, the consolidated financial statements included elsewhere in this proxy statement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In particular, if the Acquisition is consummated, we expect to issue 50 million shares of our Class A common stock for an aggregate purchase price equal to $200 million pursuant to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elsewhere within this proxy statement.</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elsewhere within this proxy statement.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7"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Year Ended</w:t>
      </w:r>
    </w:p>
    <w:p>
      <w:pPr>
        <w:jc w:val="center"/>
        <w:ind w:left="63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(93,128)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(18,728)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(20,786)</w:t>
            </w:r>
          </w:p>
        </w:tc>
        <w:tc>
          <w:tcPr>
            <w:tcW w:w="280" w:type="dxa"/>
            <w:vAlign w:val="bottom"/>
          </w:tcPr>
          <w:p>
            <w:pPr>
              <w:spacing w:after="0"/>
              <w:rPr>
                <w:sz w:val="19"/>
                <w:szCs w:val="19"/>
                <w:color w:val="auto"/>
              </w:rPr>
            </w:pPr>
          </w:p>
        </w:tc>
        <w:tc>
          <w:tcPr>
            <w:tcW w:w="1380" w:type="dxa"/>
            <w:vAlign w:val="bottom"/>
          </w:tcPr>
          <w:p>
            <w:pPr>
              <w:ind w:left="700"/>
              <w:spacing w:after="0"/>
              <w:rPr>
                <w:sz w:val="20"/>
                <w:szCs w:val="20"/>
                <w:color w:val="auto"/>
              </w:rPr>
            </w:pPr>
            <w:r>
              <w:rPr>
                <w:rFonts w:ascii="Arial" w:cs="Arial" w:eastAsia="Arial" w:hAnsi="Arial"/>
                <w:sz w:val="18"/>
                <w:szCs w:val="18"/>
                <w:color w:val="auto"/>
                <w:w w:val="98"/>
              </w:rPr>
              <w:t>(31,974)</w:t>
            </w:r>
          </w:p>
        </w:tc>
        <w:tc>
          <w:tcPr>
            <w:tcW w:w="4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(15,456)</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493,729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129,056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148,012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operating activities during the year ended December 31, 2019 was $18.7 million, which was primarily attributable to a net loss of $29.7 million and a net change in our operating assets and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discussion on our accounting policies. We have identified below our accounting policies that we believe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potentially generate materially different results if we were to change underlying assumptions, estimates and/or judgments. Although actual results may differ from those estimates, we believe the estimates are reasonable and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including not being required to comply with the auditor attestation requirements of Section 404(b) of the Sarbanes-Oxley Act.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elsewhere in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 Goodwill and Other – Internal-Use Software; and the application of ASC 840, Leases, ASC 340-40, Contracts with Customers and SEC Regulation S-X Article 5.</w:t>
      </w:r>
    </w:p>
    <w:p>
      <w:pPr>
        <w:spacing w:after="0" w:line="13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ind w:right="1300" w:firstLine="648"/>
        <w:spacing w:after="0" w:line="438" w:lineRule="auto"/>
        <w:rPr>
          <w:sz w:val="20"/>
          <w:szCs w:val="20"/>
          <w:color w:val="auto"/>
        </w:rPr>
      </w:pPr>
      <w:r>
        <w:rPr>
          <w:rFonts w:ascii="Arial" w:cs="Arial" w:eastAsia="Arial" w:hAnsi="Arial"/>
          <w:sz w:val="18"/>
          <w:szCs w:val="18"/>
          <w:color w:val="auto"/>
        </w:rPr>
        <w:t xml:space="preserve">accounting policies, processes and controls related to complex transactions necessary for an effective financial reporting process. </w:t>
      </w:r>
      <w:r>
        <w:rPr>
          <w:rFonts w:ascii="Arial" w:cs="Arial" w:eastAsia="Arial" w:hAnsi="Arial"/>
          <w:sz w:val="18"/>
          <w:szCs w:val="18"/>
          <w:b w:val="1"/>
          <w:bCs w:val="1"/>
          <w:i w:val="1"/>
          <w:iCs w:val="1"/>
          <w:color w:val="auto"/>
        </w:rPr>
        <w:t>Remediation Plan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We engaged outside consultants to assist us in the evaluation of our Enterprise Resource Planning (“</w:t>
      </w:r>
      <w:r>
        <w:rPr>
          <w:rFonts w:ascii="Arial" w:cs="Arial" w:eastAsia="Arial" w:hAnsi="Arial"/>
          <w:sz w:val="17"/>
          <w:szCs w:val="17"/>
          <w:i w:val="1"/>
          <w:iCs w:val="1"/>
          <w:color w:val="auto"/>
        </w:rPr>
        <w:t>ERP</w:t>
      </w:r>
      <w:r>
        <w:rPr>
          <w:rFonts w:ascii="Arial" w:cs="Arial" w:eastAsia="Arial" w:hAnsi="Arial"/>
          <w:sz w:val="17"/>
          <w:szCs w:val="17"/>
          <w:color w:val="auto"/>
        </w:rPr>
        <w:t>”) system in order to mitigate the internal control gaps and limitations with the current configuration, and to enhance the information technology general controls environment.</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BUSINESS OF GENEDX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this section, “GeneDx” or “we”, “us” and “our” refer to GeneDx, Inc. unless specifically stated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 With one of the most sophisticated datasets of genomic information, we are able to identify new disease-causing genes, advancing the field of medicine through the detection, discovery, and diagnosis of genetic diseases.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operate with the conviction that what is best for our customers (patients, their families and the clinicians, payers and partners who serve them) must be embedded in every aspect of our work. We believe that:</w:t>
      </w:r>
    </w:p>
    <w:p>
      <w:pPr>
        <w:spacing w:after="0" w:line="116" w:lineRule="exact"/>
        <w:rPr>
          <w:sz w:val="20"/>
          <w:szCs w:val="20"/>
          <w:color w:val="auto"/>
        </w:rPr>
      </w:pPr>
    </w:p>
    <w:p>
      <w:pPr>
        <w:ind w:left="6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genomic information has broad utility, and every person should have access to their genome—delivered expertly, ethically and responsibly—to guide health decisions throughout life;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transition from hypothesis-based to genome-guided healthcare will improve outcomes for patients and the healthcare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genomics will radically transform therapeutic development, bringing better therapies to patients, faster;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patients should control and have the ability to direct the use of their genomic information to benefit both themselves and advance scientific understanding that helps others.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support of these beliefs, we value:</w:t>
      </w:r>
    </w:p>
    <w:p>
      <w:pPr>
        <w:spacing w:after="0" w:line="167"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the right of all to have access to information that may improve their health;</w:t>
      </w:r>
    </w:p>
    <w:p>
      <w:pPr>
        <w:spacing w:after="0" w:line="17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Simplicity: </w:t>
      </w:r>
      <w:r>
        <w:rPr>
          <w:rFonts w:ascii="Arial" w:cs="Arial" w:eastAsia="Arial" w:hAnsi="Arial"/>
          <w:sz w:val="18"/>
          <w:szCs w:val="18"/>
          <w:color w:val="auto"/>
        </w:rPr>
        <w:t>healthcare is complicated. Genetic information is complex. Our job is to make it as simple as possible to access an answer that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improves health outcomes. We value the understanding simplicity creates; and</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Transparency: </w:t>
      </w:r>
      <w:r>
        <w:rPr>
          <w:rFonts w:ascii="Arial" w:cs="Arial" w:eastAsia="Arial" w:hAnsi="Arial"/>
          <w:sz w:val="18"/>
          <w:szCs w:val="18"/>
          <w:color w:val="auto"/>
        </w:rPr>
        <w:t>transparency and accountability for ourselves and our partners to safeguard the confidence and trust of patients,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this value system, we aim to revolutionize healthcare and change lives by unlocking the answers from within, applying genomics to bring better health to patients around the world.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GeneDx’s Genomic Testing</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patients present with complex issues, a genetic diagnosis may be possible, but a traditional genetic panel test may be too narrow to identify the cause. The human genome is composed of three billion “letters”, or base pairs, of DNA. The exome is the portion of the genome that encodes for proteins, the molecular machines that allow cells to function. Changes in the genome and exome can cause many different diseases.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Some genetic disorders present with very specific symptoms; therefore, tests that read the “letters” of a single gene or a small panel of genes, may be appropriate. However, for many other genetic diseases, patients can present with overlapping symptoms. Finding the correct diagnosis is not always straight-forward and may require multiple tests, costly evaluations, invasive procedures, and long hospital stays. Exome and genome sequencing may find answers that more targeted genetic tests miss and are especially useful when the timing is critical and test results may direct or alter medical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Founded by scientists from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in 2000, GeneDx has a proven track record of expertise in genetic testing, having launched next generation sequencing panels in 2008, pioneered exome sequencing in 2012 and has now sequenced more than 300,000 exomes to date. We have performed more than one-million genetic tests and have developed the following:</w:t>
      </w:r>
    </w:p>
    <w:p>
      <w:pPr>
        <w:spacing w:after="0" w:line="130"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curated database of disease-associated genomic variants;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proprietary bioinformatics and variant interpretation pipelines;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rapid exome and whole genome sequencing testing options.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current status quo of genetic testing generally requires repeated and fragmented testing, which in many cases, is conducted too late. Additionally, targeted genetic tests and panels have been largely commoditized and may leave physicians, healthcare partners and patients searching for deeper answers and enhanced utility. We believe that the scalable exome and whole genome interpretation that we can deliver at speed, no longer requiring a long, complex, expensive, expert-guided search, has the potential to make most other genetic tests obsolete.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technology with a human touch</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approximately 250 genetic counselors, M.D./Ph.D. scientists, and clinical and molecular genomics specialists, we believe that GeneDx is the industry’s leading genetic testing expert.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years of exome sequencing experience provides an enormous phenotyped clinical genomic dataset, including more than 2.1 million structured phenotypes with 60% as parent-child trios. Of particular importance, we have invested resources over time to annotate the phenotypes and sequence the parents, because they improve the diagnostic outcome of each case but also because that data improves the interpretation of future cases. We now have nearly twice as many expertly annotated disease-causing variants as the largest public resource, ClinVar, across more genes, which we have built over the course of a decade of clinical work.</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Internally developed with over one-million sequenced specimens, we believe that our database leads to more and more reliable diagnostic test results. Combined with our proprietary, state-of-the-art variant identification software, we believe that our ability to deliver highly accurate test results makes finding definitive diagnoses, even in complex cases, possible. As the number of new patients we test increases, so does our database and as new data increases, so does the potential for greater insights. By comparing new cases against the data from previous cases, we may eventually confirm whether a genetic variant is significant. Once new findings are identified, we aim to proactively reach out to healthcare providers and offer to reanalyze their patients’ previous results. Over time, we expect to fully automate this reanalysis process in a convenient, easy to understand, frictionless method. Implemented with expert oversight, our advanced interpretation methods incorporate automation, bioinformatics, and machine learning, enabling efficient discovery of genetic differences at previously undetectable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GeneDx’s Strategy to Lead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Leveraging these capabilities, we aim to be the global market leader in the development and delivery of reliable, actionable, scalable exome and genome sequencing, and related interpretation and information services. GeneDx’s strategy focuses on the following initiatives:</w:t>
      </w:r>
    </w:p>
    <w:p>
      <w:pPr>
        <w:spacing w:after="0" w:line="116"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expanding the utilization of exome and genome sequencing as the first- or second-tier test over most other germline tests among genetics experts;</w:t>
      </w:r>
    </w:p>
    <w:p>
      <w:pPr>
        <w:spacing w:after="0" w:line="194"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expanding the utilization of industry-leading exome and genome sequencing beyond the experts into the non-expert space globally, creating a new standard of care that enables faster diagnoses, reduces suffering, and helps healthcare systems save money. In the near term, we expect that our principal target markets will be settings with the most vulnerable patients who can benefit the most including, but not limited to, NICU and Pediatric Developmental Disorders;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opening new markets and geographies and unlocking the value of our dataset with independently scalable cloud-base interpretation and information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Market Opportunity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Targeted genetic tests and panel testing currently make up the overwhelming majority of medical diagnostics tests ordered today, and GeneDx offers such targeted genetics tests and panel testing. They require that clinicians know what they are looking for and how to find the test that could identify it. The foregoing is hypothesis-based medicine. We firmly believe that affordable, scalable and actionable genomic testing is the future of medicine, in which we sequence once, query often. The barrier to that affordable genome is very high—and not just due to sequencing costs—which are coming down. The less-discussed barrier lies in the ability to process a genome’s wealth of information—quickly, scalably—and deliver a result on which a clinician can easily act to help a patient.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panel testing can be valuable, it has an inherent limitation as we move toward genetic-based care. Panels can lead to incomprehensive results and an inefficient process. Exome and whole genome testing provide the broadest view into the genome, as such testing can examine all 20,000 genes, whereas panels look at anywhere from two to a few hundred genes. While many of our competitors have grown through a focus on panels, we have focused on exome and whole genome sequencing, developing structured gene-disease knowledge curated by a group of experts to power automated interpretation and reporting.</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From a business perspective, the genetic testing industry is highly fragmented: there are dozens of market participants, most of which are tackling the same problem test-by-test with thousands of panels across dozens of clinical areas. It is highly inefficient. But what we are all striving for is the consolidation of the space—who can provide all the answers, and create one test that obviates the need for most others.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its panel testing business, GeneDx intends to grow primarily by expanding its current market-leading exome position through commercial expansion of its current offerings in the NICU and PP/ID setting, as well as introducing interpretation and information services to clinicians, researchers and biopharmaceutical partners.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Over the long term, GeneDx intends to transform its industry-leading exome into whole genome testing, supported with the launch of a new customer experience platform for non-geneticists, patients and caregivers and evidence generation to establish the clinical and economic benefits of screening.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Seasonality</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GeneDx receives payment for its products and services from business-to-business clients, third-party payers, patients and from other healthcare partners. Substantially all of its revenue for the year ended December 31, 2021 was primarily derived from diagnostic test reports. We expect over time to achieve a mix of diagnostic test revenue, revenue from screening products and information and interpretation services.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Less than five percent of GeneDx’s revenues for the year ended December 31, 2021 were derived from referral sources outside of the United States; however, we expect that, over time, the mix of U.S. vs. rest of world revenue will draw closer to parity.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GeneDx has historically experienced higher revenue in its fourth quarter compared to the first three quarters of the calendar year due in part to seasonal demand for its tests from patients who have met their annual insurance deductibles.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GeneDx’s competitors include companies that offer molecular genetic testing and consulting services, including specialty and reference laboratories that offer traditional single- and multi-gene tests, as well as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GeneDx’s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companies such as Exact Sciences, Invitae, Guardant Health, Myriad, Natera, Neogenomics, Personalis, and Prevention Genetics, as well as other commercial and academic labs.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 Corporate Office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GeneDx’s corporate office and the location of its 90,000 square-foot laboratory is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 is currently an indirect, wholly-owned subsidiary of OPKO Health, Inc., and there is no established public trading market for any of GeneDx’s securities. Following the consummation of the Acquisition, GeneDx will become an indirect, wholly-owned subsidiary of Sema4. GeneDx has never paid cash dividends on its outstanding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ind w:right="420" w:firstLine="410"/>
        <w:spacing w:after="0" w:line="440"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GENEDX Factors Affecting Our Performance</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for more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for The Years Ended December 31,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371"/>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Revenue from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141,873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24,117</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from services increased $21.9 million, or 23%, to $116.6 million for the year ended December 31, 2021, from $94.7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The increase was primarily attributable to the following components:</w:t>
      </w:r>
    </w:p>
    <w:p>
      <w:pPr>
        <w:spacing w:after="0" w:line="116"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resulted test volumes of 146,982 increased 33% from 110,478 in 2020;</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exome and whole genome sequencing (WGS) revenue increased $22.5 million, resulting from a 45% increase in resulted test volumes partially offset by a decrease of $11.2 million from reduced test reimbursement resulting from a shift in overall payor mix towards third party and government payers;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non-exome, non-WGS revenue increased $14.0 million from a 30% increase in test resulted volumes, which was partially offset by a decrease of $4.6 million from reduced test reimbursement resulting from increased commoditization and increased denial rates;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biopharma and data services revenue increased $0.6 million; and</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estimated collection amounts are subject to the complexities and ambiguities of billing, reimbursement regulations and claims processing, as well as considerations unique to Medicare and Medicaid programs, and require us to consider the potential for retroactive adjustments when estimating variable consideration in the recognition of revenue in the period the related services are rendered. For the years ended December 31, 2021 and 2020, we recognized revenue reductions due to changes in estimates of implicit price concessions for performance obligations satisfied in prior periods of $4.2 million and $4.8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revenue consisted of $0.3 million for the year ended December 31, 2020 from funds distributed to healthcare providers for related expenses or lost revenues that are attributable to the COVID-19 pandemic. No such amounts were received in 2021.</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increased $10.0 million, or 13%, to $84.4 million for the year ended December 31, 2021, from $74.4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2020. The increase was primarily attributable to the following components: increased reagent, supply and specimen collection costs of $8.4 million; an increase of $5.5 million in personnel-related expenses driven by increased testing volumes; increased depreciation and amortization of $0.9 million; and an increase in shared-based compensation of $0.2 million, partially offset by a discrete benefit of $5.5 million upon receipt of a multi-year sales &amp; use tax refund from the State of Maryland. Our cost per patient encounter (on the basis of laboratory accessions in the period), inclusive of all volumes, improved 9% in 2021 compared to the year ended December 31, 2020.</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$10.9 million, or 26%, to $52.4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2021, from $41.6 million for the year ended December 31, 2020. Selling, general and administrative expenses increased primarily due to the following components: increased information-technology related and other third party professional fees and license costs of $4.2 million to support the implementation of our expansion of various enterprise systems and other enablement technologies; increased sales and marketing personnel cost of $2.2 million; higher human resource, talent acquisition and onboarding costs of $1.7 to support expansions in our workforce; an increase of $1.2 million in non-cash share-based expense; $0.7 million related to professional fees in connection with the potential separation of GeneDx from OPKO; and $0.4 million increased facility costs, partially offset by $0.5 million lower billing cost.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following table summarizes the components of our 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Research and Development Expenses</w:t>
            </w: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employee-related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internal research and development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increased $3.3 million, or 36%, to $12.4 million for the year ended December 31, 2021 from $9.1 million for the year ended December 31, 2020 primarily due to increase personnel-related costs due to increased headcount across laboratory automation and robotics, bioinformatics and data research &amp; development activities, as well as an increase of $0.2 million in share-based compensation expense.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Amortization of intangible assets was $16.8 million for both the years ended December 31, 2021 and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reflects the amortization of acquired intangible assets with defined useful lives.</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Income tax benefit</w:t>
      </w:r>
      <w:r>
        <w:rPr>
          <w:rFonts w:ascii="Arial" w:cs="Arial" w:eastAsia="Arial" w:hAnsi="Arial"/>
          <w:sz w:val="18"/>
          <w:szCs w:val="18"/>
          <w:color w:val="auto"/>
        </w:rPr>
        <w:t>. Our income tax benefit for the years ended December 31, 2021 and 2020 was $12.5 million and $12.0 million,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results using our expected effective tax rate. For the year ended December 31, 2020, the tax rate differed from the U.S. federal statutory rate of 21% primarily due to the impact of certain discrete tax events and the difference in state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we had cash and cash equivalents of approximately $144 thousand.</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operations for the year ended December 31, 2021 was $22.9 million primarily attributable to our net loss of $36.9 million and the net change in deferred income taxes of $12.6 million partially offset by non-cash depreciation and amortization expense of $21.9 million. Net cash used in operations for the year ended December 31, 2020 was $11.9 million primarily attributable to our net loss of $34.9 million and the net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of $12.2 million partially offset by non-cash depreciation and amortization expense of $20.9 million.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years ended December 31, 2021 and December 31, 2020 primarily reflects capital expenditures of $13.0 million and $9.8 million, respectively, predominantly related to the expansion and improvement to our newly outfitted 90,000 square-foot laboratory and to purchases of additional next generation sequencing equipment.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and December 31, 2020 includes equity contributions from BioReference Laboratories, Inc. (“</w:t>
      </w:r>
      <w:r>
        <w:rPr>
          <w:rFonts w:ascii="Arial" w:cs="Arial" w:eastAsia="Arial" w:hAnsi="Arial"/>
          <w:sz w:val="18"/>
          <w:szCs w:val="18"/>
          <w:i w:val="1"/>
          <w:iCs w:val="1"/>
          <w:color w:val="auto"/>
        </w:rPr>
        <w:t>BioReference”</w:t>
      </w:r>
      <w:r>
        <w:rPr>
          <w:rFonts w:ascii="Arial" w:cs="Arial" w:eastAsia="Arial" w:hAnsi="Arial"/>
          <w:sz w:val="18"/>
          <w:szCs w:val="18"/>
          <w:color w:val="auto"/>
        </w:rPr>
        <w:t>), our direct party company, of $35.9 million and $21.3 million, respectively, to fund operations. We have not generated sustained positive cash flow sufficient to offset our operating and other expenses.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November 2015, BioReference and certain of its subsidiaries, including GeneDx, entered into a credit agreement with JPMorgan Chase Bank, N.A. (“</w:t>
      </w:r>
      <w:r>
        <w:rPr>
          <w:rFonts w:ascii="Arial" w:cs="Arial" w:eastAsia="Arial" w:hAnsi="Arial"/>
          <w:sz w:val="17"/>
          <w:szCs w:val="17"/>
          <w:i w:val="1"/>
          <w:iCs w:val="1"/>
          <w:color w:val="auto"/>
        </w:rPr>
        <w:t>CB</w:t>
      </w:r>
      <w:r>
        <w:rPr>
          <w:rFonts w:ascii="Arial" w:cs="Arial" w:eastAsia="Arial" w:hAnsi="Arial"/>
          <w:sz w:val="17"/>
          <w:szCs w:val="17"/>
          <w:color w:val="auto"/>
        </w:rPr>
        <w:t>”),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BioReference’s domestic subsidiaries. The A&amp;R Credit Agreement is also secured by substantially all assets of BioReference and its domestic subsidiaries, as well as a non-recourse pledge by BioReference’s partent company of its equity interest in BioReference. Availability under the A&amp;R Credit Agreement is based on a borrowing base composed of BioReference’s eligible accounts receivables, which includes GeneDx, as specified therein. As of December 31, 2021, $64.8 million remained available for borrowing under the A&amp;A Credit Agreement.</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the cash and cash equivalents on hand as of December 31, 2021, cash from operations and the amounts available to be borrowed under the A&amp;R Credit Agreement are sufficient to meet our anticipated cash requirements for operations and debt service beyond the next 12 months. We based this estimate on assumptions that may prove to be wrong or are subject to change, and we may be required to use our available cash resources sooner than we currently expect. If we acquire additional assets or companies, we will need additional funds. Our future cash requirements, and the timing of those requirements, will depend on a number of factors, including the potential for funds to be available upon closing of the acquisition of GeneDx by Sema4 Holdings Corp., which announced in January 2022 that it executed an Agreement and Plan of Merger and Reorganization with GeneDx, and its parent company, the availability of financing, payor claims, and legal proceedings that may arise, including, without limitation class action and derivative litigation to which we are subject, and our ability to obtain insurance coverage for such claims. We have not generated sustained positive cash flow and if we are not able to secure additional funding when needed, we may have to reduce our marketing or sales efforts or 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2021, with respect to the amounts and timing of our known contractual obligation payments due by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Thereafter</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Open purchase orders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w:t>
            </w:r>
          </w:p>
        </w:tc>
      </w:tr>
      <w:tr>
        <w:trPr>
          <w:trHeight w:val="22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We are subject to general economic and political conditions such as recessions, wage and input cost inflation, governmental COVID-19 shut down mandates as a result of the pandemic and, potential acts of war or terrorism. We are not exposed to material market or interest rate risk in the ordinary course of our business given our limited cash position and no outstanding debt as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16"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Eric Schadt, Ph.D.,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gridSpan w:val="2"/>
          </w:tcPr>
          <w:p>
            <w:pPr>
              <w:ind w:left="380"/>
              <w:spacing w:after="0" w:line="159" w:lineRule="exact"/>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Compensation ($)</w:t>
            </w:r>
            <w:r>
              <w:rPr>
                <w:rFonts w:ascii="Arial" w:cs="Arial" w:eastAsia="Arial" w:hAnsi="Arial"/>
                <w:sz w:val="18"/>
                <w:szCs w:val="18"/>
                <w:b w:val="1"/>
                <w:bCs w:val="1"/>
                <w:color w:val="auto"/>
                <w:w w:val="93"/>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8"/>
        </w:trPr>
        <w:tc>
          <w:tcPr>
            <w:tcW w:w="3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 xml:space="preserve">Eric Schadt, Ph.D. </w:t>
            </w:r>
            <w:r>
              <w:rPr>
                <w:rFonts w:ascii="Arial" w:cs="Arial" w:eastAsia="Arial" w:hAnsi="Arial"/>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513,000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10,699,239</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3,867,064</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15,770,836</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Director</w:t>
            </w: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1,770,474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2,968,076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Isaac Ro</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353,846</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2,633,103</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11,040,064</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530,397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180,370</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3,155,535</w:t>
            </w:r>
          </w:p>
        </w:tc>
        <w:tc>
          <w:tcPr>
            <w:tcW w:w="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1,104,874</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4,988,576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i w:val="1"/>
                <w:iCs w:val="1"/>
                <w:color w:val="auto"/>
              </w:rPr>
              <w:t>Former President and Chief Operating Officer</w:t>
            </w:r>
            <w:r>
              <w:rPr>
                <w:rFonts w:ascii="Arial" w:cs="Arial" w:eastAsia="Arial" w:hAnsi="Arial"/>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1,521,973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jc w:val="both"/>
        <w:ind w:left="34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proxy statement. In determining the total value of the equity awards, we have considered all grants issued during the year as earned by the respective executive officers.</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0"/>
              <w:spacing w:after="0" w:line="160"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Shares or Units of</w:t>
            </w: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or Units of Stock</w:t>
            </w:r>
          </w:p>
        </w:tc>
        <w:tc>
          <w:tcPr>
            <w:tcW w:w="12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Stock That Have</w:t>
            </w: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Unexercised Options</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Expiration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That Have Not</w:t>
            </w:r>
          </w:p>
        </w:tc>
        <w:tc>
          <w:tcPr>
            <w:tcW w:w="100" w:type="dxa"/>
            <w:vAlign w:val="bottom"/>
          </w:tcPr>
          <w:p>
            <w:pPr>
              <w:spacing w:after="0"/>
              <w:rPr>
                <w:sz w:val="14"/>
                <w:szCs w:val="14"/>
                <w:color w:val="auto"/>
              </w:rPr>
            </w:pPr>
          </w:p>
        </w:tc>
        <w:tc>
          <w:tcPr>
            <w:tcW w:w="1100" w:type="dxa"/>
            <w:vAlign w:val="bottom"/>
          </w:tcPr>
          <w:p>
            <w:pPr>
              <w:jc w:val="center"/>
              <w:ind w:right="20"/>
              <w:spacing w:after="0" w:line="165" w:lineRule="exact"/>
              <w:rPr>
                <w:sz w:val="20"/>
                <w:szCs w:val="20"/>
                <w:color w:val="auto"/>
              </w:rPr>
            </w:pPr>
            <w:r>
              <w:rPr>
                <w:rFonts w:ascii="Arial" w:cs="Arial" w:eastAsia="Arial" w:hAnsi="Arial"/>
                <w:sz w:val="14"/>
                <w:szCs w:val="14"/>
                <w:b w:val="1"/>
                <w:bCs w:val="1"/>
                <w:color w:val="auto"/>
                <w:w w:val="89"/>
              </w:rPr>
              <w:t>Not Vested ($)</w:t>
            </w:r>
            <w:r>
              <w:rPr>
                <w:rFonts w:ascii="Arial" w:cs="Arial" w:eastAsia="Arial" w:hAnsi="Arial"/>
                <w:sz w:val="18"/>
                <w:szCs w:val="18"/>
                <w:b w:val="1"/>
                <w:bCs w:val="1"/>
                <w:color w:val="auto"/>
                <w:w w:val="89"/>
                <w:vertAlign w:val="superscript"/>
              </w:rPr>
              <w:t>(*)</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Unexercisable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Date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Vested (#)</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1"/>
                <w:szCs w:val="21"/>
                <w:color w:val="auto"/>
                <w:vertAlign w:val="superscript"/>
              </w:rPr>
              <w:t>(2)</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1"/>
                <w:szCs w:val="21"/>
                <w:color w:val="auto"/>
                <w:vertAlign w:val="superscript"/>
              </w:rPr>
              <w:t>(3)</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00" w:type="dxa"/>
            <w:vAlign w:val="bottom"/>
          </w:tcPr>
          <w:p>
            <w:pPr>
              <w:ind w:left="20"/>
              <w:spacing w:after="0"/>
              <w:rPr>
                <w:sz w:val="20"/>
                <w:szCs w:val="20"/>
                <w:color w:val="auto"/>
              </w:rPr>
            </w:pPr>
            <w:r>
              <w:rPr>
                <w:rFonts w:ascii="Arial" w:cs="Arial" w:eastAsia="Arial" w:hAnsi="Arial"/>
                <w:sz w:val="16"/>
                <w:szCs w:val="16"/>
                <w:color w:val="auto"/>
              </w:rPr>
              <w:t>Isaac Ro</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470,197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812,500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197,848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3"/>
        </w:trPr>
        <w:tc>
          <w:tcPr>
            <w:tcW w:w="200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4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1"/>
                <w:szCs w:val="21"/>
                <w:color w:val="auto"/>
                <w:vertAlign w:val="superscript"/>
              </w:rPr>
              <w:t>(12)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spacing w:after="0" w:line="1" w:lineRule="exact"/>
        <w:rPr>
          <w:sz w:val="20"/>
          <w:szCs w:val="20"/>
          <w:color w:val="auto"/>
        </w:rPr>
      </w:pPr>
    </w:p>
    <w:p>
      <w:pPr>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1240"/>
          </w:cols>
          <w:pgMar w:left="320" w:top="1440" w:right="339" w:bottom="0" w:gutter="0" w:footer="0" w:header="0"/>
          <w:type w:val="continuous"/>
        </w:sectPr>
      </w:pPr>
    </w:p>
    <w:bookmarkStart w:id="223" w:name="page224"/>
    <w:bookmarkEnd w:id="2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spacing w:after="0" w:line="139" w:lineRule="exact"/>
        <w:rPr>
          <w:sz w:val="20"/>
          <w:szCs w:val="20"/>
          <w:color w:val="auto"/>
        </w:rPr>
      </w:pPr>
    </w:p>
    <w:p>
      <w:pPr>
        <w:ind w:left="340"/>
        <w:spacing w:after="0" w:line="250" w:lineRule="auto"/>
        <w:rPr>
          <w:sz w:val="20"/>
          <w:szCs w:val="20"/>
          <w:color w:val="auto"/>
        </w:rPr>
      </w:pPr>
      <w:r>
        <w:rPr>
          <w:rFonts w:ascii="Arial" w:cs="Arial" w:eastAsia="Arial" w:hAnsi="Arial"/>
          <w:sz w:val="14"/>
          <w:szCs w:val="14"/>
          <w:color w:val="auto"/>
        </w:rPr>
        <w:t>of the RSUs, and will be satisfied with respect to the remainder of the RSUs over five semi-annual periods, subject to the officer’s continued service to us on each service-based vesting date.</w:t>
      </w:r>
    </w:p>
    <w:p>
      <w:pPr>
        <w:spacing w:after="0" w:line="1" w:lineRule="exact"/>
        <w:rPr>
          <w:sz w:val="20"/>
          <w:szCs w:val="20"/>
          <w:color w:val="auto"/>
        </w:rPr>
      </w:pPr>
    </w:p>
    <w:p>
      <w:pPr>
        <w:jc w:val="both"/>
        <w:ind w:left="340" w:hanging="332"/>
        <w:spacing w:after="0" w:line="241" w:lineRule="auto"/>
        <w:tabs>
          <w:tab w:leader="none" w:pos="332"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jc w:val="both"/>
        <w:ind w:left="340" w:hanging="332"/>
        <w:spacing w:after="0" w:line="241" w:lineRule="auto"/>
        <w:tabs>
          <w:tab w:leader="none" w:pos="33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r>
        <w:rPr>
          <w:rFonts w:ascii="Arial" w:cs="Arial" w:eastAsia="Arial" w:hAnsi="Arial"/>
          <w:sz w:val="16"/>
          <w:szCs w:val="16"/>
          <w:color w:val="auto"/>
        </w:rPr>
        <w:t>.” In addition, Dr’s Schadt’s and Mr. Ro’s employment agreements provided for each to receive certain equity-based incentive awards following the closing of the business combination, which awards were granted under the 2021 Equity Incentive Plan (the “</w:t>
      </w:r>
      <w:r>
        <w:rPr>
          <w:rFonts w:ascii="Arial" w:cs="Arial" w:eastAsia="Arial" w:hAnsi="Arial"/>
          <w:sz w:val="16"/>
          <w:szCs w:val="16"/>
          <w:i w:val="1"/>
          <w:iCs w:val="1"/>
          <w:color w:val="auto"/>
        </w:rPr>
        <w:t>2021</w:t>
      </w:r>
      <w:r>
        <w:rPr>
          <w:rFonts w:ascii="Arial" w:cs="Arial" w:eastAsia="Arial" w:hAnsi="Arial"/>
          <w:sz w:val="16"/>
          <w:szCs w:val="16"/>
          <w:color w:val="auto"/>
        </w:rPr>
        <w:t xml:space="preserve"> </w:t>
      </w:r>
      <w:r>
        <w:rPr>
          <w:rFonts w:ascii="Arial" w:cs="Arial" w:eastAsia="Arial" w:hAnsi="Arial"/>
          <w:sz w:val="16"/>
          <w:szCs w:val="16"/>
          <w:i w:val="1"/>
          <w:iCs w:val="1"/>
          <w:color w:val="auto"/>
        </w:rPr>
        <w:t>EIP</w:t>
      </w:r>
      <w:r>
        <w:rPr>
          <w:rFonts w:ascii="Arial" w:cs="Arial" w:eastAsia="Arial" w:hAnsi="Arial"/>
          <w:sz w:val="16"/>
          <w:szCs w:val="16"/>
          <w:color w:val="auto"/>
        </w:rPr>
        <w:t>”) and are subject to service-based vesting conditions. For more information, see“—</w:t>
      </w:r>
      <w:r>
        <w:rPr>
          <w:rFonts w:ascii="Arial" w:cs="Arial" w:eastAsia="Arial" w:hAnsi="Arial"/>
          <w:sz w:val="16"/>
          <w:szCs w:val="16"/>
          <w:i w:val="1"/>
          <w:iCs w:val="1"/>
          <w:color w:val="auto"/>
        </w:rPr>
        <w:t>Outstanding Equity Awards at 2021 Fiscal Year-End</w:t>
      </w:r>
      <w:r>
        <w:rPr>
          <w:rFonts w:ascii="Arial" w:cs="Arial" w:eastAsia="Arial" w:hAnsi="Arial"/>
          <w:sz w:val="16"/>
          <w:szCs w:val="16"/>
          <w:color w:val="auto"/>
        </w:rPr>
        <w:t>.”</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Dr. Coffin’s departure from our company in February 2022, we and Dr. Coffin entered into a separation agreement (the “</w:t>
      </w:r>
      <w:r>
        <w:rPr>
          <w:rFonts w:ascii="Arial" w:cs="Arial" w:eastAsia="Arial" w:hAnsi="Arial"/>
          <w:sz w:val="17"/>
          <w:szCs w:val="17"/>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pursuant to which Dr. Coffin received the following severance benefits in exchange for his execution of release of claims:</w:t>
      </w:r>
    </w:p>
    <w:p>
      <w:pPr>
        <w:spacing w:after="0" w:line="92"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7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4" w:lineRule="exact"/>
        <w:rPr>
          <w:sz w:val="20"/>
          <w:szCs w:val="20"/>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Restricted stock awards (“RSA”). </w:t>
      </w:r>
      <w:r>
        <w:rPr>
          <w:rFonts w:ascii="Arial" w:cs="Arial" w:eastAsia="Arial" w:hAnsi="Arial"/>
          <w:sz w:val="18"/>
          <w:szCs w:val="18"/>
          <w:color w:val="auto"/>
        </w:rPr>
        <w:t>An RSA is an offer by us to grant or sell shares of our Class A common stock subject to restrictions,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lapse 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 (“SAR”)</w:t>
      </w:r>
      <w:r>
        <w:rPr>
          <w:rFonts w:ascii="Arial" w:cs="Arial" w:eastAsia="Arial" w:hAnsi="Arial"/>
          <w:sz w:val="18"/>
          <w:szCs w:val="18"/>
          <w:color w:val="auto"/>
        </w:rPr>
        <w:t>. A SAR provides for a payment, in cash or shares of our Class A common stock (up to a specified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 fair market value of a share of our Class A common stock on the date of grant. SARs may vest based on service or achievement of performance conditions. No SAR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Restricted stock units (“RSU”). </w:t>
      </w:r>
      <w:r>
        <w:rPr>
          <w:rFonts w:ascii="Arial" w:cs="Arial" w:eastAsia="Arial" w:hAnsi="Arial"/>
          <w:sz w:val="18"/>
          <w:szCs w:val="18"/>
          <w:color w:val="auto"/>
        </w:rPr>
        <w:t>An RSU represents the right to receive the value of shares of our Class A common stock at a specified date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Class A common stock or a combination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Our Board or the compensation committee thereof may permit participants holding RSUs to receive dividend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Our 2021 EIP provides that, in the event of a corporate transaction that constitutes a change of control of our company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2021 EIP.</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received for his or her service as a director,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$750,000 in a calendar year, increased to $1,000,000 in the calendar year of his or her initial services as a non-employee director.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Legacy Sema4’s 2017 Equity Incentive Plan (the “</w:t>
      </w:r>
      <w:r>
        <w:rPr>
          <w:rFonts w:ascii="Arial" w:cs="Arial" w:eastAsia="Arial" w:hAnsi="Arial"/>
          <w:sz w:val="18"/>
          <w:szCs w:val="18"/>
          <w:i w:val="1"/>
          <w:iCs w:val="1"/>
          <w:color w:val="auto"/>
        </w:rPr>
        <w:t>2017 EI</w:t>
      </w:r>
      <w:r>
        <w:rPr>
          <w:rFonts w:ascii="Arial" w:cs="Arial" w:eastAsia="Arial" w:hAnsi="Arial"/>
          <w:sz w:val="18"/>
          <w:szCs w:val="18"/>
          <w:color w:val="auto"/>
        </w:rPr>
        <w:t>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2021 Employee Stock Purchase Plan (the “</w:t>
      </w:r>
      <w:r>
        <w:rPr>
          <w:rFonts w:ascii="Arial" w:cs="Arial" w:eastAsia="Arial" w:hAnsi="Arial"/>
          <w:sz w:val="18"/>
          <w:szCs w:val="18"/>
          <w:i w:val="1"/>
          <w:iCs w:val="1"/>
          <w:color w:val="auto"/>
        </w:rPr>
        <w:t>ESPP</w:t>
      </w:r>
      <w:r>
        <w:rPr>
          <w:rFonts w:ascii="Arial" w:cs="Arial" w:eastAsia="Arial" w:hAnsi="Arial"/>
          <w:sz w:val="18"/>
          <w:szCs w:val="18"/>
          <w:color w:val="auto"/>
        </w:rPr>
        <w:t>”)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4,804,011 shares of our Class A common stock equal for issuance and sale under the ESPP.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Offerings; Contributions; Limitations. </w:t>
      </w:r>
      <w:r>
        <w:rPr>
          <w:rFonts w:ascii="Arial" w:cs="Arial" w:eastAsia="Arial" w:hAnsi="Arial"/>
          <w:sz w:val="18"/>
          <w:szCs w:val="18"/>
          <w:color w:val="auto"/>
        </w:rPr>
        <w:t>The purchase price for shares purchased under the ESPP during any given purchase period will be 85%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lesser 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Adjustments upon recapitalization. </w:t>
      </w:r>
      <w:r>
        <w:rPr>
          <w:rFonts w:ascii="Arial" w:cs="Arial" w:eastAsia="Arial" w:hAnsi="Arial"/>
          <w:sz w:val="16"/>
          <w:szCs w:val="16"/>
          <w:color w:val="auto"/>
        </w:rPr>
        <w:t>If the number of outstanding shares of our Class A common stock is changed by stock dividend,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2022, our Board appointed Jason Ryan as Executive Chairman and entered into an executive chairman agreement (the “</w:t>
      </w:r>
      <w:r>
        <w:rPr>
          <w:rFonts w:ascii="Arial" w:cs="Arial" w:eastAsia="Arial" w:hAnsi="Arial"/>
          <w:sz w:val="18"/>
          <w:szCs w:val="18"/>
          <w:i w:val="1"/>
          <w:iCs w:val="1"/>
          <w:color w:val="auto"/>
        </w:rPr>
        <w:t>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with Mr. Ryan. Prior to this appointment, Mr. Ryan served as a non-employee director of our Board. The Executive Chairman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an annual base salary of $540,000. In connection with the appointment, we issued to our Executive Chairman an option to purchase 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ind w:left="100"/>
        <w:spacing w:after="0" w:line="342" w:lineRule="auto"/>
        <w:rPr>
          <w:sz w:val="20"/>
          <w:szCs w:val="20"/>
          <w:color w:val="auto"/>
        </w:rPr>
      </w:pPr>
      <w:r>
        <w:rPr>
          <w:rFonts w:ascii="Arial" w:cs="Arial" w:eastAsia="Arial" w:hAnsi="Arial"/>
          <w:sz w:val="16"/>
          <w:szCs w:val="16"/>
          <w:color w:val="auto"/>
        </w:rPr>
        <w:t>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71" w:lineRule="exact"/>
        <w:rPr>
          <w:sz w:val="20"/>
          <w:szCs w:val="20"/>
          <w:color w:val="auto"/>
        </w:rPr>
      </w:pPr>
    </w:p>
    <w:p>
      <w:pPr>
        <w:jc w:val="both"/>
        <w:ind w:left="100" w:firstLine="324"/>
        <w:spacing w:after="0" w:line="255" w:lineRule="auto"/>
        <w:rPr>
          <w:sz w:val="20"/>
          <w:szCs w:val="20"/>
          <w:color w:val="auto"/>
        </w:rPr>
      </w:pPr>
      <w:r>
        <w:rPr>
          <w:rFonts w:ascii="Arial" w:cs="Arial" w:eastAsia="Arial" w:hAnsi="Arial"/>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r>
        <w:rPr>
          <w:rFonts w:ascii="Arial" w:cs="Arial" w:eastAsia="Arial" w:hAnsi="Arial"/>
          <w:sz w:val="18"/>
          <w:szCs w:val="18"/>
          <w:i w:val="1"/>
          <w:iCs w:val="1"/>
          <w:color w:val="auto"/>
        </w:rPr>
        <w:t>2021 Summary Compensation Table</w:t>
      </w:r>
      <w:r>
        <w:rPr>
          <w:rFonts w:ascii="Arial" w:cs="Arial" w:eastAsia="Arial" w:hAnsi="Arial"/>
          <w:sz w:val="18"/>
          <w:szCs w:val="18"/>
          <w:color w:val="auto"/>
        </w:rPr>
        <w:t>” for a summary of payments made to Dr. Schadt.</w:t>
      </w:r>
    </w:p>
    <w:p>
      <w:pPr>
        <w:sectPr>
          <w:pgSz w:w="11900" w:h="16838" w:orient="portrait"/>
          <w:cols w:equalWidth="0" w:num="1">
            <w:col w:w="11340"/>
          </w:cols>
          <w:pgMar w:left="2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jc w:val="center"/>
              <w:ind w:left="1828"/>
              <w:spacing w:after="0"/>
              <w:rPr>
                <w:sz w:val="20"/>
                <w:szCs w:val="20"/>
                <w:color w:val="auto"/>
              </w:rPr>
            </w:pPr>
            <w:r>
              <w:rPr>
                <w:rFonts w:ascii="Arial" w:cs="Arial" w:eastAsia="Arial" w:hAnsi="Arial"/>
                <w:sz w:val="14"/>
                <w:szCs w:val="14"/>
                <w:b w:val="1"/>
                <w:bCs w:val="1"/>
                <w:color w:val="auto"/>
                <w:w w:val="92"/>
              </w:rPr>
              <w:t>Fees Earned or Paid</w:t>
            </w:r>
          </w:p>
        </w:tc>
        <w:tc>
          <w:tcPr>
            <w:tcW w:w="1300" w:type="dxa"/>
            <w:vAlign w:val="bottom"/>
          </w:tcPr>
          <w:p>
            <w:pPr>
              <w:jc w:val="center"/>
              <w:ind w:left="41"/>
              <w:spacing w:after="0"/>
              <w:rPr>
                <w:sz w:val="20"/>
                <w:szCs w:val="20"/>
                <w:color w:val="auto"/>
              </w:rPr>
            </w:pPr>
            <w:r>
              <w:rPr>
                <w:rFonts w:ascii="Arial" w:cs="Arial" w:eastAsia="Arial" w:hAnsi="Arial"/>
                <w:sz w:val="14"/>
                <w:szCs w:val="14"/>
                <w:b w:val="1"/>
                <w:bCs w:val="1"/>
                <w:color w:val="auto"/>
                <w:w w:val="91"/>
              </w:rPr>
              <w:t>Option Awards($)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35"/>
        </w:trPr>
        <w:tc>
          <w:tcPr>
            <w:tcW w:w="2340" w:type="dxa"/>
            <w:vAlign w:val="bottom"/>
            <w:vMerge w:val="continue"/>
          </w:tcPr>
          <w:p>
            <w:pPr>
              <w:spacing w:after="0"/>
              <w:rPr>
                <w:sz w:val="11"/>
                <w:szCs w:val="11"/>
                <w:color w:val="auto"/>
              </w:rPr>
            </w:pPr>
          </w:p>
        </w:tc>
        <w:tc>
          <w:tcPr>
            <w:tcW w:w="3300" w:type="dxa"/>
            <w:vAlign w:val="bottom"/>
          </w:tcPr>
          <w:p>
            <w:pPr>
              <w:jc w:val="center"/>
              <w:ind w:left="1828"/>
              <w:spacing w:after="0" w:line="135" w:lineRule="exact"/>
              <w:rPr>
                <w:sz w:val="20"/>
                <w:szCs w:val="20"/>
                <w:color w:val="auto"/>
              </w:rPr>
            </w:pPr>
            <w:r>
              <w:rPr>
                <w:rFonts w:ascii="Arial" w:cs="Arial" w:eastAsia="Arial" w:hAnsi="Arial"/>
                <w:sz w:val="14"/>
                <w:szCs w:val="14"/>
                <w:b w:val="1"/>
                <w:bCs w:val="1"/>
                <w:color w:val="auto"/>
                <w:w w:val="94"/>
              </w:rPr>
              <w:t>in Cash($)</w:t>
            </w:r>
          </w:p>
        </w:tc>
        <w:tc>
          <w:tcPr>
            <w:tcW w:w="1300" w:type="dxa"/>
            <w:vAlign w:val="bottom"/>
          </w:tcPr>
          <w:p>
            <w:pPr>
              <w:jc w:val="right"/>
              <w:ind w:right="481"/>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160"/>
        <w:spacing w:after="0"/>
        <w:rPr>
          <w:sz w:val="20"/>
          <w:szCs w:val="20"/>
          <w:color w:val="auto"/>
        </w:rPr>
      </w:pPr>
      <w:r>
        <w:rPr>
          <w:rFonts w:ascii="Arial" w:cs="Arial" w:eastAsia="Arial" w:hAnsi="Arial"/>
          <w:sz w:val="13"/>
          <w:szCs w:val="13"/>
          <w:b w:val="1"/>
          <w:bCs w:val="1"/>
          <w:color w:val="auto"/>
        </w:rPr>
        <w:t>Restricted</w:t>
      </w:r>
    </w:p>
    <w:p>
      <w:pPr>
        <w:jc w:val="center"/>
        <w:ind w:right="3160"/>
        <w:spacing w:after="0" w:line="219" w:lineRule="auto"/>
        <w:rPr>
          <w:sz w:val="20"/>
          <w:szCs w:val="20"/>
          <w:color w:val="auto"/>
        </w:rPr>
      </w:pPr>
      <w:r>
        <w:rPr>
          <w:rFonts w:ascii="Arial" w:cs="Arial" w:eastAsia="Arial" w:hAnsi="Arial"/>
          <w:sz w:val="13"/>
          <w:szCs w:val="13"/>
          <w:b w:val="1"/>
          <w:bCs w:val="1"/>
          <w:color w:val="auto"/>
        </w:rPr>
        <w:t>Stock and</w:t>
      </w:r>
    </w:p>
    <w:p>
      <w:pPr>
        <w:jc w:val="center"/>
        <w:ind w:right="3160"/>
        <w:spacing w:after="0" w:line="201" w:lineRule="auto"/>
        <w:rPr>
          <w:sz w:val="20"/>
          <w:szCs w:val="20"/>
          <w:color w:val="auto"/>
        </w:rPr>
      </w:pPr>
      <w:r>
        <w:rPr>
          <w:rFonts w:ascii="Arial" w:cs="Arial" w:eastAsia="Arial" w:hAnsi="Arial"/>
          <w:sz w:val="14"/>
          <w:szCs w:val="14"/>
          <w:b w:val="1"/>
          <w:bCs w:val="1"/>
          <w:color w:val="auto"/>
        </w:rPr>
        <w:t>Other</w:t>
      </w:r>
    </w:p>
    <w:p>
      <w:pPr>
        <w:ind w:left="20"/>
        <w:spacing w:after="0" w:line="188" w:lineRule="auto"/>
        <w:tabs>
          <w:tab w:leader="none" w:pos="142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All Other</w:t>
      </w:r>
    </w:p>
    <w:p>
      <w:pPr>
        <w:ind w:left="140"/>
        <w:spacing w:after="0"/>
        <w:tabs>
          <w:tab w:leader="none" w:pos="1120" w:val="left"/>
          <w:tab w:leader="none" w:pos="2880" w:val="left"/>
        </w:tabs>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(1)(4)</w:t>
      </w:r>
      <w:r>
        <w:rPr>
          <w:sz w:val="20"/>
          <w:szCs w:val="20"/>
          <w:color w:val="auto"/>
        </w:rPr>
        <w:tab/>
      </w:r>
      <w:r>
        <w:rPr>
          <w:rFonts w:ascii="Arial" w:cs="Arial" w:eastAsia="Arial" w:hAnsi="Arial"/>
          <w:sz w:val="14"/>
          <w:szCs w:val="14"/>
          <w:b w:val="1"/>
          <w:bCs w:val="1"/>
          <w:color w:val="auto"/>
        </w:rPr>
        <w:t>Compensation ($)</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w:t>
      </w:r>
    </w:p>
    <w:p>
      <w:pPr>
        <w:spacing w:after="0" w:line="1" w:lineRule="exact"/>
        <w:rPr>
          <w:sz w:val="20"/>
          <w:szCs w:val="20"/>
          <w:color w:val="auto"/>
        </w:rPr>
      </w:pPr>
    </w:p>
    <w:p>
      <w:pPr>
        <w:sectPr>
          <w:pgSz w:w="11900" w:h="16838" w:orient="portrait"/>
          <w:cols w:equalWidth="0" w:num="2">
            <w:col w:w="7060" w:space="480"/>
            <w:col w:w="3800"/>
          </w:cols>
          <w:pgMar w:left="220" w:top="1440" w:right="339" w:bottom="1440" w:gutter="0" w:footer="0" w:header="0"/>
          <w:type w:val="continuous"/>
        </w:sectPr>
      </w:pPr>
    </w:p>
    <w:tbl>
      <w:tblPr>
        <w:tblLayout w:type="fixed"/>
        <w:tblInd w:w="10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449,396</w:t>
            </w: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Dennis Charney, M.D.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221,393</w:t>
            </w: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Emily Leproust, Ph.D.</w:t>
            </w: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226,393</w:t>
            </w: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431,896</w:t>
            </w: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421,896</w:t>
            </w: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225,143</w:t>
            </w: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143,797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315,198</w:t>
            </w: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440" w:hanging="332"/>
        <w:spacing w:after="0" w:line="241" w:lineRule="auto"/>
        <w:tabs>
          <w:tab w:leader="none" w:pos="43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Arial" w:cs="Arial" w:eastAsia="Arial" w:hAnsi="Arial"/>
          <w:sz w:val="14"/>
          <w:szCs w:val="14"/>
          <w:color w:val="auto"/>
        </w:rPr>
      </w:pPr>
    </w:p>
    <w:p>
      <w:pPr>
        <w:ind w:left="420" w:hanging="312"/>
        <w:spacing w:after="0"/>
        <w:tabs>
          <w:tab w:leader="none" w:pos="4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spacing w:after="0" w:line="1" w:lineRule="exact"/>
        <w:rPr>
          <w:rFonts w:ascii="Arial" w:cs="Arial" w:eastAsia="Arial" w:hAnsi="Arial"/>
          <w:sz w:val="14"/>
          <w:szCs w:val="14"/>
          <w:color w:val="auto"/>
        </w:rPr>
      </w:pPr>
    </w:p>
    <w:p>
      <w:pPr>
        <w:ind w:left="420" w:hanging="312"/>
        <w:spacing w:after="0"/>
        <w:tabs>
          <w:tab w:leader="none" w:pos="4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spacing w:after="0" w:line="1" w:lineRule="exact"/>
        <w:rPr>
          <w:rFonts w:ascii="Arial" w:cs="Arial" w:eastAsia="Arial" w:hAnsi="Arial"/>
          <w:sz w:val="14"/>
          <w:szCs w:val="14"/>
          <w:color w:val="auto"/>
        </w:rPr>
      </w:pPr>
    </w:p>
    <w:p>
      <w:pPr>
        <w:jc w:val="both"/>
        <w:ind w:left="440" w:hanging="332"/>
        <w:spacing w:after="0" w:line="248" w:lineRule="auto"/>
        <w:tabs>
          <w:tab w:leader="none" w:pos="43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me</w:t>
            </w: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 Underlying</w:t>
            </w:r>
          </w:p>
        </w:tc>
        <w:tc>
          <w:tcPr>
            <w:tcW w:w="1520" w:type="dxa"/>
            <w:vAlign w:val="bottom"/>
          </w:tcPr>
          <w:p>
            <w:pPr>
              <w:jc w:val="right"/>
              <w:ind w:right="350"/>
              <w:spacing w:after="0"/>
              <w:rPr>
                <w:sz w:val="20"/>
                <w:szCs w:val="20"/>
                <w:color w:val="auto"/>
              </w:rPr>
            </w:pPr>
            <w:r>
              <w:rPr>
                <w:rFonts w:ascii="Arial" w:cs="Arial" w:eastAsia="Arial" w:hAnsi="Arial"/>
                <w:sz w:val="13"/>
                <w:szCs w:val="13"/>
                <w:b w:val="1"/>
                <w:bCs w:val="1"/>
                <w:color w:val="auto"/>
                <w:w w:val="88"/>
              </w:rPr>
              <w:t>Unvested Shares of</w:t>
            </w:r>
          </w:p>
        </w:tc>
        <w:tc>
          <w:tcPr>
            <w:tcW w:w="0" w:type="dxa"/>
            <w:vAlign w:val="bottom"/>
          </w:tcPr>
          <w:p>
            <w:pPr>
              <w:spacing w:after="0"/>
              <w:rPr>
                <w:sz w:val="1"/>
                <w:szCs w:val="1"/>
                <w:color w:val="auto"/>
              </w:rPr>
            </w:pPr>
          </w:p>
        </w:tc>
      </w:tr>
      <w:tr>
        <w:trPr>
          <w:trHeight w:val="170"/>
        </w:trPr>
        <w:tc>
          <w:tcPr>
            <w:tcW w:w="7400" w:type="dxa"/>
            <w:vAlign w:val="bottom"/>
            <w:gridSpan w:val="3"/>
            <w:vMerge w:val="continue"/>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3"/>
                <w:szCs w:val="13"/>
                <w:b w:val="1"/>
                <w:bCs w:val="1"/>
                <w:color w:val="auto"/>
                <w:w w:val="92"/>
              </w:rPr>
              <w:t>Unexercised Stock Options</w:t>
            </w:r>
          </w:p>
        </w:tc>
        <w:tc>
          <w:tcPr>
            <w:tcW w:w="1520" w:type="dxa"/>
            <w:vAlign w:val="bottom"/>
          </w:tcPr>
          <w:p>
            <w:pPr>
              <w:jc w:val="right"/>
              <w:ind w:right="90"/>
              <w:spacing w:after="0"/>
              <w:rPr>
                <w:sz w:val="20"/>
                <w:szCs w:val="20"/>
                <w:color w:val="auto"/>
              </w:rPr>
            </w:pPr>
            <w:r>
              <w:rPr>
                <w:rFonts w:ascii="Arial" w:cs="Arial" w:eastAsia="Arial" w:hAnsi="Arial"/>
                <w:sz w:val="13"/>
                <w:szCs w:val="13"/>
                <w:b w:val="1"/>
                <w:bCs w:val="1"/>
                <w:color w:val="auto"/>
                <w:w w:val="96"/>
              </w:rPr>
              <w:t>Restricted Stock Units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00" w:type="dxa"/>
            <w:vAlign w:val="bottom"/>
            <w:gridSpan w:val="2"/>
          </w:tcPr>
          <w:p>
            <w:pPr>
              <w:spacing w:after="0"/>
              <w:rPr>
                <w:sz w:val="20"/>
                <w:szCs w:val="20"/>
                <w:color w:val="auto"/>
              </w:rPr>
            </w:pPr>
            <w:r>
              <w:rPr>
                <w:rFonts w:ascii="Arial" w:cs="Arial" w:eastAsia="Arial" w:hAnsi="Arial"/>
                <w:sz w:val="14"/>
                <w:szCs w:val="14"/>
                <w:color w:val="auto"/>
              </w:rPr>
              <w:t>hua Ruch</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4"/>
        </w:trPr>
        <w:tc>
          <w:tcPr>
            <w:tcW w:w="7400" w:type="dxa"/>
            <w:vAlign w:val="bottom"/>
            <w:gridSpan w:val="3"/>
          </w:tcPr>
          <w:p>
            <w:pPr>
              <w:spacing w:after="0"/>
              <w:rPr>
                <w:sz w:val="20"/>
                <w:szCs w:val="20"/>
                <w:color w:val="auto"/>
              </w:rPr>
            </w:pPr>
            <w:r>
              <w:rPr>
                <w:rFonts w:ascii="Arial" w:cs="Arial" w:eastAsia="Arial" w:hAnsi="Arial"/>
                <w:sz w:val="14"/>
                <w:szCs w:val="14"/>
                <w:color w:val="auto"/>
              </w:rPr>
              <w:t>nnis Charney, M.D.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400" w:type="dxa"/>
            <w:vAlign w:val="bottom"/>
            <w:gridSpan w:val="3"/>
          </w:tcPr>
          <w:p>
            <w:pPr>
              <w:spacing w:after="0"/>
              <w:rPr>
                <w:sz w:val="20"/>
                <w:szCs w:val="20"/>
                <w:color w:val="auto"/>
              </w:rPr>
            </w:pPr>
            <w:r>
              <w:rPr>
                <w:rFonts w:ascii="Arial" w:cs="Arial" w:eastAsia="Arial" w:hAnsi="Arial"/>
                <w:sz w:val="14"/>
                <w:szCs w:val="14"/>
                <w:color w:val="auto"/>
              </w:rPr>
              <w:t>D. Casdin</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189"/>
        </w:trPr>
        <w:tc>
          <w:tcPr>
            <w:tcW w:w="7400" w:type="dxa"/>
            <w:vAlign w:val="bottom"/>
            <w:gridSpan w:val="3"/>
          </w:tcPr>
          <w:p>
            <w:pPr>
              <w:spacing w:after="0"/>
              <w:rPr>
                <w:sz w:val="20"/>
                <w:szCs w:val="20"/>
                <w:color w:val="auto"/>
              </w:rPr>
            </w:pPr>
            <w:r>
              <w:rPr>
                <w:rFonts w:ascii="Arial" w:cs="Arial" w:eastAsia="Arial" w:hAnsi="Arial"/>
                <w:sz w:val="14"/>
                <w:szCs w:val="14"/>
                <w:color w:val="auto"/>
              </w:rPr>
              <w:t>ily Leproust, Ph.D.</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20"/>
                <w:szCs w:val="20"/>
                <w:color w:val="auto"/>
              </w:rPr>
            </w:pPr>
            <w:r>
              <w:rPr>
                <w:rFonts w:ascii="Arial" w:cs="Arial" w:eastAsia="Arial" w:hAnsi="Arial"/>
                <w:sz w:val="10"/>
                <w:szCs w:val="10"/>
                <w:color w:val="auto"/>
                <w:w w:val="71"/>
              </w:rPr>
              <w:t>on</w:t>
            </w:r>
          </w:p>
        </w:tc>
        <w:tc>
          <w:tcPr>
            <w:tcW w:w="7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Ryan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7400" w:type="dxa"/>
            <w:vAlign w:val="bottom"/>
            <w:gridSpan w:val="3"/>
          </w:tcPr>
          <w:p>
            <w:pPr>
              <w:spacing w:after="0"/>
              <w:rPr>
                <w:sz w:val="20"/>
                <w:szCs w:val="20"/>
                <w:color w:val="auto"/>
              </w:rPr>
            </w:pPr>
            <w:r>
              <w:rPr>
                <w:rFonts w:ascii="Arial" w:cs="Arial" w:eastAsia="Arial" w:hAnsi="Arial"/>
                <w:sz w:val="14"/>
                <w:szCs w:val="14"/>
                <w:color w:val="auto"/>
              </w:rPr>
              <w:t>chael Pellini, M.D.</w:t>
            </w: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Turner</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4"/>
                <w:szCs w:val="14"/>
                <w:color w:val="auto"/>
              </w:rPr>
              <w:t>hel Sherman, M.D., M.P.H., F.A.C.P.</w:t>
            </w:r>
          </w:p>
        </w:tc>
        <w:tc>
          <w:tcPr>
            <w:tcW w:w="1520" w:type="dxa"/>
            <w:vAlign w:val="bottom"/>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 xml:space="preserve">44,533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-1003300</wp:posOffset>
            </wp:positionV>
            <wp:extent cx="662622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-754380</wp:posOffset>
            </wp:positionV>
            <wp:extent cx="662622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20" w:hanging="312"/>
        <w:spacing w:after="0"/>
        <w:tabs>
          <w:tab w:leader="none" w:pos="4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40"/>
          </w:cols>
          <w:pgMar w:left="220" w:top="1440" w:right="339" w:bottom="1440" w:gutter="0" w:footer="0" w:header="0"/>
          <w:type w:val="continuous"/>
        </w:sectPr>
      </w:pPr>
    </w:p>
    <w:bookmarkStart w:id="232" w:name="page233"/>
    <w:bookmarkEnd w:id="23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OF GENEDX</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discussed above, GeneDx is currently part of OPKO and not an independent company. Decisions about GeneDx’s executive compensation and benefits to date have been made by the Compensation Committee of the OPKO Board of Directors (the “</w:t>
      </w:r>
      <w:r>
        <w:rPr>
          <w:rFonts w:ascii="Arial" w:cs="Arial" w:eastAsia="Arial" w:hAnsi="Arial"/>
          <w:sz w:val="17"/>
          <w:szCs w:val="17"/>
          <w:i w:val="1"/>
          <w:iCs w:val="1"/>
          <w:color w:val="auto"/>
        </w:rPr>
        <w:t>OPKO Compensation Committee</w:t>
      </w:r>
      <w:r>
        <w:rPr>
          <w:rFonts w:ascii="Arial" w:cs="Arial" w:eastAsia="Arial" w:hAnsi="Arial"/>
          <w:sz w:val="17"/>
          <w:szCs w:val="17"/>
          <w:color w:val="auto"/>
        </w:rPr>
        <w:t>”) and OPKO senior management. Accordingly, this section focuses on OPKO’s compensation and benefit programs and decisions for 2021. Katherine Stueland, GeneDx’s Chief Executive Officer, who will be appointed Co-Chief Executive Officer of Sema4 following the Closing, is GeneDx’s sole named executive officer (the “</w:t>
      </w:r>
      <w:r>
        <w:rPr>
          <w:rFonts w:ascii="Arial" w:cs="Arial" w:eastAsia="Arial" w:hAnsi="Arial"/>
          <w:sz w:val="17"/>
          <w:szCs w:val="17"/>
          <w:i w:val="1"/>
          <w:iCs w:val="1"/>
          <w:color w:val="auto"/>
        </w:rPr>
        <w:t>Named Executive Officer</w:t>
      </w:r>
      <w:r>
        <w:rPr>
          <w:rFonts w:ascii="Arial" w:cs="Arial" w:eastAsia="Arial" w:hAnsi="Arial"/>
          <w:sz w:val="17"/>
          <w:szCs w:val="17"/>
          <w:color w:val="auto"/>
        </w:rPr>
        <w:t>”). Following the Closing, Ms. Stueland’s executive compensation will be determined by Sema4’s Board of Directors and in accordance with the Sema4 Stueland Employment Agreement (as defined below), and accordingly Ms. Stueland’s executive compensation and the benefits programs to which she will be entitled will not be the same as those discussed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out the compensation for the Named Executive Officer for the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Name and Principal Position</w:t>
            </w:r>
          </w:p>
        </w:tc>
        <w:tc>
          <w:tcPr>
            <w:tcW w:w="100" w:type="dxa"/>
            <w:vAlign w:val="bottom"/>
            <w:vMerge w:val="restart"/>
          </w:tcPr>
          <w:p>
            <w:pPr>
              <w:spacing w:after="0"/>
              <w:rPr>
                <w:sz w:val="17"/>
                <w:szCs w:val="17"/>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Salary ($)</w:t>
            </w:r>
            <w:r>
              <w:rPr>
                <w:rFonts w:ascii="Arial" w:cs="Arial" w:eastAsia="Arial" w:hAnsi="Arial"/>
                <w:sz w:val="18"/>
                <w:szCs w:val="18"/>
                <w:b w:val="1"/>
                <w:bCs w:val="1"/>
                <w:color w:val="auto"/>
                <w:w w:val="92"/>
                <w:vertAlign w:val="superscript"/>
              </w:rPr>
              <w:t>(1)</w:t>
            </w:r>
          </w:p>
        </w:tc>
        <w:tc>
          <w:tcPr>
            <w:tcW w:w="80" w:type="dxa"/>
            <w:vAlign w:val="bottom"/>
            <w:vMerge w:val="restart"/>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Bonus ($)</w:t>
            </w:r>
          </w:p>
        </w:tc>
        <w:tc>
          <w:tcPr>
            <w:tcW w:w="100" w:type="dxa"/>
            <w:vAlign w:val="bottom"/>
            <w:vMerge w:val="restart"/>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Stock Awards ($)</w:t>
            </w:r>
            <w:r>
              <w:rPr>
                <w:rFonts w:ascii="Arial" w:cs="Arial" w:eastAsia="Arial" w:hAnsi="Arial"/>
                <w:sz w:val="18"/>
                <w:szCs w:val="18"/>
                <w:b w:val="1"/>
                <w:bCs w:val="1"/>
                <w:color w:val="auto"/>
                <w:w w:val="99"/>
                <w:vertAlign w:val="superscript"/>
              </w:rPr>
              <w:t>(2)</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 Awards ($)</w:t>
            </w:r>
            <w:r>
              <w:rPr>
                <w:rFonts w:ascii="Arial" w:cs="Arial" w:eastAsia="Arial" w:hAnsi="Arial"/>
                <w:sz w:val="18"/>
                <w:szCs w:val="18"/>
                <w:b w:val="1"/>
                <w:bCs w:val="1"/>
                <w:color w:val="auto"/>
                <w:w w:val="91"/>
                <w:vertAlign w:val="superscript"/>
              </w:rPr>
              <w:t>(2)</w:t>
            </w:r>
          </w:p>
        </w:tc>
        <w:tc>
          <w:tcPr>
            <w:tcW w:w="100" w:type="dxa"/>
            <w:vAlign w:val="bottom"/>
            <w:vMerge w:val="restart"/>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w w:val="93"/>
              </w:rPr>
              <w:t>Total Compensation</w:t>
            </w:r>
          </w:p>
        </w:tc>
        <w:tc>
          <w:tcPr>
            <w:tcW w:w="0" w:type="dxa"/>
            <w:vAlign w:val="bottom"/>
          </w:tcPr>
          <w:p>
            <w:pPr>
              <w:spacing w:after="0"/>
              <w:rPr>
                <w:sz w:val="1"/>
                <w:szCs w:val="1"/>
                <w:color w:val="auto"/>
              </w:rPr>
            </w:pPr>
          </w:p>
        </w:tc>
      </w:tr>
      <w:tr>
        <w:trPr>
          <w:trHeight w:val="135"/>
        </w:trPr>
        <w:tc>
          <w:tcPr>
            <w:tcW w:w="18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9"/>
                <w:szCs w:val="9"/>
                <w:b w:val="1"/>
                <w:bCs w:val="1"/>
                <w:color w:val="auto"/>
              </w:rPr>
              <w:t>(3)</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Compensation ($)</w:t>
            </w:r>
            <w:r>
              <w:rPr>
                <w:rFonts w:ascii="Arial" w:cs="Arial" w:eastAsia="Arial" w:hAnsi="Arial"/>
                <w:sz w:val="15"/>
                <w:szCs w:val="15"/>
                <w:b w:val="1"/>
                <w:bCs w:val="1"/>
                <w:color w:val="auto"/>
                <w:vertAlign w:val="superscript"/>
              </w:rPr>
              <w:t>(4)</w:t>
            </w:r>
          </w:p>
        </w:tc>
        <w:tc>
          <w:tcPr>
            <w:tcW w:w="10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505"/>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6"/>
                <w:szCs w:val="16"/>
                <w:color w:val="auto"/>
                <w:w w:val="92"/>
              </w:rPr>
              <w:t>Katherine Stueland, C</w:t>
            </w:r>
            <w:r>
              <w:rPr>
                <w:rFonts w:ascii="Arial" w:cs="Arial" w:eastAsia="Arial" w:hAnsi="Arial"/>
                <w:sz w:val="16"/>
                <w:szCs w:val="16"/>
                <w:i w:val="1"/>
                <w:iCs w:val="1"/>
                <w:color w:val="auto"/>
                <w:w w:val="92"/>
              </w:rPr>
              <w:t>hief</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i w:val="1"/>
                <w:iCs w:val="1"/>
                <w:color w:val="auto"/>
                <w:w w:val="93"/>
              </w:rPr>
              <w:t>Executive Officer of</w:t>
            </w: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64"/>
              <w:spacing w:after="0"/>
              <w:rPr>
                <w:sz w:val="20"/>
                <w:szCs w:val="20"/>
                <w:color w:val="auto"/>
              </w:rPr>
            </w:pPr>
            <w:r>
              <w:rPr>
                <w:rFonts w:ascii="Arial" w:cs="Arial" w:eastAsia="Arial" w:hAnsi="Arial"/>
                <w:sz w:val="16"/>
                <w:szCs w:val="16"/>
                <w:color w:val="auto"/>
              </w:rPr>
              <w:t>285,577</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44"/>
              <w:spacing w:after="0"/>
              <w:rPr>
                <w:sz w:val="20"/>
                <w:szCs w:val="20"/>
                <w:color w:val="auto"/>
              </w:rPr>
            </w:pPr>
            <w:r>
              <w:rPr>
                <w:rFonts w:ascii="Arial" w:cs="Arial" w:eastAsia="Arial" w:hAnsi="Arial"/>
                <w:sz w:val="16"/>
                <w:szCs w:val="16"/>
                <w:color w:val="auto"/>
              </w:rPr>
              <w:t>137,500</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53"/>
              <w:spacing w:after="0"/>
              <w:rPr>
                <w:sz w:val="20"/>
                <w:szCs w:val="20"/>
                <w:color w:val="auto"/>
              </w:rPr>
            </w:pPr>
            <w:r>
              <w:rPr>
                <w:rFonts w:ascii="Arial" w:cs="Arial" w:eastAsia="Arial" w:hAnsi="Arial"/>
                <w:sz w:val="16"/>
                <w:szCs w:val="16"/>
                <w:color w:val="auto"/>
              </w:rPr>
              <w:t>2,500,000</w:t>
            </w:r>
          </w:p>
        </w:tc>
        <w:tc>
          <w:tcPr>
            <w:tcW w:w="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324"/>
              <w:spacing w:after="0"/>
              <w:rPr>
                <w:sz w:val="20"/>
                <w:szCs w:val="20"/>
                <w:color w:val="auto"/>
              </w:rPr>
            </w:pPr>
            <w:r>
              <w:rPr>
                <w:rFonts w:ascii="Arial" w:cs="Arial" w:eastAsia="Arial" w:hAnsi="Arial"/>
                <w:sz w:val="16"/>
                <w:szCs w:val="16"/>
                <w:color w:val="auto"/>
              </w:rPr>
              <w:t>963,000</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11,600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3,897,677</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i w:val="1"/>
                <w:iCs w:val="1"/>
                <w:color w:val="auto"/>
                <w:w w:val="91"/>
              </w:rPr>
              <w:t>GeneDx</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Ms. Stueland became the Chief Executive Officer and President of GeneDx on June 21, 2021. Her annual base salary is $550,000.</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Reflects the aggregate grant date fair value computed in accordance with FASB ASC Topic 718. The assumptions used in calculating the amounts are discussed in Note 10 of OPKO’s audited financial statements for the year ended December 31, 2021 included in OPKO’s Annual Report on Form 10-K filed with the SEC on March 1, 2022.</w:t>
      </w: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Consists of RSUs granted by OPKO to Ms. Stueland on June 21, 2021. See “</w:t>
      </w:r>
      <w:r>
        <w:rPr>
          <w:rFonts w:ascii="Arial" w:cs="Arial" w:eastAsia="Arial" w:hAnsi="Arial"/>
          <w:sz w:val="14"/>
          <w:szCs w:val="14"/>
          <w:i w:val="1"/>
          <w:iCs w:val="1"/>
          <w:color w:val="auto"/>
        </w:rPr>
        <w:t>Outstanding Equity Awards at 2021 Fiscal Year-End</w:t>
      </w:r>
      <w:r>
        <w:rPr>
          <w:rFonts w:ascii="Arial" w:cs="Arial" w:eastAsia="Arial" w:hAnsi="Arial"/>
          <w:sz w:val="14"/>
          <w:szCs w:val="14"/>
          <w:color w:val="auto"/>
        </w:rPr>
        <w:t>”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contributions made by OPKO under its 401(k) Plan during fiscal year 2021 in the amount of $11,600 for Ms. Stueland.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Stueland GeneDx Employment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GeneDx entered into an indefinite Employment Agreement with Ms. Stueland on June 7, 2021 (as amended, the “</w:t>
      </w:r>
      <w:r>
        <w:rPr>
          <w:rFonts w:ascii="Arial" w:cs="Arial" w:eastAsia="Arial" w:hAnsi="Arial"/>
          <w:sz w:val="17"/>
          <w:szCs w:val="17"/>
          <w:i w:val="1"/>
          <w:iCs w:val="1"/>
          <w:color w:val="auto"/>
        </w:rPr>
        <w:t>GeneDx Stueland 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serve as GeneDx’s Chief Executive Officer and President commencing on June 21, 2021. The GeneDx Stueland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(i) an annual base salary of $550,000, subject to annual review and increase (but not decrease) by GeneDx or OPKO’s, as applicable, board of directors and (ii) eligibility to receive an annual bonus of up to $225,000 based upon satisfaction of performance-based goals and other individual and company metrics agreed upon between Ms. Stueland and GeneDx or OPKO’s, as applicable, board of directors. The GeneDx Stueland Employment Agreement further provides for a $2,500,000 sign on bonus (the “</w:t>
      </w:r>
      <w:r>
        <w:rPr>
          <w:rFonts w:ascii="Arial" w:cs="Arial" w:eastAsia="Arial" w:hAnsi="Arial"/>
          <w:sz w:val="17"/>
          <w:szCs w:val="17"/>
          <w:i w:val="1"/>
          <w:iCs w:val="1"/>
          <w:color w:val="auto"/>
        </w:rPr>
        <w:t>Sign-On Bonus</w:t>
      </w:r>
      <w:r>
        <w:rPr>
          <w:rFonts w:ascii="Arial" w:cs="Arial" w:eastAsia="Arial" w:hAnsi="Arial"/>
          <w:sz w:val="17"/>
          <w:szCs w:val="17"/>
          <w:color w:val="auto"/>
        </w:rPr>
        <w:t>”), payable in cash, of which $1,000,000 was paid on June 21, 2021, and, subject to Ms. Stueland’s continued employment, $750,000 will be payable on each of June 21, 2022 and June 21, 2023, provided that, upon the occurrence of certain events prior to June 21, 2023, including a change of control of GeneDx, Ms. Stueland shall be entitled to receive the Sign-On Bonus in full. Additionally, pursuant to the GeneDx Stueland Employment Agreement, OPKO granted Ms. Stueland restricted stock units on June 21, 2021 with respect to shares of OPKO common stock with a value of $2,500,000 as of the date of the grant (the “</w:t>
      </w:r>
      <w:r>
        <w:rPr>
          <w:rFonts w:ascii="Arial" w:cs="Arial" w:eastAsia="Arial" w:hAnsi="Arial"/>
          <w:sz w:val="17"/>
          <w:szCs w:val="17"/>
          <w:i w:val="1"/>
          <w:iCs w:val="1"/>
          <w:color w:val="auto"/>
        </w:rPr>
        <w:t>OPKO RSUs</w:t>
      </w:r>
      <w:r>
        <w:rPr>
          <w:rFonts w:ascii="Arial" w:cs="Arial" w:eastAsia="Arial" w:hAnsi="Arial"/>
          <w:sz w:val="17"/>
          <w:szCs w:val="17"/>
          <w:color w:val="auto"/>
        </w:rPr>
        <w:t>”), of which 50% vest on June 21, 2022 and the remaining 50% vest on December 21, 2022, provided that the OPKO RSUs shall become immediately vested in full upon the occurrence of certain events, including a change of control of GeneDx. Ms. Stueland also received options to purchase 450,000 shares of OPKO’s common stock (the “</w:t>
      </w:r>
      <w:r>
        <w:rPr>
          <w:rFonts w:ascii="Arial" w:cs="Arial" w:eastAsia="Arial" w:hAnsi="Arial"/>
          <w:sz w:val="17"/>
          <w:szCs w:val="17"/>
          <w:i w:val="1"/>
          <w:iCs w:val="1"/>
          <w:color w:val="auto"/>
        </w:rPr>
        <w:t>Initial Option</w:t>
      </w:r>
      <w:r>
        <w:rPr>
          <w:rFonts w:ascii="Arial" w:cs="Arial" w:eastAsia="Arial" w:hAnsi="Arial"/>
          <w:sz w:val="17"/>
          <w:szCs w:val="17"/>
          <w:color w:val="auto"/>
        </w:rPr>
        <w:t>”) under OPKO’s equity incentive plan, with an exercise price equal to $3.78, the closing stock price of OPKO’s common stock on the day of grant, which Initial Option vests annually in four equal installments over a four year period beginning on June 21, 2021, provided that, upon the occurrence of certain events prior to June 21, 2022, including a change of control of GeneDx, the vesting of the Initial Option shall be immediately accelerated in full. OPKO further agreed to grant Ms. Stueland options to purchase 450,000 shares of OPKO’s common stock on June 21, 2022 (the “</w:t>
      </w:r>
      <w:r>
        <w:rPr>
          <w:rFonts w:ascii="Arial" w:cs="Arial" w:eastAsia="Arial" w:hAnsi="Arial"/>
          <w:sz w:val="17"/>
          <w:szCs w:val="17"/>
          <w:i w:val="1"/>
          <w:iCs w:val="1"/>
          <w:color w:val="auto"/>
        </w:rPr>
        <w:t>Additional Option</w:t>
      </w:r>
      <w:r>
        <w:rPr>
          <w:rFonts w:ascii="Arial" w:cs="Arial" w:eastAsia="Arial" w:hAnsi="Arial"/>
          <w:sz w:val="17"/>
          <w:szCs w:val="17"/>
          <w:color w:val="auto"/>
        </w:rPr>
        <w:t>”) under OPKO’s equity incentive plan, with an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price equal to closing stock price of OPKO’s common stock on the day of grant, and terms identical to the options described in the preceding sentence, except that the four year vesting period will begin on June 21, 2022, provided that should Ms. Stueland’s employment be terminated without cause or upon resignation by her for good reason within twelve months of a change of control of GeneDx, or within three months prior to such change of control, the vesting of the Additional Option shall be immediately accelerated in full.</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execution of the Merger Agreement, GeneDx and Ms. Stueland entered into a certain amendment to the GeneDx Stueland Employment Agreement, dated as of January 14, 2022 (the “</w:t>
      </w:r>
      <w:r>
        <w:rPr>
          <w:rFonts w:ascii="Arial" w:cs="Arial" w:eastAsia="Arial" w:hAnsi="Arial"/>
          <w:sz w:val="18"/>
          <w:szCs w:val="18"/>
          <w:i w:val="1"/>
          <w:iCs w:val="1"/>
          <w:color w:val="auto"/>
        </w:rPr>
        <w:t>GeneDx Stueland Employment Agreement Amendment</w:t>
      </w:r>
      <w:r>
        <w:rPr>
          <w:rFonts w:ascii="Arial" w:cs="Arial" w:eastAsia="Arial" w:hAnsi="Arial"/>
          <w:sz w:val="18"/>
          <w:szCs w:val="18"/>
          <w:color w:val="auto"/>
        </w:rPr>
        <w:t>”), pursuant to which Ms. Stueland agreed, among other things, that (i) she shall not be permitted to exercise the Initial Option, (ii) at the Effective Time, the Initial Option shall be automatically cancelled and forfeited without any payment to her, (iii) OPKO is not required to grant her the Additional Option, provided the Closing occurs, and (iv) OPKO has no further obligations under the GeneDx Stueland Employment Agreement from and after the Closing, including no obligation to pay her the balance of the Sign-On Bonus. Pursuant to the GeneDx Stueland Employment Agreement Amendment, OPKO acknowledged and agreed that all outstanding OPKO RSUs will become immediately vested in full immediately prior to the Closing, subject to Ms. Stueland’s continued employment with GeneDx.</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Stueland is also entitled to participate in OPKO’s employee benefit arrangements, on terms and conditions no less favorable than those available to any other similarly situated senior executive and is entitled to expense reimbursement for reasonable out-of-pocket expenses incurred in the course of her duties and in connection with her relocation from Seattle, Washington to Gaithersburg, Maryland.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GeneDx Stueland Employment Agreement contains restrictive covenants, including confidentiality of information, assignment of certain intellectual property, non-competition, non-solicitation and non-disparagement covenants. The confidentiality covenant and non-disparagement covenants have an indefinite term, and the non-competition and non-solicitation covenants are effective both during the executive’s employment with GeneDx and until the one year anniversary of her termination of employment. In addition, the GeneDx Stueland Employment Agreement further provides for severance benefits, as described below under “—</w:t>
      </w:r>
      <w:r>
        <w:rPr>
          <w:rFonts w:ascii="Arial" w:cs="Arial" w:eastAsia="Arial" w:hAnsi="Arial"/>
          <w:sz w:val="17"/>
          <w:szCs w:val="17"/>
          <w:i w:val="1"/>
          <w:iCs w:val="1"/>
          <w:color w:val="auto"/>
        </w:rPr>
        <w:t>Potential Payments Upon Termination and Change in Control</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OPKO has sought to establish and maintain competitive annual base salaries for its executive officers, including the Named Executive Officer, by utilizing available resources. OPKO provided fixed salary compensation to its named executive officers and the Named Executive Officer based on their responsibilities and individual experience, taking into account competitive market compensation paid by other companies for similar positions within the diagnostics and laboratory industries. In general, OPKO historically targeted executive officer compensation and base salary to fall within the median range for equivalent or similar positions of executives at peer group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Annual Bonus.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base salaries, OPKO’s Compensation Committee has had the authority to award discretionary annual bonuses to the Named Executive Officer based on corporate and individual performance. Incentives, as a percent of salary, increase with executive rank so that, as rank increases, a greater portion of total annual cash compensation is based on annual corporate and individual performance. Furthermore, as an executive’s rank increases, a greater percentage of that executive’s cash bonus is based on corporate performance, rather than individual performance. In 2022, Ms. Stueland was awarded a cash bonus of $137,500 for work performed in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OPKO believes that equity compensation should be a primary component of its executive compensation program because it aligns the interests of its executive officers with the long-term performance of OPKO. Stock options are a critical element of OPKO’s long-term incentive strategy. The primary purpose of stock options is to provide OPKO’s employees with a personal and financial interest in its success through stock ownership, thereby aligning the interests of such persons with those of OPKO’s stockholders. Under OPKO’s employee stock option program, options are granted at fair market value at the date of grant, and options granted under the program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exercisable only after a vesting period, which is subject to continued employment. Consequently, employees benefit from stock options only if the market value of OPKO’s common stock increases over time. With respect to these stock options, OPKO recognizes compensation expense based on FASB ASC Topic 718.</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OPKO Compensation Committee typically grants stock options to its employees under the OPKO Health, Inc. 2016 Equity Incentive Plan (the “</w:t>
      </w:r>
      <w:r>
        <w:rPr>
          <w:rFonts w:ascii="Arial" w:cs="Arial" w:eastAsia="Arial" w:hAnsi="Arial"/>
          <w:sz w:val="16"/>
          <w:szCs w:val="16"/>
          <w:i w:val="1"/>
          <w:iCs w:val="1"/>
          <w:color w:val="auto"/>
        </w:rPr>
        <w:t>2016 Equity Incentive Plan</w:t>
      </w:r>
      <w:r>
        <w:rPr>
          <w:rFonts w:ascii="Arial" w:cs="Arial" w:eastAsia="Arial" w:hAnsi="Arial"/>
          <w:sz w:val="16"/>
          <w:szCs w:val="16"/>
          <w:color w:val="auto"/>
        </w:rPr>
        <w:t>”) and previously the 2007 Equity Incentive Plan. As with base salaries and discretionary cash bonuses, there is no set formula or performance criteria, which determines the amount of the equity award for OPKO’s employees, including the Named Executive Officer. Nor does the OPKO Compensation Committee assign any relative weight to any specific factors or criteria it considers when granting stock options. Rather, the OPKO Compensation Committee exercises its judgment and discretion by considering all factors it deems relevant at the time of such grants, including the internally generated peer group survey previously discussed and OPKO’s performance during the most recent fiscal year. For the Named Executive Officer, the decisions by the OPKO Compensation Committee regarding grants of stock options are made based almost entirely upon the recommendation of OPKO’s Chief Executive Officer, and includes his subjective determination based on his assessment of the executive officer’s current position with OPKO, the executive officer’s past and expected future performance and the other factors discussed in the determination of base salaries.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Hedging</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OPKO’s officers and personnel are prohibited from pledging OPKO’s common stock, purchasing OPKO’s securities on margin, engaging in short selling OPKO’s common stock, buying or selling puts or calls in connection with OPKO’s securities and engaging in derivative transactions involving OPKO’s securities, without prior written consent from OPKO’s acting compliance officer. In addition, OPKO’s directors and executive officers, as well as certain other employees, generally may purchase or sell OPKO securities only during permitted windows, which generally begin on the first full business day following the issuance of its earnings releases and continuing until two weeks prior to the end of the fiscal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the Named Executive Officer as of December 31, 2021.</w:t>
      </w:r>
    </w:p>
    <w:p>
      <w:pPr>
        <w:spacing w:after="0" w:line="224" w:lineRule="exact"/>
        <w:rPr>
          <w:sz w:val="20"/>
          <w:szCs w:val="20"/>
          <w:color w:val="auto"/>
        </w:rPr>
      </w:pPr>
    </w:p>
    <w:p>
      <w:pPr>
        <w:ind w:left="3520"/>
        <w:spacing w:after="0"/>
        <w:tabs>
          <w:tab w:leader="none" w:pos="8600" w:val="left"/>
        </w:tabs>
        <w:rPr>
          <w:sz w:val="20"/>
          <w:szCs w:val="20"/>
          <w:color w:val="auto"/>
        </w:rPr>
      </w:pPr>
      <w:r>
        <w:rPr>
          <w:rFonts w:ascii="Arial" w:cs="Arial" w:eastAsia="Arial" w:hAnsi="Arial"/>
          <w:sz w:val="11"/>
          <w:szCs w:val="11"/>
          <w:b w:val="1"/>
          <w:bCs w:val="1"/>
          <w:color w:val="auto"/>
        </w:rPr>
        <w:t>Option Awards</w:t>
      </w:r>
      <w:r>
        <w:rPr>
          <w:sz w:val="20"/>
          <w:szCs w:val="20"/>
          <w:color w:val="auto"/>
        </w:rPr>
        <w:tab/>
      </w:r>
      <w:r>
        <w:rPr>
          <w:rFonts w:ascii="Arial" w:cs="Arial" w:eastAsia="Arial" w:hAnsi="Arial"/>
          <w:sz w:val="9"/>
          <w:szCs w:val="9"/>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22860</wp:posOffset>
            </wp:positionV>
            <wp:extent cx="637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Number of</w:t>
      </w:r>
    </w:p>
    <w:p>
      <w:pPr>
        <w:ind w:left="1440"/>
        <w:spacing w:after="0" w:line="235" w:lineRule="auto"/>
        <w:rPr>
          <w:sz w:val="20"/>
          <w:szCs w:val="20"/>
          <w:color w:val="auto"/>
        </w:rPr>
      </w:pPr>
      <w:r>
        <w:rPr>
          <w:rFonts w:ascii="Arial" w:cs="Arial" w:eastAsia="Arial" w:hAnsi="Arial"/>
          <w:sz w:val="10"/>
          <w:szCs w:val="10"/>
          <w:b w:val="1"/>
          <w:bCs w:val="1"/>
          <w:color w:val="auto"/>
        </w:rPr>
        <w:t>securities</w:t>
      </w:r>
    </w:p>
    <w:p>
      <w:pPr>
        <w:jc w:val="center"/>
        <w:ind w:left="1380"/>
        <w:spacing w:after="0" w:line="226" w:lineRule="auto"/>
        <w:rPr>
          <w:sz w:val="20"/>
          <w:szCs w:val="20"/>
          <w:color w:val="auto"/>
        </w:rPr>
      </w:pPr>
      <w:r>
        <w:rPr>
          <w:rFonts w:ascii="Arial" w:cs="Arial" w:eastAsia="Arial" w:hAnsi="Arial"/>
          <w:sz w:val="10"/>
          <w:szCs w:val="10"/>
          <w:b w:val="1"/>
          <w:bCs w:val="1"/>
          <w:color w:val="auto"/>
        </w:rPr>
        <w:t>underlying</w:t>
      </w:r>
    </w:p>
    <w:p>
      <w:pPr>
        <w:jc w:val="center"/>
        <w:ind w:left="1380"/>
        <w:spacing w:after="0"/>
        <w:rPr>
          <w:sz w:val="20"/>
          <w:szCs w:val="20"/>
          <w:color w:val="auto"/>
        </w:rPr>
      </w:pPr>
      <w:r>
        <w:rPr>
          <w:rFonts w:ascii="Arial" w:cs="Arial" w:eastAsia="Arial" w:hAnsi="Arial"/>
          <w:sz w:val="9"/>
          <w:szCs w:val="9"/>
          <w:b w:val="1"/>
          <w:bCs w:val="1"/>
          <w:color w:val="auto"/>
        </w:rPr>
        <w:t>unexercised</w:t>
      </w:r>
    </w:p>
    <w:p>
      <w:pPr>
        <w:jc w:val="center"/>
        <w:ind w:left="1380"/>
        <w:spacing w:after="0" w:line="180" w:lineRule="auto"/>
        <w:rPr>
          <w:sz w:val="20"/>
          <w:szCs w:val="20"/>
          <w:color w:val="auto"/>
        </w:rPr>
      </w:pPr>
      <w:r>
        <w:rPr>
          <w:rFonts w:ascii="Arial" w:cs="Arial" w:eastAsia="Arial" w:hAnsi="Arial"/>
          <w:sz w:val="10"/>
          <w:szCs w:val="10"/>
          <w:b w:val="1"/>
          <w:bCs w:val="1"/>
          <w:color w:val="auto"/>
        </w:rPr>
        <w:t xml:space="preserve">options </w:t>
      </w:r>
      <w:r>
        <w:rPr>
          <w:rFonts w:ascii="Arial" w:cs="Arial" w:eastAsia="Arial" w:hAnsi="Arial"/>
          <w:sz w:val="13"/>
          <w:szCs w:val="13"/>
          <w:b w:val="1"/>
          <w:bCs w:val="1"/>
          <w:color w:val="auto"/>
          <w:vertAlign w:val="superscript"/>
        </w:rPr>
        <w:t>(#)</w:t>
      </w:r>
    </w:p>
    <w:p>
      <w:pPr>
        <w:ind w:left="20"/>
        <w:spacing w:after="0"/>
        <w:tabs>
          <w:tab w:leader="none" w:pos="1380" w:val="left"/>
        </w:tabs>
        <w:rPr>
          <w:sz w:val="20"/>
          <w:szCs w:val="20"/>
          <w:color w:val="auto"/>
        </w:rPr>
      </w:pPr>
      <w:r>
        <w:rPr>
          <w:rFonts w:ascii="Arial" w:cs="Arial" w:eastAsia="Arial" w:hAnsi="Arial"/>
          <w:sz w:val="9"/>
          <w:szCs w:val="9"/>
          <w:b w:val="1"/>
          <w:bCs w:val="1"/>
          <w:color w:val="auto"/>
        </w:rPr>
        <w:t>Name</w:t>
      </w:r>
      <w:r>
        <w:rPr>
          <w:sz w:val="20"/>
          <w:szCs w:val="20"/>
          <w:color w:val="auto"/>
        </w:rPr>
        <w:tab/>
      </w:r>
      <w:r>
        <w:rPr>
          <w:rFonts w:ascii="Arial" w:cs="Arial" w:eastAsia="Arial" w:hAnsi="Arial"/>
          <w:sz w:val="9"/>
          <w:szCs w:val="9"/>
          <w:b w:val="1"/>
          <w:bCs w:val="1"/>
          <w:color w:val="auto"/>
        </w:rPr>
        <w:t>exercisable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9"/>
              </w:rPr>
              <w:t>Equity incentive plan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vMerge w:val="restart"/>
          </w:tcPr>
          <w:p>
            <w:pPr>
              <w:jc w:val="center"/>
              <w:ind w:right="33"/>
              <w:spacing w:after="0"/>
              <w:rPr>
                <w:sz w:val="20"/>
                <w:szCs w:val="20"/>
                <w:color w:val="auto"/>
              </w:rPr>
            </w:pPr>
            <w:r>
              <w:rPr>
                <w:rFonts w:ascii="Arial" w:cs="Arial" w:eastAsia="Arial" w:hAnsi="Arial"/>
                <w:sz w:val="11"/>
                <w:szCs w:val="11"/>
                <w:b w:val="1"/>
                <w:bCs w:val="1"/>
                <w:color w:val="auto"/>
                <w:w w:val="87"/>
              </w:rPr>
              <w:t>Number of securities</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awards: Number of</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60" w:type="dxa"/>
            <w:vAlign w:val="bottom"/>
            <w:vMerge w:val="continue"/>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securities underlying</w:t>
            </w:r>
          </w:p>
        </w:tc>
        <w:tc>
          <w:tcPr>
            <w:tcW w:w="700" w:type="dxa"/>
            <w:vAlign w:val="bottom"/>
            <w:vMerge w:val="restart"/>
          </w:tcPr>
          <w:p>
            <w:pPr>
              <w:jc w:val="center"/>
              <w:ind w:left="26"/>
              <w:spacing w:after="0"/>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08"/>
        </w:trPr>
        <w:tc>
          <w:tcPr>
            <w:tcW w:w="1160" w:type="dxa"/>
            <w:vAlign w:val="bottom"/>
          </w:tcPr>
          <w:p>
            <w:pPr>
              <w:jc w:val="center"/>
              <w:ind w:right="33"/>
              <w:spacing w:after="0" w:line="108" w:lineRule="exact"/>
              <w:rPr>
                <w:sz w:val="20"/>
                <w:szCs w:val="20"/>
                <w:color w:val="auto"/>
              </w:rPr>
            </w:pPr>
            <w:r>
              <w:rPr>
                <w:rFonts w:ascii="Arial" w:cs="Arial" w:eastAsia="Arial" w:hAnsi="Arial"/>
                <w:sz w:val="11"/>
                <w:szCs w:val="11"/>
                <w:b w:val="1"/>
                <w:bCs w:val="1"/>
                <w:color w:val="auto"/>
                <w:w w:val="87"/>
              </w:rPr>
              <w:t>underlying unexercised</w:t>
            </w:r>
          </w:p>
        </w:tc>
        <w:tc>
          <w:tcPr>
            <w:tcW w:w="1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Pr>
          <w:p>
            <w:pPr>
              <w:jc w:val="center"/>
              <w:ind w:right="33"/>
              <w:spacing w:after="0" w:line="108" w:lineRule="exact"/>
              <w:rPr>
                <w:sz w:val="20"/>
                <w:szCs w:val="20"/>
                <w:color w:val="auto"/>
              </w:rPr>
            </w:pPr>
            <w:r>
              <w:rPr>
                <w:rFonts w:ascii="Arial" w:cs="Arial" w:eastAsia="Arial" w:hAnsi="Arial"/>
                <w:sz w:val="9"/>
                <w:szCs w:val="9"/>
                <w:b w:val="1"/>
                <w:bCs w:val="1"/>
                <w:color w:val="auto"/>
              </w:rPr>
              <w:t xml:space="preserve">options </w:t>
            </w:r>
            <w:r>
              <w:rPr>
                <w:rFonts w:ascii="Arial" w:cs="Arial" w:eastAsia="Arial" w:hAnsi="Arial"/>
                <w:sz w:val="12"/>
                <w:szCs w:val="12"/>
                <w:b w:val="1"/>
                <w:bCs w:val="1"/>
                <w:color w:val="auto"/>
                <w:vertAlign w:val="superscript"/>
              </w:rPr>
              <w:t>(#)</w:t>
            </w:r>
            <w:r>
              <w:rPr>
                <w:rFonts w:ascii="Arial" w:cs="Arial" w:eastAsia="Arial" w:hAnsi="Arial"/>
                <w:sz w:val="9"/>
                <w:szCs w:val="9"/>
                <w:b w:val="1"/>
                <w:bCs w:val="1"/>
                <w:color w:val="auto"/>
              </w:rPr>
              <w:t xml:space="preserve"> unexercisable</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unexercised unearned</w:t>
            </w:r>
          </w:p>
        </w:tc>
        <w:tc>
          <w:tcPr>
            <w:tcW w:w="700" w:type="dxa"/>
            <w:vAlign w:val="bottom"/>
          </w:tcPr>
          <w:p>
            <w:pPr>
              <w:jc w:val="center"/>
              <w:ind w:left="26"/>
              <w:spacing w:after="0" w:line="108" w:lineRule="exact"/>
              <w:rPr>
                <w:sz w:val="20"/>
                <w:szCs w:val="20"/>
                <w:color w:val="auto"/>
              </w:rPr>
            </w:pPr>
            <w:r>
              <w:rPr>
                <w:rFonts w:ascii="Arial" w:cs="Arial" w:eastAsia="Arial" w:hAnsi="Arial"/>
                <w:sz w:val="11"/>
                <w:szCs w:val="11"/>
                <w:b w:val="1"/>
                <w:bCs w:val="1"/>
                <w:color w:val="auto"/>
                <w:w w:val="84"/>
              </w:rPr>
              <w:t>exercise price</w:t>
            </w:r>
          </w:p>
        </w:tc>
        <w:tc>
          <w:tcPr>
            <w:tcW w:w="0" w:type="dxa"/>
            <w:vAlign w:val="bottom"/>
          </w:tcPr>
          <w:p>
            <w:pPr>
              <w:spacing w:after="0"/>
              <w:rPr>
                <w:sz w:val="1"/>
                <w:szCs w:val="1"/>
                <w:color w:val="auto"/>
              </w:rPr>
            </w:pPr>
          </w:p>
        </w:tc>
      </w:tr>
      <w:tr>
        <w:trPr>
          <w:trHeight w:val="142"/>
        </w:trPr>
        <w:tc>
          <w:tcPr>
            <w:tcW w:w="1160" w:type="dxa"/>
            <w:vAlign w:val="bottom"/>
          </w:tcPr>
          <w:p>
            <w:pPr>
              <w:jc w:val="center"/>
              <w:ind w:right="33"/>
              <w:spacing w:after="0"/>
              <w:rPr>
                <w:sz w:val="20"/>
                <w:szCs w:val="20"/>
                <w:color w:val="auto"/>
              </w:rPr>
            </w:pPr>
            <w:r>
              <w:rPr>
                <w:rFonts w:ascii="Arial" w:cs="Arial" w:eastAsia="Arial" w:hAnsi="Arial"/>
                <w:sz w:val="7"/>
                <w:szCs w:val="7"/>
                <w:b w:val="1"/>
                <w:bCs w:val="1"/>
                <w:color w:val="auto"/>
                <w:w w:val="92"/>
              </w:rPr>
              <w:t>(1)</w:t>
            </w:r>
          </w:p>
        </w:tc>
        <w:tc>
          <w:tcPr>
            <w:tcW w:w="1180" w:type="dxa"/>
            <w:vAlign w:val="bottom"/>
          </w:tcPr>
          <w:p>
            <w:pPr>
              <w:jc w:val="center"/>
              <w:spacing w:after="0" w:line="142" w:lineRule="exact"/>
              <w:rPr>
                <w:sz w:val="20"/>
                <w:szCs w:val="20"/>
                <w:color w:val="auto"/>
              </w:rPr>
            </w:pPr>
            <w:r>
              <w:rPr>
                <w:rFonts w:ascii="Arial" w:cs="Arial" w:eastAsia="Arial" w:hAnsi="Arial"/>
                <w:sz w:val="11"/>
                <w:szCs w:val="11"/>
                <w:b w:val="1"/>
                <w:bCs w:val="1"/>
                <w:color w:val="auto"/>
                <w:w w:val="84"/>
              </w:rPr>
              <w:t xml:space="preserve">options </w:t>
            </w:r>
            <w:r>
              <w:rPr>
                <w:rFonts w:ascii="Arial" w:cs="Arial" w:eastAsia="Arial" w:hAnsi="Arial"/>
                <w:sz w:val="14"/>
                <w:szCs w:val="14"/>
                <w:b w:val="1"/>
                <w:bCs w:val="1"/>
                <w:color w:val="auto"/>
                <w:w w:val="84"/>
                <w:vertAlign w:val="superscript"/>
              </w:rPr>
              <w:t>(#)</w:t>
            </w:r>
          </w:p>
        </w:tc>
        <w:tc>
          <w:tcPr>
            <w:tcW w:w="700" w:type="dxa"/>
            <w:vAlign w:val="bottom"/>
          </w:tcPr>
          <w:p>
            <w:pPr>
              <w:jc w:val="center"/>
              <w:ind w:left="2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89"/>
              </w:rPr>
              <w:t>Option expiration</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shares or</w:t>
            </w:r>
          </w:p>
        </w:tc>
        <w:tc>
          <w:tcPr>
            <w:tcW w:w="1160" w:type="dxa"/>
            <w:vAlign w:val="bottom"/>
          </w:tcPr>
          <w:p>
            <w:pPr>
              <w:jc w:val="center"/>
              <w:ind w:left="46"/>
              <w:spacing w:after="0"/>
              <w:rPr>
                <w:sz w:val="20"/>
                <w:szCs w:val="20"/>
                <w:color w:val="auto"/>
              </w:rPr>
            </w:pPr>
            <w:r>
              <w:rPr>
                <w:rFonts w:ascii="Arial" w:cs="Arial" w:eastAsia="Arial" w:hAnsi="Arial"/>
                <w:sz w:val="11"/>
                <w:szCs w:val="11"/>
                <w:b w:val="1"/>
                <w:bCs w:val="1"/>
                <w:color w:val="auto"/>
                <w:w w:val="89"/>
              </w:rPr>
              <w:t>Market value of shares</w:t>
            </w: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units of stock that</w:t>
            </w:r>
          </w:p>
        </w:tc>
        <w:tc>
          <w:tcPr>
            <w:tcW w:w="116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86"/>
              </w:rPr>
              <w:t>of units of stock that</w:t>
            </w:r>
          </w:p>
        </w:tc>
        <w:tc>
          <w:tcPr>
            <w:tcW w:w="0" w:type="dxa"/>
            <w:vAlign w:val="bottom"/>
          </w:tcPr>
          <w:p>
            <w:pPr>
              <w:spacing w:after="0"/>
              <w:rPr>
                <w:sz w:val="1"/>
                <w:szCs w:val="1"/>
                <w:color w:val="auto"/>
              </w:rPr>
            </w:pPr>
          </w:p>
        </w:tc>
      </w:tr>
      <w:tr>
        <w:trPr>
          <w:trHeight w:val="182"/>
        </w:trPr>
        <w:tc>
          <w:tcPr>
            <w:tcW w:w="96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date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3"/>
              </w:rPr>
              <w:t xml:space="preserve">have not vested </w:t>
            </w:r>
            <w:r>
              <w:rPr>
                <w:rFonts w:ascii="Arial" w:cs="Arial" w:eastAsia="Arial" w:hAnsi="Arial"/>
                <w:sz w:val="14"/>
                <w:szCs w:val="14"/>
                <w:b w:val="1"/>
                <w:bCs w:val="1"/>
                <w:color w:val="auto"/>
                <w:w w:val="83"/>
                <w:vertAlign w:val="superscript"/>
              </w:rPr>
              <w:t>(#)</w:t>
            </w:r>
          </w:p>
        </w:tc>
        <w:tc>
          <w:tcPr>
            <w:tcW w:w="1160" w:type="dxa"/>
            <w:vAlign w:val="bottom"/>
          </w:tcPr>
          <w:p>
            <w:pPr>
              <w:jc w:val="center"/>
              <w:ind w:left="46"/>
              <w:spacing w:after="0"/>
              <w:rPr>
                <w:sz w:val="20"/>
                <w:szCs w:val="20"/>
                <w:color w:val="auto"/>
              </w:rPr>
            </w:pPr>
            <w:r>
              <w:rPr>
                <w:rFonts w:ascii="Arial" w:cs="Arial" w:eastAsia="Arial" w:hAnsi="Arial"/>
                <w:sz w:val="11"/>
                <w:szCs w:val="11"/>
                <w:b w:val="1"/>
                <w:bCs w:val="1"/>
                <w:color w:val="auto"/>
                <w:w w:val="84"/>
              </w:rPr>
              <w:t>have not vested ($)</w:t>
            </w:r>
            <w:r>
              <w:rPr>
                <w:rFonts w:ascii="Arial" w:cs="Arial" w:eastAsia="Arial" w:hAnsi="Arial"/>
                <w:sz w:val="14"/>
                <w:szCs w:val="14"/>
                <w:b w:val="1"/>
                <w:bCs w:val="1"/>
                <w:color w:val="auto"/>
                <w:w w:val="84"/>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-12065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Equity incentive plan awards: Number of unearned shares, units or other rights that have not vested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7"/>
          <w:szCs w:val="7"/>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9"/>
          <w:szCs w:val="9"/>
          <w:b w:val="1"/>
          <w:bCs w:val="1"/>
          <w:color w:val="auto"/>
        </w:rPr>
        <w:t>Equity incentive plan awards: Market or</w:t>
      </w:r>
    </w:p>
    <w:p>
      <w:pPr>
        <w:jc w:val="center"/>
        <w:ind w:left="20" w:right="40"/>
        <w:spacing w:after="0" w:line="233" w:lineRule="auto"/>
        <w:rPr>
          <w:sz w:val="20"/>
          <w:szCs w:val="20"/>
          <w:color w:val="auto"/>
        </w:rPr>
      </w:pPr>
      <w:r>
        <w:rPr>
          <w:rFonts w:ascii="Arial" w:cs="Arial" w:eastAsia="Arial" w:hAnsi="Arial"/>
          <w:sz w:val="10"/>
          <w:szCs w:val="10"/>
          <w:b w:val="1"/>
          <w:bCs w:val="1"/>
          <w:color w:val="auto"/>
        </w:rPr>
        <w:t>payout value of unearned shares, units or other rights that have not vested shares ($)</w:t>
      </w:r>
    </w:p>
    <w:p>
      <w:pPr>
        <w:spacing w:after="0" w:line="45" w:lineRule="exact"/>
        <w:rPr>
          <w:sz w:val="20"/>
          <w:szCs w:val="20"/>
          <w:color w:val="auto"/>
        </w:rPr>
      </w:pPr>
    </w:p>
    <w:p>
      <w:pPr>
        <w:sectPr>
          <w:pgSz w:w="11900" w:h="16838" w:orient="portrait"/>
          <w:cols w:equalWidth="0" w:num="5">
            <w:col w:w="1940" w:space="340"/>
            <w:col w:w="3040" w:space="260"/>
            <w:col w:w="3300" w:space="180"/>
            <w:col w:w="980" w:space="180"/>
            <w:col w:w="102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128"/>
        </w:trPr>
        <w:tc>
          <w:tcPr>
            <w:tcW w:w="1280" w:type="dxa"/>
            <w:vAlign w:val="bottom"/>
          </w:tcPr>
          <w:p>
            <w:pPr>
              <w:spacing w:after="0" w:line="129" w:lineRule="exact"/>
              <w:rPr>
                <w:sz w:val="20"/>
                <w:szCs w:val="20"/>
                <w:color w:val="auto"/>
              </w:rPr>
            </w:pPr>
            <w:r>
              <w:rPr>
                <w:rFonts w:ascii="Arial" w:cs="Arial" w:eastAsia="Arial" w:hAnsi="Arial"/>
                <w:sz w:val="14"/>
                <w:szCs w:val="14"/>
                <w:color w:val="auto"/>
              </w:rPr>
              <w:t>Katherine</w:t>
            </w:r>
          </w:p>
        </w:tc>
        <w:tc>
          <w:tcPr>
            <w:tcW w:w="11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28"/>
              <w:spacing w:after="0"/>
              <w:rPr>
                <w:sz w:val="20"/>
                <w:szCs w:val="20"/>
                <w:color w:val="auto"/>
              </w:rPr>
            </w:pPr>
            <w:r>
              <w:rPr>
                <w:rFonts w:ascii="Arial" w:cs="Arial" w:eastAsia="Arial" w:hAnsi="Arial"/>
                <w:sz w:val="14"/>
                <w:szCs w:val="14"/>
                <w:color w:val="auto"/>
              </w:rPr>
              <w:t>450,000</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3.78   06/20/2031</w:t>
            </w: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3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2,500,000</w:t>
            </w:r>
          </w:p>
        </w:tc>
        <w:tc>
          <w:tcPr>
            <w:tcW w:w="54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540" w:type="dxa"/>
            <w:vAlign w:val="bottom"/>
            <w:vMerge w:val="restart"/>
          </w:tcPr>
          <w:p>
            <w:pPr>
              <w:ind w:left="40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1280" w:type="dxa"/>
            <w:vAlign w:val="bottom"/>
          </w:tcPr>
          <w:p>
            <w:pPr>
              <w:ind w:left="160"/>
              <w:spacing w:after="0"/>
              <w:rPr>
                <w:sz w:val="20"/>
                <w:szCs w:val="20"/>
                <w:color w:val="auto"/>
              </w:rPr>
            </w:pPr>
            <w:r>
              <w:rPr>
                <w:rFonts w:ascii="Arial" w:cs="Arial" w:eastAsia="Arial" w:hAnsi="Arial"/>
                <w:sz w:val="14"/>
                <w:szCs w:val="14"/>
                <w:color w:val="auto"/>
              </w:rPr>
              <w:t>Stueland</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Options vest in four equal annual tranches, commencing on June 21, 2022, and expire on June 20, 2031. In connection with the GeneDx Stueland Employment Agreement Amendment Option, Ms. Stueland and OPKO agreed that such options shall be automatically cancelled and forfeited without any payment to her at the Effective Time.</w:t>
      </w:r>
    </w:p>
    <w:p>
      <w:pPr>
        <w:jc w:val="both"/>
        <w:ind w:left="340" w:hanging="332"/>
        <w:spacing w:after="0" w:line="276" w:lineRule="auto"/>
        <w:tabs>
          <w:tab w:leader="none" w:pos="332" w:val="left"/>
        </w:tabs>
        <w:numPr>
          <w:ilvl w:val="0"/>
          <w:numId w:val="165"/>
        </w:numPr>
        <w:rPr>
          <w:rFonts w:ascii="Arial" w:cs="Arial" w:eastAsia="Arial" w:hAnsi="Arial"/>
          <w:sz w:val="13"/>
          <w:szCs w:val="13"/>
          <w:color w:val="auto"/>
        </w:rPr>
      </w:pPr>
      <w:r>
        <w:rPr>
          <w:rFonts w:ascii="Arial" w:cs="Arial" w:eastAsia="Arial" w:hAnsi="Arial"/>
          <w:sz w:val="13"/>
          <w:szCs w:val="13"/>
          <w:color w:val="auto"/>
        </w:rPr>
        <w:t>Consists of RSUs granted on June 21, 2021, and 50% of such RSUs vest on June 21, 2022, with the remaining 50% scheduled to vest on December 21, 2022, provided that the OPKO RSUs shall become immediately vested in full upon the occurrence of certain events, including a change of control of GeneDx. In connection with the GeneDx Stueland Employment Agreement Amendment, OPKO acknowledged and agreed that all outstanding OPKO RSUs will become immediately vested in full immediately prior to the Closing.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Named Executive Officer is entitled to severance or change of control benefits as described below in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Change in Control</w:t>
      </w:r>
      <w:r>
        <w:rPr>
          <w:rFonts w:ascii="Arial" w:cs="Arial" w:eastAsia="Arial" w:hAnsi="Arial"/>
          <w:sz w:val="18"/>
          <w:szCs w:val="18"/>
          <w:color w:val="auto"/>
        </w:rPr>
        <w:t>—</w:t>
      </w:r>
      <w:r>
        <w:rPr>
          <w:rFonts w:ascii="Arial" w:cs="Arial" w:eastAsia="Arial" w:hAnsi="Arial"/>
          <w:sz w:val="18"/>
          <w:szCs w:val="18"/>
          <w:i w:val="1"/>
          <w:iCs w:val="1"/>
          <w:color w:val="auto"/>
        </w:rPr>
        <w:t>Stueland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type w:val="continuous"/>
        </w:sectPr>
      </w:pPr>
    </w:p>
    <w:bookmarkStart w:id="235" w:name="page236"/>
    <w:bookmarkEnd w:id="23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Profit Sharing Plan.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OPKO has adopted a tax-qualified 401(k) Profit Sharing Plan (the “</w:t>
      </w:r>
      <w:r>
        <w:rPr>
          <w:rFonts w:ascii="Arial" w:cs="Arial" w:eastAsia="Arial" w:hAnsi="Arial"/>
          <w:sz w:val="16"/>
          <w:szCs w:val="16"/>
          <w:i w:val="1"/>
          <w:iCs w:val="1"/>
          <w:color w:val="auto"/>
        </w:rPr>
        <w:t>401(k) Plan</w:t>
      </w:r>
      <w:r>
        <w:rPr>
          <w:rFonts w:ascii="Arial" w:cs="Arial" w:eastAsia="Arial" w:hAnsi="Arial"/>
          <w:sz w:val="16"/>
          <w:szCs w:val="16"/>
          <w:color w:val="auto"/>
        </w:rPr>
        <w:t>”) covering all qualified employees. The effective date of the 401(k) Plan was January 2008. Participants may elect a salary reduction of at least 1% as a contribution to the 401(k) Plan, up to the statutorily prescribed annual limit for tax-deferred contributions ($19,500 for employees under age 50 and an additional $6,500 for employees 50 and above in 2020). In 2008, OPKO adopted the Roth contribution for employee elections. The 401(k) Plan permits employer matching of up to 4% of a participant’s salary up to the statutory limits. In 2010, OPKO elected a safe harbor contribution at 4% of annual compensation. All of OPKO’s safe harbor contributions are immediately vested.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Named Executive Officer has standard benefits that are offered to all full-time, exempt employees of OPKO. These standard benefits include health, dental and life insurance, and short and long-term disability.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and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Stueland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the terms of the GeneDx Stueland Employment Agreement, if Ms. Stueland’s employment is terminated (i) by GeneDx without “cause” (as defined in the GeneDx Stueland Employment Agreement) and not due to her death or disability or (ii) for “good reason” (as defined in the GeneDx Stueland Employment Agreement) by Ms. Stueland, Ms. Stueland will be entitled to receive the following severance payments in a lump cash payment within thirty (30) days of the date of termination, in addition to certain accrued obligations (including any earned but unpaid prior year annual bonus):</w:t>
      </w:r>
    </w:p>
    <w:p>
      <w:pPr>
        <w:spacing w:after="0" w:line="103"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amount equal to 12 months’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amount equal to the target bonus for the year of termination of employment;</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 amount equal to twelve (12) months of the employer portion of GeneDx’s or OPKO’s, as applicable, group health plan premiums that such company would have paid for Ms. Stueland and her dependents if she remained an active participant during such twelve (12)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remaining portion of the Sign-On Bonus not yet paid to Ms. Stueland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upon a “change of control” (as defined in the GeneDx Stueland Employment Agreement), Ms. Stueland’s termination without cause or her resignation for good reason, the OPKO RSUs will immediately vest. Prior to June 21, 2022, upon a change of control, Ms. Stueland’s termination without cause or her resignation for good reason, or after June 21, 2022, upon Ms. Stueland’s termination without cause or her resignation for good reason within three months before, or 12 months after, a change of control, the Initial Option and Additional Option (as applicable) granted pursuant to the GeneDx Stueland Employment Agreement described above will immediately vest.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Stueland and OPKO agreed in the GeneDx Stueland Employment Agreement to revise certain of the terms of the GeneDx Stueland Employment Agreement, including the affect on Ms. Stueland’s equity awards and OPKO’s obligations to Ms. Stueland, from and after the Closing, as more fully described in “—</w:t>
      </w:r>
      <w:r>
        <w:rPr>
          <w:rFonts w:ascii="Arial" w:cs="Arial" w:eastAsia="Arial" w:hAnsi="Arial"/>
          <w:sz w:val="18"/>
          <w:szCs w:val="18"/>
          <w:i w:val="1"/>
          <w:iCs w:val="1"/>
          <w:color w:val="auto"/>
        </w:rPr>
        <w:t>Narrative to Summary Compensation Table</w:t>
      </w:r>
      <w:r>
        <w:rPr>
          <w:rFonts w:ascii="Arial" w:cs="Arial" w:eastAsia="Arial" w:hAnsi="Arial"/>
          <w:sz w:val="18"/>
          <w:szCs w:val="18"/>
          <w:color w:val="auto"/>
        </w:rPr>
        <w:t>—</w:t>
      </w:r>
      <w:r>
        <w:rPr>
          <w:rFonts w:ascii="Arial" w:cs="Arial" w:eastAsia="Arial" w:hAnsi="Arial"/>
          <w:sz w:val="18"/>
          <w:szCs w:val="18"/>
          <w:i w:val="1"/>
          <w:iCs w:val="1"/>
          <w:color w:val="auto"/>
        </w:rPr>
        <w:t>Stueland GeneDx Employment Agreement</w:t>
      </w:r>
      <w:r>
        <w:rPr>
          <w:rFonts w:ascii="Arial" w:cs="Arial" w:eastAsia="Arial" w:hAnsi="Arial"/>
          <w:sz w:val="18"/>
          <w:szCs w:val="18"/>
          <w:color w:val="auto"/>
        </w:rPr>
        <w:t>” above.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Upon a termination of Ms. Stueland’s employment for cause or due to her death or as a result of her disability, Ms. Stueland will be entitled to certain accrued obligations (including any earned but unpaid prior year annual bonus).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GeneDx’s obligation to provide the severance payments and benefits described above are contingent upon Ms. Stueland’s execution and non-revocation of a release of claims against GeneDx and its parent entities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of OPKO’s non-employee directors is currently entitled to receive an annual retainer of $30,000, payable in quarterly installments, an option to acquire 50,000 shares of OPKO’s common stock upon initial appointment to the OPKO’s board of directors and an option to acquire 30,000 shares each year thereafter on the date of OPKO’s annual meeting of stockholders. Richard Pfenniger is the Lead Independent Director and chairman of the Audit Committee of OPKO’s Board of Directors. Accordingly, he is entitled to receive (1) an additional annual retainer of $10,000, payable in quarterly installments, and an option to acquire 15,000 shares of OPKO’s common stock each year on the date of the OPKO’s annual meeting of stockholders, (2) an additional annual retainer of $15,000, payable in quarterly installments, and (3) an option to acquire 15,000 shares of OPKO’s common stock each year on the date of OPKO’s annual meeting of stockholders.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compensation earned by Mr. Pfenniger for fiscal year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Compensation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Fees Earned or</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Nonqualified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Deferred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Paid in Cash</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 ($)</w:t>
            </w:r>
          </w:p>
        </w:tc>
        <w:tc>
          <w:tcPr>
            <w:tcW w:w="11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400" w:type="dxa"/>
            <w:vAlign w:val="bottom"/>
            <w:gridSpan w:val="2"/>
            <w:vMerge w:val="continue"/>
          </w:tcPr>
          <w:p>
            <w:pPr>
              <w:spacing w:after="0"/>
              <w:rPr>
                <w:sz w:val="11"/>
                <w:szCs w:val="11"/>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5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00" w:type="dxa"/>
            <w:vAlign w:val="bottom"/>
          </w:tcPr>
          <w:p>
            <w:pPr>
              <w:jc w:val="right"/>
              <w:ind w:right="353"/>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(4)</w:t>
            </w:r>
          </w:p>
        </w:tc>
        <w:tc>
          <w:tcPr>
            <w:tcW w:w="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Earnings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 ($)</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Richard C. Pfenniger, Jr.</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139,200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188,523</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Taken in Connection with the Closing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Stueland Sema4 Employment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connection with the execution of the Merger Agreement, Sema4 and Ms. Stueland entered into a certain Employment Agreement, dated as of January 14, 2022 (the </w:t>
      </w:r>
      <w:r>
        <w:rPr>
          <w:rFonts w:ascii="Arial" w:cs="Arial" w:eastAsia="Arial" w:hAnsi="Arial"/>
          <w:sz w:val="17"/>
          <w:szCs w:val="17"/>
          <w:i w:val="1"/>
          <w:iCs w:val="1"/>
          <w:color w:val="auto"/>
        </w:rPr>
        <w:t>“Sema4 Stueland Employment Agreement”</w:t>
      </w:r>
      <w:r>
        <w:rPr>
          <w:rFonts w:ascii="Arial" w:cs="Arial" w:eastAsia="Arial" w:hAnsi="Arial"/>
          <w:sz w:val="17"/>
          <w:szCs w:val="17"/>
          <w:color w:val="auto"/>
        </w:rPr>
        <w:t>), pursuant to which Sema4 agreed, immediately following the Closing, to employ Ms. Stueland as the Co-Chief Executive Officer of Sema4 for a term of three years, which shall automatically renew for successive one year terms unless earlier terminated (such period from the commencement of employment under the termination thereof, the “</w:t>
      </w:r>
      <w:r>
        <w:rPr>
          <w:rFonts w:ascii="Arial" w:cs="Arial" w:eastAsia="Arial" w:hAnsi="Arial"/>
          <w:sz w:val="17"/>
          <w:szCs w:val="17"/>
          <w:i w:val="1"/>
          <w:iCs w:val="1"/>
          <w:color w:val="auto"/>
        </w:rPr>
        <w:t>Term</w:t>
      </w:r>
      <w:r>
        <w:rPr>
          <w:rFonts w:ascii="Arial" w:cs="Arial" w:eastAsia="Arial" w:hAnsi="Arial"/>
          <w:sz w:val="17"/>
          <w:szCs w:val="17"/>
          <w:color w:val="auto"/>
        </w:rPr>
        <w:t>”). The Sema4 Stueland Employment Agreement contemplates a base salary of $675,000 per year, subject to review by the Sema4’s Board at least annually, and a performance bonus based on the achievement of certain goals for Sema4 and/or Ms. Stueland as mutually agreed by Ms. Stueland and the Board of Directors at the beginning of each calendar year, with a target amount equal to one hundred percent of the base salary. Ms. Stueland will receive a cash bonus equal to the lesser of (i) $1,500,000 and (ii) the amount treated as a “Transaction Expense” for purposes of the Merger Agreement on account of clause (i) of the “Stueland Employment Agreement Obligations,” within the meaning of the Merger Agreement, which will be payable within the first full payroll period following the Closing. As soon as practicable after the Sema4 Stueland Employment Agreement’s effective date, subject to approval of Sema4’s Board, Sema4 will grant Ms. Stueland an option to purchase shares of Class A common stock with a grant-date value equal to $4,500,000, with an exercise price equal to the closing price of the Class A common stock on the date of grant, and a number of restricted stock units with a grant-date value equal to $4,500,000. Such equity awards described in the preceding sentence will be subject to the terms of the 2021 EIP, and will vest and become exercisable as follows: 25% on the first anniversary of the Closing, 25% on the second anniversary of the Closing and 6.25% on a quarterly basis thereafter through the fourth anniversary of the Closing.</w:t>
      </w:r>
    </w:p>
    <w:p>
      <w:pPr>
        <w:spacing w:after="0" w:line="12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Ms. Stueland will also be entitled to participate in Sema4’s employee benefit arrangements provided to the Company’s most senior executive officers and is entitled to expense reimbursement for out-of-pocket expenses in accordance with Company policies and up to four weeks of vacation per year.</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Sema4 Stueland Employment Agreement contains restrictive covenants, including confidentiality of information, assignment of certain intellectual property, non-competition and non-solicitation covenants. The confidentiality covenant has an indefinite term, and the non-competition and non-solicitation covenants are effective both during the Ms. Stueland’s employment with Sema4 and until the one year anniversary of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terms of the Sema4 Stueland Employment Agreement, if Ms. Stueland’s employment is terminated (i) by Sema4 without “cause” (as defined in the Sema4 Stueland Employment Agreement) and not due to her death or disability or (ii) for “good reason” (as defined in the Sema4 Stueland Employment Agreement) by Ms. Stueland, Ms. Stueland will be entitled, subject to certain conditions, to receive the following severance payments, in addition to certain accrued obligations (including any earned but unpaid prior year annual bonus):</w:t>
      </w:r>
    </w:p>
    <w:p>
      <w:pPr>
        <w:spacing w:after="0" w:line="117"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twenty four (24) months’ of continued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up to twenty four (24) months of reimbursement of the employer portion of COBRA health insurance coverage;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accelerated vesting of the unvested portion of the Sema4 Initial Option with an aggregate grant date value equal to the amount treated as a “Transaction Expense” for purposes of the Merger Agreement on account of clause (ii) of the “Stueland Employment Agreement Obligations” (as defined in the Merger Agreement).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inside the “Change in Control Period” (as defined in the Sema4 Stueland Employment Agreement), upon Ms. Stueland’s termination without cause or her resignation for good reason, Sema4 will pay Ms. Stueland a lump sum in an amount equal to two hundred percent (200%) of her target performance bonus for the calendar year in which her employment terminated and the vesting of all unvested equity based compensation awards held by Ms. Stueland shall be immediately accelerated and, if applicable, exercisable.</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Upon a termination of Ms. Stueland’s employment for cause or due to her death or as a result of her disability, Ms. Stueland will be entitled to certain accrued obligations (including any earned but unpaid prior year annual bonus).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obligation to provide the severance payments and benefits described above are contingent upon Ms. Stueland’s execution and non-revocation of a release of claims against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 OF GENEDX</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table sets forth the information required by Item 402(t) of Regulation S-K regarding the compensation for the Named Executive Officer that is based on or otherwise relates to the Acquisition, assuming that the Acquisition was consummated on March 15, 2022 (which is the date assumed solely for the purposes of this golden parachute disclosure), and that the Named Executive Officer’s employment was terminated on the day that resulted in her receipt of the maximum amount of severance benefits under the Sema4 Stueland Employment Agreement as a result of a termination of employment following a change of control event, together with the value of the unvested equity awards that would be accelerated as a result of the Acquisition. The amounts shown in the table do not include the value of payments or benefits that would have been earned, or any amounts associated with equity awards that have vested or would vest pursuant to their terms, on or prior to the assumed effective date of the Acquisition or the value of payments or benefits that are not based on or otherwise related to the Acquisition.</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purposes of calculating the potential payments set forth in the table below, GeneDx has assumed that (a) the Acquisition will become effective on March 15, 2022, (b) unless otherwise noted, that the date of termination of employment of the Named Executive Officer is March 15, 2022; (c) the OPKO common stock price is $3.85 per share (the average closing price per share of OPKO common stock for the five trading days immediately following the date of announcement of the Acquisition); and (d) no withholding taxes are applicable to any payments set forth in the table. The amounts shown in the table are estimates only, are based on assumptions and information available to date, and do not reflect any cutback that may be applied to the payments and benefits otherwise payable to the Named Executive Officer to put her in a better after-tax position in the event of the imposition of any excise taxes under Sections 280G and 4999 of the Internal Revenue Code, as contemplated by GeneDx Stueland Employment Agreement or 2016 Equity Incentive Plan, as applicable. The actual amounts that may be paid upon an individual’s termination of employment, if any, can only be determined at the actual time of such termination.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Cash ($)</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Equity ($)</w:t>
            </w:r>
          </w:p>
        </w:tc>
        <w:tc>
          <w:tcPr>
            <w:tcW w:w="80" w:type="dxa"/>
            <w:vAlign w:val="bottom"/>
            <w:vMerge w:val="restart"/>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Pension/NQDC</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Perquisites/Benefits</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 reimbursement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Other ($)</w:t>
            </w:r>
          </w:p>
        </w:tc>
        <w:tc>
          <w:tcPr>
            <w:tcW w:w="80" w:type="dxa"/>
            <w:vAlign w:val="bottom"/>
            <w:vMerge w:val="restart"/>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Total Compensation</w:t>
            </w:r>
          </w:p>
        </w:tc>
        <w:tc>
          <w:tcPr>
            <w:tcW w:w="0" w:type="dxa"/>
            <w:vAlign w:val="bottom"/>
          </w:tcPr>
          <w:p>
            <w:pPr>
              <w:spacing w:after="0"/>
              <w:rPr>
                <w:sz w:val="1"/>
                <w:szCs w:val="1"/>
                <w:color w:val="auto"/>
              </w:rPr>
            </w:pPr>
          </w:p>
        </w:tc>
      </w:tr>
      <w:tr>
        <w:trPr>
          <w:trHeight w:val="188"/>
        </w:trPr>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8"/>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Katherine Stueland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2,577,798</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60"/>
              <w:spacing w:after="0"/>
              <w:rPr>
                <w:sz w:val="20"/>
                <w:szCs w:val="20"/>
                <w:color w:val="auto"/>
              </w:rPr>
            </w:pPr>
            <w:r>
              <w:rPr>
                <w:rFonts w:ascii="Arial" w:cs="Arial" w:eastAsia="Arial" w:hAnsi="Arial"/>
                <w:sz w:val="22"/>
                <w:szCs w:val="22"/>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99"/>
              </w:rPr>
              <w:t>—</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9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5,447,597.00</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Cash. The estimated amount shown in this column represents 24 months of base salary continuation payable in the event of a qualifying termination of Ms. Stueland’s employment and the $1,500,000 cash bonus that Ms. Stueland will receive from Sema4 within the first full payroll period following the Closing. The salary continuation payments are “double-trigger” benefits in that they will be paid to Ms. Stueland only if she experiences a qualifying termination of employment following the Closing. The $1,500,000 cash bonus is a “single-trigger” benefit in that will be paid shortly following the Closing, whether or not Ms. Stueland’s employment is later terminated.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Equity. The estimated amount shown in this column represents (a) $31,500, which the value of the Initial Option that would be expected to be treated as “Transaction Expense” for purposes of the Merger Agreement on account of clause (ii) of the “Stueland Employment Agreement Obligations,” within the meaning of the Merger Agreement, and (b) $2,546,298, which is the value of the OPKO RSUs which will become fully vested immediately prior to the Closing, subject to Ms. Stueland’s continued employment with GeneDx, in each case based on an OPKO common stock price of $3.85 per share. The amount described in clause (a) is a “double-trigger” benefit in that Ms. Stueland will receive this acceleration benefit only if she experiences a qualifying termination of employment following the Closing. The amount described in clause (b) is a “single-trigger” benefit in that Ms. Stueland will receive this acceleration benefit in connection with the Closing, whether or not Ms. Stueland’s employment is later terminated.</w:t>
      </w:r>
    </w:p>
    <w:p>
      <w:pPr>
        <w:spacing w:after="0" w:line="2"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Perquisites/Benefits. The estimated amount shown in this column represents the value of the continued medical, dental, and vision benefits that Ms. Stueland would receive for a period of 24 months following a qualifying termination of employment. This is a “double-trigger” benefit in that it will be provided to Ms. Stueland only if she experiences a qualifying termination of employment following the Closing.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Sema4 Directors and Officers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Charter contains provisions limiting the liability of directors, and Sema4’s Bylaws provide that it will indemnify each of its directors to the fullest extent permitted under Delaware law. Sema4’s Charter and Bylaws also provide Sema4’s Board with discretion to indemnify officers and employees when determined appropriate by the Board.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has entered into indemnification agreements with each of its directors and executive officers and certain other key employees. In connection with the Closing of the Acquisition, Sema4 expects to enter into indemnification agreements with each of the new directors and executive officer, as applicable. The indemnification agreements provide that Sema4 will indemnify each of its directors, executive officers, and such other key employees against any and all expenses incurred by that director, executive officer, or other key employee because of his or her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one of the Sema4’s directors, executive officers, or other key employees, to the fullest extent permitted by Delaware law, Sema4’s Charter and its Bylaws. In addition, the indemnification agreements provide that, to the fullest extent permitted by Delaware law, Sema4 will advance all expenses incurred by its directors, executive officers, and other key employees in connection with a legal proceeding involving his or her status as a director, executive officer, or key employee. For information on the indemnification of GeneDx’s officers and directors following the Acquisition,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Covenants and Agreements</w:t>
      </w:r>
      <w:r>
        <w:rPr>
          <w:rFonts w:ascii="Arial" w:cs="Arial" w:eastAsia="Arial" w:hAnsi="Arial"/>
          <w:sz w:val="18"/>
          <w:szCs w:val="18"/>
          <w:color w:val="auto"/>
        </w:rPr>
        <w:t>—</w:t>
      </w:r>
      <w:r>
        <w:rPr>
          <w:rFonts w:ascii="Arial" w:cs="Arial" w:eastAsia="Arial" w:hAnsi="Arial"/>
          <w:sz w:val="18"/>
          <w:szCs w:val="18"/>
          <w:i w:val="1"/>
          <w:iCs w:val="1"/>
          <w:color w:val="auto"/>
        </w:rPr>
        <w:t>Insurance; D&amp;O Indemnification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SEMA4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names, ages as of February 22, 2022, and certain other information regarding our executive officers and directors: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Dennis Charney, M.D.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 Ph.D.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A. Meister</w:t>
            </w:r>
            <w:r>
              <w:rPr>
                <w:rFonts w:ascii="Arial" w:cs="Arial" w:eastAsia="Arial" w:hAnsi="Arial"/>
                <w:sz w:val="23"/>
                <w:szCs w:val="23"/>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Sherman, M.D., M.P.H., F.A.C.P.</w:t>
            </w:r>
            <w:r>
              <w:rPr>
                <w:rFonts w:ascii="Arial" w:cs="Arial" w:eastAsia="Arial" w:hAnsi="Arial"/>
                <w:sz w:val="23"/>
                <w:szCs w:val="23"/>
                <w:color w:val="auto"/>
                <w:vertAlign w:val="superscript"/>
              </w:rPr>
              <w:t>(3)(6)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has served as our Chief Executive Officer and as a member of our Board since July 2021. Dr. Schadt was the founder of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our Chief Financial Officer since July 2021. Mr. Ro previously served as Legacy Sema4’s Chief Financial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Kareem Saad </w:t>
      </w:r>
      <w:r>
        <w:rPr>
          <w:rFonts w:ascii="Arial" w:cs="Arial" w:eastAsia="Arial" w:hAnsi="Arial"/>
          <w:sz w:val="16"/>
          <w:szCs w:val="16"/>
          <w:color w:val="auto"/>
        </w:rPr>
        <w:t>has served as our Chief Business Officer since July 2021. Mr. Saad previously served as Legacy Sema4’s Chief Business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our Chief People Officer since July 2021. Ms. White previously served as Legacy Sema4’s Chief People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2020 to July 2021. Prior to joining Sema4, Ms. White was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Dennis Charney, M.D., </w:t>
      </w:r>
      <w:r>
        <w:rPr>
          <w:rFonts w:ascii="Arial" w:cs="Arial" w:eastAsia="Arial" w:hAnsi="Arial"/>
          <w:sz w:val="16"/>
          <w:szCs w:val="16"/>
          <w:color w:val="auto"/>
        </w:rPr>
        <w:t>has served as a member of our Board since July 2021, and previously served as a member of Legacy Sema4’s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Eli D. Casdin </w:t>
      </w:r>
      <w:r>
        <w:rPr>
          <w:rFonts w:ascii="Arial" w:cs="Arial" w:eastAsia="Arial" w:hAnsi="Arial"/>
          <w:sz w:val="16"/>
          <w:szCs w:val="16"/>
          <w:color w:val="auto"/>
        </w:rPr>
        <w:t>has served as a member of our Board since July 2020, and from, previously served as the Chief Executive Officer of CMLS from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Arial" w:cs="Arial" w:eastAsia="Arial" w:hAnsi="Arial"/>
          <w:sz w:val="16"/>
          <w:szCs w:val="16"/>
          <w:i w:val="1"/>
          <w:iCs w:val="1"/>
          <w:color w:val="auto"/>
        </w:rPr>
        <w:t>CMLS II</w:t>
      </w:r>
      <w:r>
        <w:rPr>
          <w:rFonts w:ascii="Arial" w:cs="Arial" w:eastAsia="Arial" w:hAnsi="Arial"/>
          <w:sz w:val="16"/>
          <w:szCs w:val="16"/>
          <w:color w:val="auto"/>
        </w:rPr>
        <w:t>”)), since September 2021 (having previously served as the Chief Executive Officer of CMLS II from February 2021 to September 2021), and EQRx, Inc., a pharmaceutical company (formerly, CM Life Sciences III Inc., a special purpose acquisition company (“</w:t>
      </w:r>
      <w:r>
        <w:rPr>
          <w:rFonts w:ascii="Arial" w:cs="Arial" w:eastAsia="Arial" w:hAnsi="Arial"/>
          <w:sz w:val="16"/>
          <w:szCs w:val="16"/>
          <w:i w:val="1"/>
          <w:iCs w:val="1"/>
          <w:color w:val="auto"/>
        </w:rPr>
        <w:t>CMLS III</w:t>
      </w:r>
      <w:r>
        <w:rPr>
          <w:rFonts w:ascii="Arial" w:cs="Arial" w:eastAsia="Arial" w:hAnsi="Arial"/>
          <w:sz w:val="16"/>
          <w:szCs w:val="16"/>
          <w:color w:val="auto"/>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Emily Leproust, Ph.D., </w:t>
      </w:r>
      <w:r>
        <w:rPr>
          <w:rFonts w:ascii="Arial" w:cs="Arial" w:eastAsia="Arial" w:hAnsi="Arial"/>
          <w:sz w:val="16"/>
          <w:szCs w:val="16"/>
          <w:color w:val="auto"/>
        </w:rPr>
        <w:t>has served as a member of our Board since September 2020. Dr. Leproust has been President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Roar Digital.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Rachel Sherman, M.D., </w:t>
      </w:r>
      <w:r>
        <w:rPr>
          <w:rFonts w:ascii="Arial" w:cs="Arial" w:eastAsia="Arial" w:hAnsi="Arial"/>
          <w:sz w:val="18"/>
          <w:szCs w:val="18"/>
          <w:color w:val="auto"/>
        </w:rPr>
        <w:t>M.P.H., F.A.C.P., has served as a member of our Board since July 2021, previously served as a member of Legacy Sema4’s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member of our Board since July 2021. Mr. Turner is currently CEO of Collectors Universe, an authentication and grading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FOLLOWING THE ACQUISITION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our current officers and directors will continue to serve as such following the Acquisition. It is also anticipated that upon consummation of the acquisition, Ms. Stueland will become the new Co-Chief Executive Officer of the Company. Following the Acquisition, our directors and executive officers will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Katherine Stueland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Shawn Assad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57"/>
        </w:trPr>
        <w:tc>
          <w:tcPr>
            <w:tcW w:w="5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3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Emily Leproust, Ph.D.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Keith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Richard C. Pfenniger, Jr.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Mr. Schadt, Mr. Ryan, Mr. Ro, Mr. Assad, Mr. Clark, Mr. Prentice, Mr. Saad and Ms. White please refer to “</w:t>
      </w:r>
      <w:r>
        <w:rPr>
          <w:rFonts w:ascii="Arial" w:cs="Arial" w:eastAsia="Arial" w:hAnsi="Arial"/>
          <w:sz w:val="18"/>
          <w:szCs w:val="18"/>
          <w:i w:val="1"/>
          <w:iCs w:val="1"/>
          <w:color w:val="auto"/>
        </w:rPr>
        <w:t>Management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Sema4</w:t>
      </w:r>
      <w:r>
        <w:rPr>
          <w:rFonts w:ascii="Arial" w:cs="Arial" w:eastAsia="Arial" w:hAnsi="Arial"/>
          <w:sz w:val="18"/>
          <w:szCs w:val="18"/>
          <w:color w:val="auto"/>
        </w:rPr>
        <w:t>” above.</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Katherine Stueland </w:t>
      </w:r>
      <w:r>
        <w:rPr>
          <w:rFonts w:ascii="Arial" w:cs="Arial" w:eastAsia="Arial" w:hAnsi="Arial"/>
          <w:sz w:val="16"/>
          <w:szCs w:val="16"/>
          <w:color w:val="auto"/>
        </w:rPr>
        <w:t>has been the President and Chief Executive Officer of GeneDx since June 2021, and will serve as Sema4’s Co-Chief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following the completion of the Acquisition. Prior to joining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information regarding Mr. Charney, Mr. Casdin, Ms. Leproust, Mr. Meister, Mr. Pellini, Mr. Ruch, Ms. Sherman, and Mr. Turner please refer to “</w:t>
      </w:r>
      <w:r>
        <w:rPr>
          <w:rFonts w:ascii="Arial" w:cs="Arial" w:eastAsia="Arial" w:hAnsi="Arial"/>
          <w:sz w:val="18"/>
          <w:szCs w:val="18"/>
          <w:i w:val="1"/>
          <w:iCs w:val="1"/>
          <w:color w:val="auto"/>
        </w:rPr>
        <w:t>Management of Sema4</w:t>
      </w:r>
      <w:r>
        <w:rPr>
          <w:rFonts w:ascii="Arial" w:cs="Arial" w:eastAsia="Arial" w:hAnsi="Arial"/>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Richard C. Pfenniger, Jr.</w:t>
      </w:r>
      <w:r>
        <w:rPr>
          <w:rFonts w:ascii="Arial" w:cs="Arial" w:eastAsia="Arial" w:hAnsi="Arial"/>
          <w:sz w:val="16"/>
          <w:szCs w:val="16"/>
          <w:color w:val="auto"/>
        </w:rPr>
        <w:t>, is a private investor and has previously served as Interim CEO of Vein Clinics of America, Inc., a privately held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specializes in the treatment of vein disease, from May 2014 to February 2015 and as Interim CEO of IntegraMed America, Inc., a privately held company that manages outpatient fertility medical centers, from January 2013 to June 2013. He served as Chief Executive Officer and President for Continucare Corporation, a provider of primary care physician and practice management services, from 2003 until 2011, and served as Chairman of the Board of Directors of Continucare Corporation from 2002 until 2011. Previously, Mr. Pfenniger served as the Chief Executive Officer and Vice Chairman of Whitman Education Group, Inc. from 1997 through June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medical test and medication company focused on diagnostics and pharmaceuticals, GP Strategies Corporation, a corporate education and training company, and Asensus Surgical, Inc., a medical device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board of directors of the Company are divided into three staggered classes of directors. At each annual meeting of stockholders, a class of directors are subject to re-election for a three-year term. As a result, only one class of directors will be elected at each annual meeting of our stockholders, with the other classes continuing for the remainder of their respective three-year terms. The directors are divided among the three classes as follows:</w:t>
      </w:r>
    </w:p>
    <w:p>
      <w:pPr>
        <w:spacing w:after="0" w:line="95" w:lineRule="exact"/>
        <w:rPr>
          <w:sz w:val="20"/>
          <w:szCs w:val="20"/>
          <w:color w:val="auto"/>
        </w:rPr>
      </w:pPr>
    </w:p>
    <w:p>
      <w:pPr>
        <w:ind w:left="660" w:right="2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 directors will be Eli D. Casdin, Joshua Ruch and Michael Pellini and their terms will expire at the first annual meeting of stockholders held in 2022;</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II directors will be Rachel Sherman, Eric Schadt, Nat Turner and Dennis Charney, and their terms will expire at the second annual meeting of stockholders held in 2023;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III directors will be Emily Leproust, Jason Ryan and Keith Meister and their terms will expire at the third annual meeting of stockholders held in 2024.</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Charter and restated bylaws authorize only the board of directors to fill vacancies on the board. Any increase or decrease in the number of directors will be distributed among the three classes so that, as nearly as possible, each class will consist of one-third of the directors. This classification of the board of directors of the Company may have the effect of delaying or preventing changes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OF SEMA4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Dr. Schadt and Mr. Ryan, qualifies as an independent director under Nasdaq listing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our website is not a part of this proxy statement, and the inclusion of such website address in this proxy statement is an inactive textual reference only.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audit committee is comprised of Messrs. Meister and Charney, and Ms. Leproust, with Mr. Meister as the chairman of the Company’s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24" w:lineRule="exact"/>
        <w:rPr>
          <w:sz w:val="20"/>
          <w:szCs w:val="20"/>
          <w:color w:val="auto"/>
        </w:rPr>
      </w:pPr>
    </w:p>
    <w:p>
      <w:pPr>
        <w:jc w:val="both"/>
        <w:ind w:left="660" w:hanging="328"/>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including our financial statement audits and the integrity of our financial statements;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compensation committee is comprised of Dr. Sherman, and Messrs. Ruch and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The company’s compensation committee is responsible for, among other things:</w:t>
      </w:r>
    </w:p>
    <w:p>
      <w:pPr>
        <w:spacing w:after="0" w:line="133"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71" w:lineRule="exact"/>
        <w:rPr>
          <w:rFonts w:ascii="Arial" w:cs="Arial" w:eastAsia="Arial" w:hAnsi="Arial"/>
          <w:sz w:val="18"/>
          <w:szCs w:val="18"/>
          <w:color w:val="auto"/>
        </w:rPr>
      </w:pPr>
    </w:p>
    <w:p>
      <w:pPr>
        <w:ind w:left="340" w:right="1380" w:hanging="8"/>
        <w:spacing w:after="0" w:line="438" w:lineRule="auto"/>
        <w:tabs>
          <w:tab w:leader="none" w:pos="65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w:t>
      </w:r>
      <w:r>
        <w:rPr>
          <w:rFonts w:ascii="Arial" w:cs="Arial" w:eastAsia="Arial" w:hAnsi="Arial"/>
          <w:sz w:val="18"/>
          <w:szCs w:val="18"/>
          <w:i w:val="1"/>
          <w:iCs w:val="1"/>
          <w:color w:val="auto"/>
        </w:rPr>
        <w:t>Radford</w:t>
      </w:r>
      <w:r>
        <w:rPr>
          <w:rFonts w:ascii="Arial" w:cs="Arial" w:eastAsia="Arial" w:hAnsi="Arial"/>
          <w:sz w:val="18"/>
          <w:szCs w:val="18"/>
          <w:color w:val="auto"/>
        </w:rPr>
        <w:t>”)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34"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and Executive Officers in Compensation Decisions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committee considered his recommendations, along with an analysis from Radford, in approving the compensation of our other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95"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Typically, in conjunction with the regularly scheduled meetings of the Board, the independent directors meet in executive sessions outside the presence of management.</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www.Sema4.com.</w:t>
      </w:r>
      <w:r>
        <w:rPr>
          <w:rFonts w:ascii="Arial" w:cs="Arial" w:eastAsia="Arial" w:hAnsi="Arial"/>
          <w:sz w:val="16"/>
          <w:szCs w:val="16"/>
          <w:color w:val="auto"/>
        </w:rPr>
        <w:t xml:space="preserve"> Information contained on or accessible through such website is not a part of this proxy statement, and the inclusion of the website address in this proxy statement is an inactive textual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reference only. We intend to disclose any amendments to the Code of Business Conduct and Ethics, or any waivers of its requirements, on its website to the extent required by the applicable rules and exchange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Arial" w:cs="Arial" w:eastAsia="Arial" w:hAnsi="Arial"/>
          <w:sz w:val="16"/>
          <w:szCs w:val="16"/>
          <w:i w:val="1"/>
          <w:iCs w:val="1"/>
          <w:color w:val="auto"/>
        </w:rPr>
        <w:t>www.Sema4.com.</w:t>
      </w:r>
      <w:r>
        <w:rPr>
          <w:rFonts w:ascii="Arial" w:cs="Arial" w:eastAsia="Arial" w:hAnsi="Arial"/>
          <w:sz w:val="16"/>
          <w:szCs w:val="16"/>
          <w:color w:val="auto"/>
        </w:rPr>
        <w:t xml:space="preserve"> Information contained on or accessible through such website is not a part of this proxy statement, and the inclusion of the website address in this proxy statement is an inactive textual reference only.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Should stockholders wish to communicate with the Board or any specified individual directors, such correspondence should be sent to the attention of the Corporate Secretary, at Sema4 Holdings Corp., 333 Ludlow Street, North Tower, 8th Floor, Stamford, Connecticut 06902. The Corporate Secretary will forward the communication to the Board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of directors or compensation committee of any entity that has one or more of its executive officers serving on our Board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following table summarizes the number of securities underlying outstanding options, stock awards, warrants and rights granted to employees and directors, as well as the number of securities remaining available for future issuance, under the company’s equity compensation awards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w:t>
            </w:r>
          </w:p>
        </w:tc>
        <w:tc>
          <w:tcPr>
            <w:tcW w:w="2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Number of securities</w:t>
            </w:r>
          </w:p>
        </w:tc>
        <w:tc>
          <w:tcPr>
            <w:tcW w:w="180" w:type="dxa"/>
            <w:vAlign w:val="bottom"/>
          </w:tcPr>
          <w:p>
            <w:pPr>
              <w:spacing w:after="0"/>
              <w:rPr>
                <w:sz w:val="11"/>
                <w:szCs w:val="11"/>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options, warrants and</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warrants and</w:t>
            </w:r>
          </w:p>
        </w:tc>
        <w:tc>
          <w:tcPr>
            <w:tcW w:w="2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(2)</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15,823,351</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20,271,849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2280" w:type="dxa"/>
            <w:vAlign w:val="bottom"/>
            <w:gridSpan w:val="2"/>
          </w:tcPr>
          <w:p>
            <w:pPr>
              <w:ind w:left="1040"/>
              <w:spacing w:after="0" w:line="230" w:lineRule="exact"/>
              <w:rPr>
                <w:sz w:val="20"/>
                <w:szCs w:val="20"/>
                <w:color w:val="auto"/>
              </w:rPr>
            </w:pPr>
            <w:r>
              <w:rPr>
                <w:rFonts w:ascii="Arial" w:cs="Arial" w:eastAsia="Arial" w:hAnsi="Arial"/>
                <w:sz w:val="18"/>
                <w:szCs w:val="18"/>
                <w:color w:val="auto"/>
              </w:rPr>
              <w:t xml:space="preserve">30,341,429 </w:t>
            </w:r>
            <w:r>
              <w:rPr>
                <w:rFonts w:ascii="Arial" w:cs="Arial" w:eastAsia="Arial" w:hAnsi="Arial"/>
                <w:sz w:val="23"/>
                <w:szCs w:val="23"/>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5"/>
              </w:rPr>
              <w:t>46,164,780</w:t>
            </w:r>
          </w:p>
        </w:tc>
        <w:tc>
          <w:tcPr>
            <w:tcW w:w="36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20,271,849</w:t>
            </w:r>
          </w:p>
        </w:tc>
        <w:tc>
          <w:tcPr>
            <w:tcW w:w="36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options to purchase shares of our Class A common stock, RSU awards representing the right to acquire shares of our Class A common stock, and performance stock unit awards representing the right to acquire shares of our Class A common stock</w:t>
      </w:r>
    </w:p>
    <w:p>
      <w:pPr>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outstanding stock options. It does not take into account the shares issuable upon vesting of outstanding RSU awards, which have no exercise price.</w:t>
      </w:r>
    </w:p>
    <w:p>
      <w:pPr>
        <w:jc w:val="both"/>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15,467,838 shares remaining available for issuance under the 2021 EIP, and 4,804,011 shares remaining available for issuance under the ESPP. On January 25, 2022, an additional 12,128,941 shares became available for future issuance under the Sema4 Holdings Corp. 2021 Equity Incentive Plan and an additional 2,425,788 became available for issuance under the Sema4 Holdings Corp. 2021 Employee Stock Purchase Plan, both pursuant to the plan’s evergreen provisions.</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outstanding stock options that were assumed in connection with our business combination and the Earn Out RSUs granted in connection with the business combination. No additional awards may be granted under the 2017 Plan pursuant to which such awards were initially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40" w:hanging="308"/>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of $120,000 or 1% of the average of our total assets as of year-end for the last two completed fiscal years;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Acquisition, the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Mount Sinai</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60" w:lineRule="auto"/>
        <w:tabs>
          <w:tab w:leader="none" w:pos="332" w:val="left"/>
        </w:tabs>
        <w:numPr>
          <w:ilvl w:val="0"/>
          <w:numId w:val="177"/>
        </w:numPr>
        <w:rPr>
          <w:rFonts w:ascii="Arial" w:cs="Arial" w:eastAsia="Arial" w:hAnsi="Arial"/>
          <w:sz w:val="13"/>
          <w:szCs w:val="13"/>
          <w:color w:val="auto"/>
        </w:rPr>
      </w:pPr>
      <w:r>
        <w:rPr>
          <w:rFonts w:ascii="Arial" w:cs="Arial" w:eastAsia="Arial" w:hAnsi="Arial"/>
          <w:sz w:val="13"/>
          <w:szCs w:val="13"/>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expected to be issued to Casdin Partners Master Fund, L.P.</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expected to be issued to Ichan School of Medicine at Mount Sinai.</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3,125,000 shares of Class A common stock expected to be issued to Deerfield Private Design Fund V, L.P. and 1,875,000 shares of Class A common stock expected to be issued to Deerfield Partners, L.P.</w:t>
      </w: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expected to be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execution of the Acquisition Merger Agreement, OPKO Health, Inc. (“</w:t>
      </w:r>
      <w:r>
        <w:rPr>
          <w:rFonts w:ascii="Arial" w:cs="Arial" w:eastAsia="Arial" w:hAnsi="Arial"/>
          <w:sz w:val="16"/>
          <w:szCs w:val="16"/>
          <w:i w:val="1"/>
          <w:iCs w:val="1"/>
          <w:color w:val="auto"/>
        </w:rPr>
        <w:t>OPKO</w:t>
      </w:r>
      <w:r>
        <w:rPr>
          <w:rFonts w:ascii="Arial" w:cs="Arial" w:eastAsia="Arial" w:hAnsi="Arial"/>
          <w:sz w:val="16"/>
          <w:szCs w:val="16"/>
          <w:color w:val="auto"/>
        </w:rPr>
        <w:t>”), the parent of GeneDx, and we entered into Support Agreements (the “</w:t>
      </w:r>
      <w:r>
        <w:rPr>
          <w:rFonts w:ascii="Arial" w:cs="Arial" w:eastAsia="Arial" w:hAnsi="Arial"/>
          <w:sz w:val="16"/>
          <w:szCs w:val="16"/>
          <w:i w:val="1"/>
          <w:iCs w:val="1"/>
          <w:color w:val="auto"/>
        </w:rPr>
        <w:t>Support Agreements</w:t>
      </w:r>
      <w:r>
        <w:rPr>
          <w:rFonts w:ascii="Arial" w:cs="Arial" w:eastAsia="Arial" w:hAnsi="Arial"/>
          <w:sz w:val="16"/>
          <w:szCs w:val="16"/>
          <w:color w:val="auto"/>
        </w:rPr>
        <w:t>”)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2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Icahn School of Medicine at Mount Sinai (“</w:t>
      </w:r>
      <w:r>
        <w:rPr>
          <w:rFonts w:ascii="Arial" w:cs="Arial" w:eastAsia="Arial" w:hAnsi="Arial"/>
          <w:sz w:val="18"/>
          <w:szCs w:val="18"/>
          <w:i w:val="1"/>
          <w:iCs w:val="1"/>
          <w:color w:val="auto"/>
        </w:rPr>
        <w:t>ISMMS</w:t>
      </w:r>
      <w:r>
        <w:rPr>
          <w:rFonts w:ascii="Arial" w:cs="Arial" w:eastAsia="Arial" w:hAnsi="Arial"/>
          <w:sz w:val="18"/>
          <w:szCs w:val="18"/>
          <w:color w:val="auto"/>
        </w:rPr>
        <w:t>”)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1"/>
                <w:szCs w:val="11"/>
                <w:color w:val="auto"/>
              </w:rPr>
            </w:pPr>
          </w:p>
        </w:tc>
        <w:tc>
          <w:tcPr>
            <w:tcW w:w="138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55" w:lineRule="auto"/>
        <w:tabs>
          <w:tab w:leader="none" w:pos="33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w:t>
      </w:r>
      <w:r>
        <w:rPr>
          <w:rFonts w:ascii="Arial" w:cs="Arial" w:eastAsia="Arial" w:hAnsi="Arial"/>
          <w:sz w:val="18"/>
          <w:szCs w:val="18"/>
          <w:i w:val="1"/>
          <w:iCs w:val="1"/>
          <w:color w:val="auto"/>
        </w:rPr>
        <w:t>A&amp;R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with certain holders of Legacy Sema4’s capital stock. The A&amp;R Stockholders’ Agreement provided for certain customary rights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0" w:lineRule="exact"/>
        <w:rPr>
          <w:sz w:val="20"/>
          <w:szCs w:val="20"/>
          <w:color w:val="auto"/>
        </w:rPr>
      </w:pPr>
    </w:p>
    <w:p>
      <w:pPr>
        <w:ind w:right="4580"/>
        <w:spacing w:after="0" w:line="440"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our business combination, the Merger PIPE Investors purchased an aggregate of 35,000,000 shares of our Class A common stock at $10.00 per share, for an aggregate purchase price of $350 million in private placements that closed immediately prior to the Merger Closing.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ind w:left="420"/>
              <w:spacing w:after="0" w:line="135" w:lineRule="exact"/>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consummation of our business combination, we, CMLS Holdings LLC (the “</w:t>
      </w:r>
      <w:r>
        <w:rPr>
          <w:rFonts w:ascii="Arial" w:cs="Arial" w:eastAsia="Arial" w:hAnsi="Arial"/>
          <w:sz w:val="17"/>
          <w:szCs w:val="17"/>
          <w:i w:val="1"/>
          <w:iCs w:val="1"/>
          <w:color w:val="auto"/>
        </w:rPr>
        <w:t>Former Sponsor</w:t>
      </w:r>
      <w:r>
        <w:rPr>
          <w:rFonts w:ascii="Arial" w:cs="Arial" w:eastAsia="Arial" w:hAnsi="Arial"/>
          <w:sz w:val="17"/>
          <w:szCs w:val="17"/>
          <w:color w:val="auto"/>
        </w:rPr>
        <w:t>”) and certain other parties thereto (collectively, the “</w:t>
      </w:r>
      <w:r>
        <w:rPr>
          <w:rFonts w:ascii="Arial" w:cs="Arial" w:eastAsia="Arial" w:hAnsi="Arial"/>
          <w:sz w:val="17"/>
          <w:szCs w:val="17"/>
          <w:i w:val="1"/>
          <w:iCs w:val="1"/>
          <w:color w:val="auto"/>
        </w:rPr>
        <w:t>rights holders</w:t>
      </w:r>
      <w:r>
        <w:rPr>
          <w:rFonts w:ascii="Arial" w:cs="Arial" w:eastAsia="Arial" w:hAnsi="Arial"/>
          <w:sz w:val="17"/>
          <w:szCs w:val="17"/>
          <w:color w:val="auto"/>
        </w:rPr>
        <w:t>”) entered into an amended and restated registration rights agreement (the “</w:t>
      </w:r>
      <w:r>
        <w:rPr>
          <w:rFonts w:ascii="Arial" w:cs="Arial" w:eastAsia="Arial" w:hAnsi="Arial"/>
          <w:sz w:val="17"/>
          <w:szCs w:val="17"/>
          <w:i w:val="1"/>
          <w:iCs w:val="1"/>
          <w:color w:val="auto"/>
        </w:rPr>
        <w:t>Amended and Restated Registration Rights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Pursuant to the terms of the Amended and Restated Registration Rights Agreement, we were required to prepare and file with the SEC, no</w:t>
      </w:r>
      <w:r>
        <w:rPr>
          <w:rFonts w:ascii="Arial" w:cs="Arial" w:eastAsia="Arial" w:hAnsi="Arial"/>
          <w:sz w:val="17"/>
          <w:szCs w:val="17"/>
          <w:i w:val="1"/>
          <w:iCs w:val="1"/>
          <w:color w:val="auto"/>
        </w:rPr>
        <w:t xml:space="preserve"> </w:t>
      </w:r>
      <w:r>
        <w:rPr>
          <w:rFonts w:ascii="Arial" w:cs="Arial" w:eastAsia="Arial" w:hAnsi="Arial"/>
          <w:sz w:val="17"/>
          <w:szCs w:val="17"/>
          <w:color w:val="auto"/>
        </w:rPr>
        <w:t>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9" w:lineRule="exact"/>
        <w:rPr>
          <w:sz w:val="20"/>
          <w:szCs w:val="20"/>
          <w:color w:val="auto"/>
        </w:rPr>
      </w:pPr>
    </w:p>
    <w:p>
      <w:pPr>
        <w:ind w:right="4880"/>
        <w:spacing w:after="0" w:line="440"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16, 2020, the Former Sponsor purchased an aggregate of 10,062,500 shares of Class B common stock of CMLS (the “</w:t>
      </w:r>
      <w:r>
        <w:rPr>
          <w:rFonts w:ascii="Arial" w:cs="Arial" w:eastAsia="Arial" w:hAnsi="Arial"/>
          <w:sz w:val="16"/>
          <w:szCs w:val="16"/>
          <w:i w:val="1"/>
          <w:iCs w:val="1"/>
          <w:color w:val="auto"/>
        </w:rPr>
        <w:t>Class B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for a total purchase price of $25,000, or approximately $0.002 per share. In August 2020, the Former Sponsor transferred 25,000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w:t>
      </w:r>
      <w:r>
        <w:rPr>
          <w:rFonts w:ascii="Arial" w:cs="Arial" w:eastAsia="Arial" w:hAnsi="Arial"/>
          <w:sz w:val="16"/>
          <w:szCs w:val="16"/>
          <w:i w:val="1"/>
          <w:iCs w:val="1"/>
          <w:color w:val="auto"/>
        </w:rPr>
        <w:t>Founder Shares</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 2020, simultaneously with the closing of CMLS’s initial public offering (the “</w:t>
      </w:r>
      <w:r>
        <w:rPr>
          <w:rFonts w:ascii="Arial" w:cs="Arial" w:eastAsia="Arial" w:hAnsi="Arial"/>
          <w:sz w:val="17"/>
          <w:szCs w:val="17"/>
          <w:i w:val="1"/>
          <w:iCs w:val="1"/>
          <w:color w:val="auto"/>
        </w:rPr>
        <w:t>Initial Public Offering</w:t>
      </w:r>
      <w:r>
        <w:rPr>
          <w:rFonts w:ascii="Arial" w:cs="Arial" w:eastAsia="Arial" w:hAnsi="Arial"/>
          <w:sz w:val="17"/>
          <w:szCs w:val="17"/>
          <w:color w:val="auto"/>
        </w:rPr>
        <w:t>”), the Former Sponsor and certain of CMLS’s independent directors purchased an aggregate of 7,236,667 private placement warrants (the “</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at a price of $1.50 per Private Placement Warrant, for an aggregate purchase price of $10,855,000. The Former Sponsor purchased 6,903,335 Private Placement Warrants, and Dr. Leproust (and/or one or more entities controlled by her) purchased 166,666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Warrants. Each Private Placement Warrant is exercisable to purchase one share of Class A common stock at a price of $11.50 per share, subject to adjustment.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Former Sponsor issued an unsecured promissory note to CMLS (the “</w:t>
      </w:r>
      <w:r>
        <w:rPr>
          <w:rFonts w:ascii="Arial" w:cs="Arial" w:eastAsia="Arial" w:hAnsi="Arial"/>
          <w:sz w:val="18"/>
          <w:szCs w:val="18"/>
          <w:i w:val="1"/>
          <w:iCs w:val="1"/>
          <w:color w:val="auto"/>
        </w:rPr>
        <w:t>Promissory Note</w:t>
      </w:r>
      <w:r>
        <w:rPr>
          <w:rFonts w:ascii="Arial" w:cs="Arial" w:eastAsia="Arial" w:hAnsi="Arial"/>
          <w:sz w:val="18"/>
          <w:szCs w:val="18"/>
          <w:color w:val="auto"/>
        </w:rPr>
        <w:t>”),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w:t>
      </w:r>
      <w:r>
        <w:rPr>
          <w:rFonts w:ascii="Arial" w:cs="Arial" w:eastAsia="Arial" w:hAnsi="Arial"/>
          <w:sz w:val="17"/>
          <w:szCs w:val="17"/>
          <w:i w:val="1"/>
          <w:iCs w:val="1"/>
          <w:color w:val="auto"/>
        </w:rPr>
        <w:t>Insider Letter</w:t>
      </w:r>
      <w:r>
        <w:rPr>
          <w:rFonts w:ascii="Arial" w:cs="Arial" w:eastAsia="Arial" w:hAnsi="Arial"/>
          <w:sz w:val="17"/>
          <w:szCs w:val="17"/>
          <w:color w:val="auto"/>
        </w:rPr>
        <w:t>”)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independent under Nasdaq listing standards. See the section entitled “</w:t>
      </w:r>
      <w:r>
        <w:rPr>
          <w:rFonts w:ascii="Arial" w:cs="Arial" w:eastAsia="Arial" w:hAnsi="Arial"/>
          <w:sz w:val="16"/>
          <w:szCs w:val="16"/>
          <w:i w:val="1"/>
          <w:iCs w:val="1"/>
          <w:color w:val="auto"/>
        </w:rPr>
        <w:t>Corporate Governance</w:t>
      </w:r>
      <w:r>
        <w:rPr>
          <w:rFonts w:ascii="Arial" w:cs="Arial" w:eastAsia="Arial" w:hAnsi="Arial"/>
          <w:sz w:val="16"/>
          <w:szCs w:val="16"/>
          <w:color w:val="auto"/>
        </w:rPr>
        <w:t>” elsewhere in this proxy statement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GeneDx had no related party transactions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0840"/>
          </w:cols>
          <w:pgMar w:left="320" w:top="1440" w:right="739" w:bottom="1440" w:gutter="0" w:footer="0" w:header="0"/>
        </w:sectPr>
      </w:pPr>
    </w:p>
    <w:bookmarkStart w:id="259" w:name="page260"/>
    <w:bookmarkEnd w:id="25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audit committee has reviewed and discussed with our management and Ernst &amp; Young LLP our audited consolidated financial statements for the year ended December 31, 2021. Our audit committee has also discussed with Ernst &amp; Young LLP the matters required to be discussed by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2021 for filing with the U.S. Securities and Exchange Commission.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Submitted by the Audit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Keith Meister,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Dennis Charney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Emily Leproust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4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BENEFICIAL OWNERSHIP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Class A common stock as of February 22, 2022, by:</w:t>
      </w:r>
    </w:p>
    <w:p>
      <w:pPr>
        <w:spacing w:after="0" w:line="194"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restricted stock units, within 60 days of the date above. Shares subject to warrants or options that are currently exercisable or exercisable within 60 days of the date above or subject to restricted stock units that vest within 60 days of such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in the footnotes below and subject to applicable community property laws and similar laws, we believe that each person listed above has sole voting and investment power with respect to such shares.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otherwise noted, the address of each beneficial owner is c/o Sema4 Holdings Corp., 333 Ludlow Street, North Tower, 8th Floor, Stamford, Connecticut 06902.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 Common Stock</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Class A</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36.1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Eric Schadt</w:t>
            </w:r>
            <w:r>
              <w:rPr>
                <w:rFonts w:ascii="Arial" w:cs="Arial" w:eastAsia="Arial" w:hAnsi="Arial"/>
                <w:sz w:val="23"/>
                <w:szCs w:val="23"/>
                <w:color w:val="auto"/>
                <w:vertAlign w:val="superscript"/>
              </w:rPr>
              <w:t>(4)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7,484,116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Isaac Ro</w:t>
            </w:r>
            <w:r>
              <w:rPr>
                <w:rFonts w:ascii="Arial" w:cs="Arial" w:eastAsia="Arial" w:hAnsi="Arial"/>
                <w:sz w:val="23"/>
                <w:szCs w:val="23"/>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395,294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James Coffin </w:t>
            </w:r>
            <w:r>
              <w:rPr>
                <w:rFonts w:ascii="Arial" w:cs="Arial" w:eastAsia="Arial" w:hAnsi="Arial"/>
                <w:sz w:val="23"/>
                <w:szCs w:val="23"/>
                <w:color w:val="auto"/>
                <w:vertAlign w:val="superscript"/>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2,696,080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(7)</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22,730,419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Emily Leproust</w:t>
            </w:r>
            <w:r>
              <w:rPr>
                <w:rFonts w:ascii="Arial" w:cs="Arial" w:eastAsia="Arial" w:hAnsi="Arial"/>
                <w:sz w:val="23"/>
                <w:szCs w:val="23"/>
                <w:color w:val="auto"/>
                <w:vertAlign w:val="superscript"/>
              </w:rPr>
              <w:t>(8)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Keith Meister</w:t>
            </w:r>
            <w:r>
              <w:rPr>
                <w:rFonts w:ascii="Arial" w:cs="Arial" w:eastAsia="Arial" w:hAnsi="Arial"/>
                <w:sz w:val="23"/>
                <w:szCs w:val="23"/>
                <w:color w:val="auto"/>
                <w:vertAlign w:val="superscript"/>
              </w:rPr>
              <w:t>(9)</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22,230,419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Pellini</w:t>
            </w:r>
            <w:r>
              <w:rPr>
                <w:rFonts w:ascii="Arial" w:cs="Arial" w:eastAsia="Arial" w:hAnsi="Arial"/>
                <w:sz w:val="23"/>
                <w:szCs w:val="23"/>
                <w:color w:val="auto"/>
                <w:vertAlign w:val="superscript"/>
              </w:rPr>
              <w:t>(10)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(11)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(12)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Sherman</w:t>
            </w:r>
            <w:r>
              <w:rPr>
                <w:rFonts w:ascii="Arial" w:cs="Arial" w:eastAsia="Arial" w:hAnsi="Arial"/>
                <w:sz w:val="23"/>
                <w:szCs w:val="23"/>
                <w:color w:val="auto"/>
                <w:vertAlign w:val="superscript"/>
              </w:rPr>
              <w:t>(13)</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181,609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(14)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3"/>
                <w:szCs w:val="23"/>
                <w:b w:val="1"/>
                <w:bCs w:val="1"/>
                <w:color w:val="auto"/>
                <w:vertAlign w:val="superscript"/>
              </w:rPr>
              <w:t>(15)</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39,485,253</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16.1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jc w:val="both"/>
        <w:ind w:left="340" w:hanging="332"/>
        <w:spacing w:after="0" w:line="260" w:lineRule="auto"/>
        <w:tabs>
          <w:tab w:leader="none" w:pos="332" w:val="left"/>
        </w:tabs>
        <w:numPr>
          <w:ilvl w:val="0"/>
          <w:numId w:val="182"/>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 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jc w:val="both"/>
        <w:ind w:left="340" w:hanging="332"/>
        <w:spacing w:after="0" w:line="244" w:lineRule="auto"/>
        <w:tabs>
          <w:tab w:leader="none" w:pos="33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39" w:lineRule="exact"/>
        <w:rPr>
          <w:sz w:val="20"/>
          <w:szCs w:val="20"/>
          <w:color w:val="auto"/>
        </w:rPr>
      </w:pPr>
    </w:p>
    <w:p>
      <w:pPr>
        <w:jc w:val="both"/>
        <w:ind w:left="332"/>
        <w:spacing w:after="0" w:line="247" w:lineRule="auto"/>
        <w:rPr>
          <w:sz w:val="20"/>
          <w:szCs w:val="20"/>
          <w:color w:val="auto"/>
        </w:rPr>
      </w:pPr>
      <w:r>
        <w:rPr>
          <w:rFonts w:ascii="Arial" w:cs="Arial" w:eastAsia="Arial" w:hAnsi="Arial"/>
          <w:sz w:val="14"/>
          <w:szCs w:val="14"/>
          <w:color w:val="auto"/>
        </w:rPr>
        <w:t>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1" w:lineRule="exact"/>
        <w:rPr>
          <w:sz w:val="20"/>
          <w:szCs w:val="20"/>
          <w:color w:val="auto"/>
        </w:rPr>
      </w:pPr>
    </w:p>
    <w:p>
      <w:pPr>
        <w:jc w:val="both"/>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7,315,765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Consists of (i) 250,618 shares of Class A common stock and (ii) 144,676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jc w:val="both"/>
        <w:ind w:left="332" w:hanging="332"/>
        <w:spacing w:after="0" w:line="260" w:lineRule="auto"/>
        <w:tabs>
          <w:tab w:leader="none" w:pos="324" w:val="left"/>
        </w:tabs>
        <w:numPr>
          <w:ilvl w:val="0"/>
          <w:numId w:val="183"/>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February 22, 2022.</w:t>
      </w:r>
    </w:p>
    <w:p>
      <w:pPr>
        <w:jc w:val="both"/>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181,609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jc w:val="both"/>
        <w:ind w:left="332" w:hanging="332"/>
        <w:spacing w:after="0" w:line="241" w:lineRule="auto"/>
        <w:tabs>
          <w:tab w:leader="none" w:pos="3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spacing w:after="0" w:line="1" w:lineRule="exact"/>
        <w:rPr>
          <w:rFonts w:ascii="Arial" w:cs="Arial" w:eastAsia="Arial" w:hAnsi="Arial"/>
          <w:sz w:val="14"/>
          <w:szCs w:val="14"/>
          <w:color w:val="auto"/>
        </w:rPr>
      </w:pPr>
    </w:p>
    <w:p>
      <w:pPr>
        <w:jc w:val="both"/>
        <w:ind w:left="332" w:hanging="332"/>
        <w:spacing w:after="0" w:line="244" w:lineRule="auto"/>
        <w:tabs>
          <w:tab w:leader="none" w:pos="3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21,376,237 shares of Class A common stock held directly and indirectly by all current directors and current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32"/>
          </w:cols>
          <w:pgMar w:left="328" w:top="1440" w:right="339" w:bottom="1440" w:gutter="0" w:footer="0" w:header="0"/>
        </w:sectPr>
      </w:pPr>
    </w:p>
    <w:bookmarkStart w:id="263" w:name="page264"/>
    <w:bookmarkEnd w:id="26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4 with respect to the issuance of restricted stock units (“RSUs”) and an associated sale to cover transaction in respect of tax withholding obligations in connection with the vesting and settlement of a portion of the RSUs, which was filed one day late on October 6, 2021 on behalf of Shawn Assad; a Form 4 with respect to a sale to cover transaction in respect of tax withholding obligations in connection with the vesting and settlement of RSUs, which was filed one day late on November 15, 2021 on behalf of Shawn Assad; Forms 4 with respect to the issuance of RSUs and associated sale to cover transactions in respect of tax withholding obligations in connection with the vesting and settlement of a portion of the RSUs, which were filed four days late on November 2, 2021 on behalf of each of Shawn Assad, Daniel Clark, James Coffin, Anthony Prentice, Isaac Ro, Kareem Saad, Eric Schadt, and Karen White; a Form 5 with respect to the exercise of shares underlying the option grant, which was filed eighty-three days late on February 7, 2022 on behalf of Daniel Clark; and a Form 3 that was filed 29 days late on August 30, 2021 for affiliates of Blackstone, which was due within 10 calendar days of July 22, 2021 following the closing of the business combination, by BTO Sema4 Holdings L.P., BTO Holdings Manager L.L.C., Blackstone Tactical Opportunities Associates L.L.C., BTOA L.L.C., Blackstone Family Tactical Opportunities Investment Partnership III ESC L.P., BTO Side-by-Side GP L.L.C., Blackstone Holdings III L.P., Blackstone Holdings III GP L.P., Blackstone Holdings III GP Management L.L.C., Blackstone Tactical Opportunities Fund – FD L.P., Blackstone Tactical Opportunities Associates III – NQ L.P., BTO DE GP – NQ L.L.C., Blackstone Holdings II L.P., Blackstone Aqua Master Sub-Fund, a sub-fund of Blackstone Global Master Fund ICAV, Blackstone Alternative Solutions L.L.C., Blackstone Holdings I L.P., Blackstone Holdings I/II GP L.L.C., Blackstone Inc., Blackstone Group Management L.L.C. and Stephen A. Schwarzman.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Class A common stock and warrants are currently listed on Nasdaq under the symbols “SMFR” and “SMFRW”, respectively.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14, 2022, the trading date before the public announcement of the Acquisition, the Company’s Class A common stock and warrants closed at $4.04 and $0.75, respectively. On March 14, 2022, the trading date immediately prior to the date of this proxy statement, the Company’s Class A common stock and warrants closed at $2.65 and $0.57,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 ], there were [ ] holders of record of our Class A common stock and [ ] holders of record of our warrants. The number of holders of record does not include a substantially greater number of “street name” holders or beneficial holders whose Class A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paid any cash dividends on our Class A common stock to date and do not intend to pay cash dividends prior to the completion of the Acquisition. The payment of any cash dividends subsequent to the Acquisition will be within the discretion of the Company’s board of directors at such time. Following the Acquisition, we currently expect that the Company will retain future earnings to finance operations and grow its business, and we do not expect the Company to declare or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Ernst &amp; Young LLP,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Class A common stock in connection with the Acquisition.</w:t>
      </w:r>
    </w:p>
    <w:p>
      <w:pPr>
        <w:spacing w:after="0" w:line="16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provide that, for stockholder nominations to our board of directors or other proposals to be considered at an annual meeting, the stockholder must give timely notice thereof in writing to the Corporate Secretary at Sema4 Holdings Corp., 333 Ludlow Street, North Tower, 8th Floor, Stamford, Connecticut 06902, Attn: Corporate Secretary.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be timely for our 2023 annual meeting of stockholders, a stockholder’s notice must be delivered to or mailed and received by our Corporate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Secretary at our principal executive offices not earlier than 5:00 p.m. Eastern Time on [ ], 2023 and not later than 5:00 p.m. Eastern Time on [ ], 2023. A stockholder’s notice to the Corporate Secretary must set forth as to each matter the stockholder proposes to bring before the annual meeting the information required by our bylaws.</w:t>
      </w:r>
    </w:p>
    <w:p>
      <w:pPr>
        <w:spacing w:after="0" w:line="13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Stockholder proposals submitted pursuant to Rule 14a-8 under the Exchange Act and intended to be presented at our 2023 annual meeting of stockholders must be received by us not later than [ ], 2023 in order to be considered for inclusion in our proxy materials for that meeting.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right="20" w:hanging="328"/>
        <w:spacing w:after="0" w:line="308" w:lineRule="auto"/>
        <w:tabs>
          <w:tab w:leader="none" w:pos="6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the stockholder should contact us at our offices at Sema4 Holdings Corp., 333 Ludlow Street, North Tower, 8th Floor, Stamford, Connecticut 06902 or by telephone at (800) 298-6470, to inform us of his or her request; or</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2023 annual meeting of stockholders will be held no later than [June] 2023. For any proposal to be considered for inclusion in the proxy statement and form of proxy for the Company’s 2023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2023 annual meeting proxy materials in order to be considered for inclusion in the proxy materials for the 2023 annual meeting.</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Company’s bylaws provide that the stockholder must give timely notice in proper written form to our secretary at the Company’s principal executive offices and such business must otherwise be a proper matter for stockholder action. Such notice, to be timely, must be received not less than 75 days nor more than 105 days prior to the first anniversary of the preceding year’s annual meeting. As a result, any notice given by or on behalf of a stockholder pursuant to these provisions of the Company’s bylaws (and not pursuant to SEC Rule 14a-8) must be received by [ ], 2023 (but not before [ ], 2022).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Ludlow Street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(800) 298-6470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Investors@sema4.com</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Sema4@dfking.com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GeneDx has been supplied by GeneDx. Information provided by either the Company or GeneDx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GeneDx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75"/>
        </w:trPr>
        <w:tc>
          <w:tcPr>
            <w:tcW w:w="4680" w:type="dxa"/>
            <w:vAlign w:val="bottom"/>
            <w:gridSpan w:val="4"/>
          </w:tcPr>
          <w:p>
            <w:pPr>
              <w:spacing w:after="0" w:line="156" w:lineRule="exact"/>
              <w:rPr>
                <w:rFonts w:ascii="Arial" w:cs="Arial" w:eastAsia="Arial" w:hAnsi="Arial"/>
                <w:sz w:val="18"/>
                <w:szCs w:val="18"/>
                <w:color w:val="0000FF"/>
              </w:rPr>
            </w:pPr>
            <w:hyperlink w:anchor="page268">
              <w:r>
                <w:rPr>
                  <w:rFonts w:ascii="Arial" w:cs="Arial" w:eastAsia="Arial" w:hAnsi="Arial"/>
                  <w:sz w:val="18"/>
                  <w:szCs w:val="18"/>
                  <w:color w:val="0000FF"/>
                </w:rPr>
                <w:t>Report of Independent Registered Public Accounting Firm</w:t>
              </w:r>
            </w:hyperlink>
          </w:p>
        </w:tc>
        <w:tc>
          <w:tcPr>
            <w:tcW w:w="58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tcPr>
          <w:p>
            <w:pPr>
              <w:spacing w:after="0" w:line="156" w:lineRule="exact"/>
              <w:rPr>
                <w:rFonts w:ascii="Arial" w:cs="Arial" w:eastAsia="Arial" w:hAnsi="Arial"/>
                <w:sz w:val="18"/>
                <w:szCs w:val="18"/>
                <w:color w:val="0000FF"/>
                <w:w w:val="89"/>
              </w:rPr>
            </w:pPr>
            <w:hyperlink w:anchor="page268">
              <w:r>
                <w:rPr>
                  <w:rFonts w:ascii="Arial" w:cs="Arial" w:eastAsia="Arial" w:hAnsi="Arial"/>
                  <w:sz w:val="18"/>
                  <w:szCs w:val="18"/>
                  <w:color w:val="0000FF"/>
                  <w:w w:val="89"/>
                </w:rPr>
                <w:t>F-262</w:t>
              </w:r>
            </w:hyperlink>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100" w:type="dxa"/>
            <w:vAlign w:val="bottom"/>
          </w:tcPr>
          <w:p>
            <w:pPr>
              <w:spacing w:after="0"/>
              <w:rPr>
                <w:rFonts w:ascii="Arial" w:cs="Arial" w:eastAsia="Arial" w:hAnsi="Arial"/>
                <w:sz w:val="18"/>
                <w:szCs w:val="18"/>
                <w:color w:val="0000FF"/>
                <w:w w:val="87"/>
              </w:rPr>
            </w:pPr>
            <w:hyperlink w:anchor="page269">
              <w:r>
                <w:rPr>
                  <w:rFonts w:ascii="Arial" w:cs="Arial" w:eastAsia="Arial" w:hAnsi="Arial"/>
                  <w:sz w:val="18"/>
                  <w:szCs w:val="18"/>
                  <w:color w:val="0000FF"/>
                  <w:w w:val="87"/>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69">
              <w:r>
                <w:rPr>
                  <w:rFonts w:ascii="Arial" w:cs="Arial" w:eastAsia="Arial" w:hAnsi="Arial"/>
                  <w:sz w:val="18"/>
                  <w:szCs w:val="18"/>
                  <w:color w:val="0000FF"/>
                  <w:w w:val="89"/>
                </w:rPr>
                <w:t>F-263</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271">
              <w:r>
                <w:rPr>
                  <w:rFonts w:ascii="Arial" w:cs="Arial" w:eastAsia="Arial" w:hAnsi="Arial"/>
                  <w:sz w:val="18"/>
                  <w:szCs w:val="18"/>
                  <w:color w:val="0000FF"/>
                </w:rPr>
                <w:t>Consolidated Statements of Operations and Comprehensive Loss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1">
              <w:r>
                <w:rPr>
                  <w:rFonts w:ascii="Arial" w:cs="Arial" w:eastAsia="Arial" w:hAnsi="Arial"/>
                  <w:sz w:val="18"/>
                  <w:szCs w:val="18"/>
                  <w:color w:val="0000FF"/>
                  <w:w w:val="89"/>
                </w:rPr>
                <w:t>F-265</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6"/>
          </w:tcPr>
          <w:p>
            <w:pPr>
              <w:spacing w:after="0"/>
              <w:rPr>
                <w:rFonts w:ascii="Arial" w:cs="Arial" w:eastAsia="Arial" w:hAnsi="Arial"/>
                <w:sz w:val="18"/>
                <w:szCs w:val="18"/>
                <w:color w:val="0000FF"/>
              </w:rPr>
            </w:pPr>
            <w:hyperlink w:anchor="page272">
              <w:r>
                <w:rPr>
                  <w:rFonts w:ascii="Arial" w:cs="Arial" w:eastAsia="Arial" w:hAnsi="Arial"/>
                  <w:sz w:val="18"/>
                  <w:szCs w:val="18"/>
                  <w:color w:val="0000FF"/>
                </w:rPr>
                <w:t>Consolidated Statement of Redeemable Convertible Preferred Stock and Stockholders’ Equity</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2">
              <w:r>
                <w:rPr>
                  <w:rFonts w:ascii="Arial" w:cs="Arial" w:eastAsia="Arial" w:hAnsi="Arial"/>
                  <w:sz w:val="18"/>
                  <w:szCs w:val="18"/>
                  <w:color w:val="0000FF"/>
                  <w:w w:val="89"/>
                </w:rPr>
                <w:t>F-266</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rFonts w:ascii="Arial" w:cs="Arial" w:eastAsia="Arial" w:hAnsi="Arial"/>
                <w:sz w:val="18"/>
                <w:szCs w:val="18"/>
                <w:color w:val="0000FF"/>
                <w:w w:val="89"/>
              </w:rPr>
            </w:pPr>
            <w:hyperlink w:anchor="page273">
              <w:r>
                <w:rPr>
                  <w:rFonts w:ascii="Arial" w:cs="Arial" w:eastAsia="Arial" w:hAnsi="Arial"/>
                  <w:sz w:val="18"/>
                  <w:szCs w:val="18"/>
                  <w:color w:val="0000FF"/>
                  <w:w w:val="8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3">
              <w:r>
                <w:rPr>
                  <w:rFonts w:ascii="Arial" w:cs="Arial" w:eastAsia="Arial" w:hAnsi="Arial"/>
                  <w:sz w:val="18"/>
                  <w:szCs w:val="18"/>
                  <w:color w:val="0000FF"/>
                  <w:w w:val="89"/>
                </w:rPr>
                <w:t>F-267</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5"/>
              </w:rPr>
            </w:pPr>
            <w:hyperlink w:anchor="page275">
              <w:r>
                <w:rPr>
                  <w:rFonts w:ascii="Arial" w:cs="Arial" w:eastAsia="Arial" w:hAnsi="Arial"/>
                  <w:sz w:val="18"/>
                  <w:szCs w:val="18"/>
                  <w:color w:val="0000FF"/>
                  <w:w w:val="8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5">
              <w:r>
                <w:rPr>
                  <w:rFonts w:ascii="Arial" w:cs="Arial" w:eastAsia="Arial" w:hAnsi="Arial"/>
                  <w:sz w:val="18"/>
                  <w:szCs w:val="18"/>
                  <w:color w:val="0000FF"/>
                  <w:w w:val="89"/>
                </w:rPr>
                <w:t>F-269</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F-261</w:t>
      </w:r>
    </w:p>
    <w:p>
      <w:pPr>
        <w:sectPr>
          <w:pgSz w:w="11900" w:h="16838" w:orient="portrait"/>
          <w:cols w:equalWidth="0" w:num="1">
            <w:col w:w="11220"/>
          </w:cols>
          <w:pgMar w:left="340" w:top="1440" w:right="339" w:bottom="1440" w:gutter="0" w:footer="0" w:header="0"/>
        </w:sectPr>
      </w:pPr>
    </w:p>
    <w:bookmarkStart w:id="268" w:name="page269"/>
    <w:bookmarkEnd w:id="268"/>
    <w:p>
      <w:pPr>
        <w:spacing w:after="0" w:line="140" w:lineRule="exact"/>
        <w:rPr>
          <w:sz w:val="20"/>
          <w:szCs w:val="20"/>
          <w:color w:val="auto"/>
        </w:rPr>
      </w:pPr>
    </w:p>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2020 and 2019 financial statements have been restated to correct a misstatement.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Auditor Firm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Auditor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Auditor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United States</w:t>
      </w:r>
    </w:p>
    <w:p>
      <w:pPr>
        <w:spacing w:after="0" w:line="309" w:lineRule="exact"/>
        <w:rPr>
          <w:sz w:val="20"/>
          <w:szCs w:val="20"/>
          <w:color w:val="auto"/>
        </w:rPr>
      </w:pPr>
    </w:p>
    <w:p>
      <w:pPr>
        <w:sectPr>
          <w:pgSz w:w="11900" w:h="16838" w:orient="portrait"/>
          <w:cols w:equalWidth="0" w:num="7">
            <w:col w:w="1640" w:space="380"/>
            <w:col w:w="140" w:space="180"/>
            <w:col w:w="220" w:space="440"/>
            <w:col w:w="960" w:space="720"/>
            <w:col w:w="1160" w:space="540"/>
            <w:col w:w="1100" w:space="720"/>
            <w:col w:w="300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F-262</w:t>
      </w:r>
    </w:p>
    <w:p>
      <w:pPr>
        <w:sectPr>
          <w:pgSz w:w="11900" w:h="16838" w:orient="portrait"/>
          <w:cols w:equalWidth="0" w:num="1">
            <w:col w:w="11200"/>
          </w:cols>
          <w:pgMar w:left="320" w:top="1440" w:right="379" w:bottom="1440" w:gutter="0" w:footer="0" w:header="0"/>
          <w:type w:val="continuous"/>
        </w:sectPr>
      </w:pPr>
    </w:p>
    <w:bookmarkStart w:id="269" w:name="page270"/>
    <w:bookmarkEnd w:id="2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8020" w:type="dxa"/>
            <w:vAlign w:val="bottom"/>
          </w:tcPr>
          <w:p>
            <w:pPr>
              <w:ind w:left="10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9"/>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Series A-2 redeemable convertible preferred stock, $0.00001 par value: 0 and 64,718,940 shares</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6"/>
              </w:rPr>
              <w:t>authorized at December 31, 2021 and December 31, 2020, respectively; 0 and 49,700,364 shares</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$49,342 at December 31, 2021 and December 31, 2020,</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0"/>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9"/>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40"/>
              <w:spacing w:after="0"/>
              <w:rPr>
                <w:sz w:val="20"/>
                <w:szCs w:val="20"/>
                <w:color w:val="auto"/>
              </w:rPr>
            </w:pPr>
            <w:r>
              <w:rPr>
                <w:rFonts w:ascii="Arial" w:cs="Arial" w:eastAsia="Arial" w:hAnsi="Arial"/>
                <w:sz w:val="18"/>
                <w:szCs w:val="18"/>
                <w:color w:val="auto"/>
                <w:w w:val="92"/>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6"/>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9"/>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9"/>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89"/>
              </w:rPr>
              <w:t>31, 2021 and December 31, 2020, respectively; 0 and 130,557 shares issued and outstanding at December</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6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F-264</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1"/>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1"/>
              <w:spacing w:after="0" w:line="224" w:lineRule="exact"/>
              <w:rPr>
                <w:sz w:val="20"/>
                <w:szCs w:val="20"/>
                <w:color w:val="auto"/>
              </w:rPr>
            </w:pPr>
            <w:r>
              <w:rPr>
                <w:rFonts w:ascii="Arial" w:cs="Arial" w:eastAsia="Arial" w:hAnsi="Arial"/>
                <w:sz w:val="18"/>
                <w:szCs w:val="18"/>
                <w:color w:val="auto"/>
                <w:w w:val="95"/>
              </w:rPr>
              <w:t>(Restated)</w:t>
            </w:r>
            <w:r>
              <w:rPr>
                <w:rFonts w:ascii="Arial" w:cs="Arial" w:eastAsia="Arial" w:hAnsi="Arial"/>
                <w:sz w:val="23"/>
                <w:szCs w:val="23"/>
                <w:color w:val="auto"/>
                <w:w w:val="95"/>
                <w:vertAlign w:val="superscript"/>
              </w:rPr>
              <w:t>(1)</w:t>
            </w:r>
          </w:p>
        </w:tc>
        <w:tc>
          <w:tcPr>
            <w:tcW w:w="0" w:type="dxa"/>
            <w:vAlign w:val="bottom"/>
          </w:tcPr>
          <w:p>
            <w:pPr>
              <w:spacing w:after="0"/>
              <w:rPr>
                <w:sz w:val="1"/>
                <w:szCs w:val="1"/>
                <w:color w:val="auto"/>
              </w:rPr>
            </w:pPr>
          </w:p>
        </w:tc>
      </w:tr>
      <w:tr>
        <w:trPr>
          <w:trHeight w:val="175"/>
        </w:trPr>
        <w:tc>
          <w:tcPr>
            <w:tcW w:w="6360" w:type="dxa"/>
            <w:vAlign w:val="bottom"/>
          </w:tcPr>
          <w:p>
            <w:pPr>
              <w:ind w:left="240"/>
              <w:spacing w:after="0" w:line="176"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30"/>
        </w:trPr>
        <w:tc>
          <w:tcPr>
            <w:tcW w:w="6360" w:type="dxa"/>
            <w:vAlign w:val="bottom"/>
          </w:tcPr>
          <w:p>
            <w:pPr>
              <w:ind w:left="40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6"/>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Cost of services (including related party expenses of $3,975, $2,189 and $1,859 for the</w:t>
            </w: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jc w:val="both"/>
        <w:ind w:left="340" w:hanging="332"/>
        <w:spacing w:after="0" w:line="248" w:lineRule="auto"/>
        <w:tabs>
          <w:tab w:leader="none" w:pos="33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F-265</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4"/>
                <w:szCs w:val="14"/>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19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6"/>
                <w:szCs w:val="16"/>
                <w:color w:val="auto"/>
              </w:rPr>
            </w:pPr>
          </w:p>
        </w:tc>
        <w:tc>
          <w:tcPr>
            <w:tcW w:w="2000" w:type="dxa"/>
            <w:vAlign w:val="bottom"/>
            <w:gridSpan w:val="5"/>
            <w:vMerge w:val="continue"/>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53"/>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7"/>
        </w:trPr>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102,039,134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of Preferred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Series B, net of issuance</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5"/>
              </w:rPr>
              <w:t>147,038,267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0" w:type="dxa"/>
            <w:vAlign w:val="bottom"/>
          </w:tcPr>
          <w:p>
            <w:pPr>
              <w:spacing w:after="0"/>
              <w:rPr>
                <w:sz w:val="1"/>
                <w:szCs w:val="1"/>
                <w:color w:val="auto"/>
              </w:rPr>
            </w:pPr>
          </w:p>
        </w:tc>
      </w:tr>
      <w:tr>
        <w:trPr>
          <w:trHeight w:val="175"/>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dividend</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5"/>
              </w:rPr>
              <w:t>171,535,213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3"/>
              </w:rPr>
              <w:t>(330,051)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0" w:type="dxa"/>
            <w:vAlign w:val="bottom"/>
          </w:tcPr>
          <w:p>
            <w:pPr>
              <w:spacing w:after="0"/>
              <w:rPr>
                <w:sz w:val="1"/>
                <w:szCs w:val="1"/>
                <w:color w:val="auto"/>
              </w:rPr>
            </w:pPr>
          </w:p>
        </w:tc>
      </w:tr>
      <w:tr>
        <w:trPr>
          <w:trHeight w:val="229"/>
        </w:trPr>
        <w:tc>
          <w:tcPr>
            <w:tcW w:w="2140" w:type="dxa"/>
            <w:vAlign w:val="bottom"/>
          </w:tcPr>
          <w:p>
            <w:pPr>
              <w:ind w:left="240"/>
              <w:spacing w:after="0"/>
              <w:rPr>
                <w:sz w:val="20"/>
                <w:szCs w:val="20"/>
                <w:color w:val="auto"/>
              </w:rPr>
            </w:pPr>
            <w:r>
              <w:rPr>
                <w:rFonts w:ascii="Arial" w:cs="Arial" w:eastAsia="Arial" w:hAnsi="Arial"/>
                <w:sz w:val="18"/>
                <w:szCs w:val="18"/>
                <w:color w:val="auto"/>
              </w:rPr>
              <w:t>Stock option exercises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Conversion of Preferred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(171,535,213)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148,543,062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Conversion of Class B</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(1,383,736)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21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Net equity infusion from</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90,333,562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the Business Combination</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Stock based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compensation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modification</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Stock based</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Vested restricted stock</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units converted to</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242,647,604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F-266</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6"/>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F-267</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Purchases of property and equipment in accounts payable and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w w:val="95"/>
              </w:rPr>
              <w:t>Non-cash Series A redeemable convertible preferred stock dividends declared and paid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 incurred but unpaid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F-268</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F-269</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Misclass-</w:t>
            </w: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Restated</w:t>
            </w: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Misclass-</w:t>
            </w: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ification</w:t>
            </w: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ification</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184,648</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113,389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8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rPr>
                <w:sz w:val="1"/>
                <w:szCs w:val="1"/>
                <w:color w:val="auto"/>
              </w:rPr>
            </w:pPr>
          </w:p>
        </w:tc>
      </w:tr>
      <w:tr>
        <w:trPr>
          <w:trHeight w:val="223"/>
        </w:trPr>
        <w:tc>
          <w:tcPr>
            <w:tcW w:w="3120" w:type="dxa"/>
            <w:vAlign w:val="bottom"/>
          </w:tcPr>
          <w:p>
            <w:pPr>
              <w:ind w:left="240"/>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F-270</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2021 interim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left="790"/>
              <w:spacing w:after="0"/>
              <w:rPr>
                <w:sz w:val="20"/>
                <w:szCs w:val="20"/>
                <w:color w:val="auto"/>
              </w:rPr>
            </w:pPr>
            <w:r>
              <w:rPr>
                <w:rFonts w:ascii="Arial" w:cs="Arial" w:eastAsia="Arial" w:hAnsi="Arial"/>
                <w:sz w:val="13"/>
                <w:szCs w:val="13"/>
                <w:b w:val="1"/>
                <w:bCs w:val="1"/>
                <w:color w:val="auto"/>
                <w:w w:val="92"/>
              </w:rPr>
              <w:t>First</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spacing w:after="0"/>
              <w:rPr>
                <w:sz w:val="20"/>
                <w:szCs w:val="20"/>
                <w:color w:val="auto"/>
              </w:rPr>
            </w:pPr>
            <w:r>
              <w:rPr>
                <w:rFonts w:ascii="Arial" w:cs="Arial" w:eastAsia="Arial" w:hAnsi="Arial"/>
                <w:sz w:val="13"/>
                <w:szCs w:val="13"/>
                <w:b w:val="1"/>
                <w:bCs w:val="1"/>
                <w:color w:val="auto"/>
              </w:rPr>
              <w:t>Second</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3"/>
                <w:szCs w:val="13"/>
                <w:b w:val="1"/>
                <w:bCs w:val="1"/>
                <w:color w:val="auto"/>
                <w:w w:val="93"/>
              </w:rPr>
              <w:t>Quarter</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color w:val="auto"/>
              </w:rPr>
              <w:t>Quarter</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3"/>
              </w:rPr>
              <w:t>As</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Misclass-ification</w:t>
            </w:r>
          </w:p>
        </w:tc>
        <w:tc>
          <w:tcPr>
            <w:tcW w:w="122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Restated</w:t>
            </w:r>
          </w:p>
        </w:tc>
        <w:tc>
          <w:tcPr>
            <w:tcW w:w="1040" w:type="dxa"/>
            <w:vAlign w:val="bottom"/>
            <w:gridSpan w:val="3"/>
          </w:tcPr>
          <w:p>
            <w:pPr>
              <w:jc w:val="right"/>
              <w:ind w:right="440"/>
              <w:spacing w:after="0" w:line="121"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2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Adjustment</w:t>
            </w:r>
          </w:p>
        </w:tc>
        <w:tc>
          <w:tcPr>
            <w:tcW w:w="106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Restated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reported</w:t>
            </w:r>
          </w:p>
        </w:tc>
        <w:tc>
          <w:tcPr>
            <w:tcW w:w="136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46,865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49,631</w:t>
            </w:r>
          </w:p>
        </w:tc>
        <w:tc>
          <w:tcPr>
            <w:tcW w:w="1180" w:type="dxa"/>
            <w:vAlign w:val="bottom"/>
            <w:gridSpan w:val="5"/>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11,954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16,247</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12,794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(44,649)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ind w:left="20"/>
              <w:spacing w:after="0" w:line="115" w:lineRule="exact"/>
              <w:rPr>
                <w:sz w:val="20"/>
                <w:szCs w:val="20"/>
                <w:color w:val="auto"/>
              </w:rPr>
            </w:pPr>
            <w:r>
              <w:rPr>
                <w:rFonts w:ascii="Arial" w:cs="Arial" w:eastAsia="Arial" w:hAnsi="Arial"/>
                <w:sz w:val="13"/>
                <w:szCs w:val="13"/>
                <w:color w:val="auto"/>
              </w:rPr>
              <w:t>Net (loss) income and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0"/>
                <w:szCs w:val="10"/>
                <w:color w:val="auto"/>
              </w:rPr>
            </w:pP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(45,362)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Quarter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3"/>
              </w:rPr>
              <w:t>Quarter</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left="230"/>
              <w:spacing w:after="0" w:line="121" w:lineRule="exact"/>
              <w:rPr>
                <w:sz w:val="20"/>
                <w:szCs w:val="20"/>
                <w:color w:val="auto"/>
              </w:rPr>
            </w:pPr>
            <w:r>
              <w:rPr>
                <w:rFonts w:ascii="Arial" w:cs="Arial" w:eastAsia="Arial" w:hAnsi="Arial"/>
                <w:sz w:val="13"/>
                <w:szCs w:val="13"/>
                <w:b w:val="1"/>
                <w:bCs w:val="1"/>
                <w:color w:val="auto"/>
                <w:w w:val="83"/>
              </w:rPr>
              <w:t>As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500"/>
              <w:spacing w:after="0"/>
              <w:rPr>
                <w:sz w:val="20"/>
                <w:szCs w:val="20"/>
                <w:color w:val="auto"/>
              </w:rPr>
            </w:pPr>
            <w:r>
              <w:rPr>
                <w:rFonts w:ascii="Arial" w:cs="Arial" w:eastAsia="Arial" w:hAnsi="Arial"/>
                <w:sz w:val="13"/>
                <w:szCs w:val="13"/>
                <w:b w:val="1"/>
                <w:bCs w:val="1"/>
                <w:color w:val="auto"/>
                <w:w w:val="97"/>
              </w:rPr>
              <w:t>Misclass-ification</w:t>
            </w:r>
          </w:p>
        </w:tc>
        <w:tc>
          <w:tcPr>
            <w:tcW w:w="12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Restated</w:t>
            </w:r>
          </w:p>
        </w:tc>
        <w:tc>
          <w:tcPr>
            <w:tcW w:w="106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83"/>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left="270"/>
              <w:spacing w:after="0"/>
              <w:rPr>
                <w:sz w:val="20"/>
                <w:szCs w:val="20"/>
                <w:color w:val="auto"/>
              </w:rPr>
            </w:pPr>
            <w:r>
              <w:rPr>
                <w:rFonts w:ascii="Arial" w:cs="Arial" w:eastAsia="Arial" w:hAnsi="Arial"/>
                <w:sz w:val="13"/>
                <w:szCs w:val="13"/>
                <w:b w:val="1"/>
                <w:bCs w:val="1"/>
                <w:color w:val="auto"/>
                <w:w w:val="87"/>
              </w:rPr>
              <w:t>reported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tcPr>
          <w:p>
            <w:pPr>
              <w:jc w:val="center"/>
              <w:ind w:right="10"/>
              <w:spacing w:after="0"/>
              <w:rPr>
                <w:sz w:val="20"/>
                <w:szCs w:val="20"/>
                <w:color w:val="auto"/>
              </w:rPr>
            </w:pPr>
            <w:r>
              <w:rPr>
                <w:rFonts w:ascii="Arial" w:cs="Arial" w:eastAsia="Arial" w:hAnsi="Arial"/>
                <w:sz w:val="13"/>
                <w:szCs w:val="13"/>
                <w:b w:val="1"/>
                <w:bCs w:val="1"/>
                <w:color w:val="auto"/>
                <w:w w:val="87"/>
              </w:rPr>
              <w:t>reported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58,752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51,487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17,831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17,831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22,121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33,230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33,125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(89,603)</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120,995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120,995</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31,392</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32,731</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2020 interim statements of operations and comprehensive loss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First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0"/>
              </w:rPr>
              <w:t>Second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Third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Fourth</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4"/>
              </w:rPr>
              <w:t>Misclass-</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4"/>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72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9"/>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39,239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37,138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155"/>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7,416</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156"/>
        </w:trPr>
        <w:tc>
          <w:tcPr>
            <w:tcW w:w="1420" w:type="dxa"/>
            <w:vAlign w:val="bottom"/>
          </w:tcPr>
          <w:p>
            <w:pPr>
              <w:ind w:left="20"/>
              <w:spacing w:after="0"/>
              <w:rPr>
                <w:sz w:val="20"/>
                <w:szCs w:val="20"/>
                <w:color w:val="auto"/>
              </w:rPr>
            </w:pPr>
            <w:r>
              <w:rPr>
                <w:rFonts w:ascii="Arial" w:cs="Arial" w:eastAsia="Arial" w:hAnsi="Arial"/>
                <w:sz w:val="12"/>
                <w:szCs w:val="12"/>
                <w:color w:val="auto"/>
                <w:w w:val="94"/>
              </w:rPr>
              <w:t>Research and development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13,834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23,940</w:t>
            </w:r>
          </w:p>
        </w:tc>
        <w:tc>
          <w:tcPr>
            <w:tcW w:w="0" w:type="dxa"/>
            <w:vAlign w:val="bottom"/>
          </w:tcPr>
          <w:p>
            <w:pPr>
              <w:spacing w:after="0"/>
              <w:rPr>
                <w:sz w:val="1"/>
                <w:szCs w:val="1"/>
                <w:color w:val="auto"/>
              </w:rPr>
            </w:pPr>
          </w:p>
        </w:tc>
      </w:tr>
      <w:tr>
        <w:trPr>
          <w:trHeight w:val="159"/>
        </w:trPr>
        <w:tc>
          <w:tcPr>
            <w:tcW w:w="1420" w:type="dxa"/>
            <w:vAlign w:val="bottom"/>
          </w:tcPr>
          <w:p>
            <w:pPr>
              <w:ind w:left="20"/>
              <w:spacing w:after="0"/>
              <w:rPr>
                <w:sz w:val="20"/>
                <w:szCs w:val="20"/>
                <w:color w:val="auto"/>
              </w:rPr>
            </w:pPr>
            <w:r>
              <w:rPr>
                <w:rFonts w:ascii="Arial" w:cs="Arial" w:eastAsia="Arial" w:hAnsi="Arial"/>
                <w:sz w:val="12"/>
                <w:szCs w:val="12"/>
                <w:color w:val="auto"/>
                <w:w w:val="96"/>
              </w:rPr>
              <w:t>General and administrative</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156"/>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02"/>
        </w:trPr>
        <w:tc>
          <w:tcPr>
            <w:tcW w:w="1420" w:type="dxa"/>
            <w:vAlign w:val="bottom"/>
          </w:tcPr>
          <w:p>
            <w:pPr>
              <w:ind w:left="20"/>
              <w:spacing w:after="0" w:line="102" w:lineRule="exact"/>
              <w:rPr>
                <w:sz w:val="20"/>
                <w:szCs w:val="20"/>
                <w:color w:val="auto"/>
              </w:rPr>
            </w:pPr>
            <w:r>
              <w:rPr>
                <w:rFonts w:ascii="Arial" w:cs="Arial" w:eastAsia="Arial" w:hAnsi="Arial"/>
                <w:sz w:val="11"/>
                <w:szCs w:val="11"/>
                <w:color w:val="auto"/>
                <w:w w:val="99"/>
              </w:rPr>
              <w:t>Net loss and comprehensive</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80" w:type="dxa"/>
            <w:vAlign w:val="bottom"/>
          </w:tcPr>
          <w:p>
            <w:pPr>
              <w:spacing w:after="0"/>
              <w:rPr>
                <w:sz w:val="8"/>
                <w:szCs w:val="8"/>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0" w:type="dxa"/>
            <w:vAlign w:val="bottom"/>
          </w:tcPr>
          <w:p>
            <w:pPr>
              <w:spacing w:after="0"/>
              <w:rPr>
                <w:sz w:val="1"/>
                <w:szCs w:val="1"/>
                <w:color w:val="auto"/>
              </w:rPr>
            </w:pPr>
          </w:p>
        </w:tc>
      </w:tr>
      <w:tr>
        <w:trPr>
          <w:trHeight w:val="121"/>
        </w:trPr>
        <w:tc>
          <w:tcPr>
            <w:tcW w:w="1420" w:type="dxa"/>
            <w:vAlign w:val="bottom"/>
          </w:tcPr>
          <w:p>
            <w:pPr>
              <w:ind w:left="180"/>
              <w:spacing w:after="0" w:line="122" w:lineRule="exact"/>
              <w:rPr>
                <w:sz w:val="20"/>
                <w:szCs w:val="20"/>
                <w:color w:val="auto"/>
              </w:rPr>
            </w:pPr>
            <w:r>
              <w:rPr>
                <w:rFonts w:ascii="Arial" w:cs="Arial" w:eastAsia="Arial" w:hAnsi="Arial"/>
                <w:sz w:val="12"/>
                <w:szCs w:val="12"/>
                <w:color w:val="auto"/>
              </w:rPr>
              <w:t>loss</w:t>
            </w: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adjustments also affected certain current asset and liability accounts previously reported in the condensed balance sheets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March 31, 2021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Adjust-</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Restated</w:t>
            </w: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Restated</w:t>
            </w:r>
          </w:p>
        </w:tc>
        <w:tc>
          <w:tcPr>
            <w:tcW w:w="820" w:type="dxa"/>
            <w:vAlign w:val="bottom"/>
            <w:vMerge w:val="restart"/>
          </w:tcPr>
          <w:p>
            <w:pPr>
              <w:jc w:val="right"/>
              <w:ind w:right="8"/>
              <w:spacing w:after="0"/>
              <w:rPr>
                <w:sz w:val="20"/>
                <w:szCs w:val="20"/>
                <w:color w:val="auto"/>
              </w:rPr>
            </w:pPr>
            <w:r>
              <w:rPr>
                <w:rFonts w:ascii="Arial" w:cs="Arial" w:eastAsia="Arial" w:hAnsi="Arial"/>
                <w:sz w:val="13"/>
                <w:szCs w:val="13"/>
                <w:b w:val="1"/>
                <w:bCs w:val="1"/>
                <w:color w:val="auto"/>
                <w:w w:val="98"/>
              </w:rPr>
              <w:t>As reported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74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ment</w:t>
            </w: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rPr>
                <w:sz w:val="20"/>
                <w:szCs w:val="20"/>
                <w:color w:val="auto"/>
              </w:rPr>
            </w:pPr>
            <w:r>
              <w:rPr>
                <w:rFonts w:ascii="Arial" w:cs="Arial" w:eastAsia="Arial" w:hAnsi="Arial"/>
                <w:sz w:val="14"/>
                <w:szCs w:val="14"/>
                <w:color w:val="auto"/>
              </w:rPr>
              <w:t>33,490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840" w:type="dxa"/>
            <w:vAlign w:val="bottom"/>
          </w:tcPr>
          <w:p>
            <w:pPr>
              <w:jc w:val="right"/>
              <w:spacing w:after="0"/>
              <w:rPr>
                <w:sz w:val="20"/>
                <w:szCs w:val="20"/>
                <w:color w:val="auto"/>
              </w:rPr>
            </w:pPr>
            <w:r>
              <w:rPr>
                <w:rFonts w:ascii="Arial" w:cs="Arial" w:eastAsia="Arial" w:hAnsi="Arial"/>
                <w:sz w:val="14"/>
                <w:szCs w:val="14"/>
                <w:color w:val="auto"/>
              </w:rPr>
              <w:t>32,969</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81"/>
        </w:trPr>
        <w:tc>
          <w:tcPr>
            <w:tcW w:w="290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140,530</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140,241</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3"/>
        </w:trPr>
        <w:tc>
          <w:tcPr>
            <w:tcW w:w="290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9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tcBorders>
            <w:gridSpan w:val="7"/>
          </w:tcPr>
          <w:p>
            <w:pPr>
              <w:ind w:left="20"/>
              <w:spacing w:after="0"/>
              <w:rPr>
                <w:sz w:val="20"/>
                <w:szCs w:val="20"/>
                <w:color w:val="auto"/>
              </w:rPr>
            </w:pPr>
            <w:r>
              <w:rPr>
                <w:rFonts w:ascii="Arial" w:cs="Arial" w:eastAsia="Arial" w:hAnsi="Arial"/>
                <w:sz w:val="14"/>
                <w:szCs w:val="14"/>
                <w:b w:val="1"/>
                <w:bCs w:val="1"/>
                <w:color w:val="auto"/>
                <w:w w:val="98"/>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41,609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43,079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Current contract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2,810</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81"/>
        </w:trPr>
        <w:tc>
          <w:tcPr>
            <w:tcW w:w="29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68,207</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68,700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296,952</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22,530</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9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406,191</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w w:val="98"/>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80"/>
              <w:spacing w:after="0" w:line="135" w:lineRule="exact"/>
              <w:rPr>
                <w:sz w:val="20"/>
                <w:szCs w:val="20"/>
                <w:color w:val="auto"/>
              </w:rPr>
            </w:pPr>
            <w:r>
              <w:rPr>
                <w:rFonts w:ascii="Arial" w:cs="Arial" w:eastAsia="Arial" w:hAnsi="Arial"/>
                <w:sz w:val="14"/>
                <w:szCs w:val="14"/>
                <w:color w:val="auto"/>
                <w:w w:val="98"/>
              </w:rPr>
              <w:t>Series A-2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80"/>
              <w:spacing w:after="0" w:line="135" w:lineRule="exact"/>
              <w:rPr>
                <w:sz w:val="20"/>
                <w:szCs w:val="20"/>
                <w:color w:val="auto"/>
              </w:rPr>
            </w:pPr>
            <w:r>
              <w:rPr>
                <w:rFonts w:ascii="Arial" w:cs="Arial" w:eastAsia="Arial" w:hAnsi="Arial"/>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convertible common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(521,044)</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81"/>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(521,044)</w:t>
            </w:r>
          </w:p>
        </w:tc>
        <w:tc>
          <w:tcPr>
            <w:tcW w:w="8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6"/>
        </w:trPr>
        <w:tc>
          <w:tcPr>
            <w:tcW w:w="290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219,586</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F-272</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Accounts Receivable</w:t>
            </w: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6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2021</w:t>
            </w:r>
          </w:p>
        </w:tc>
        <w:tc>
          <w:tcPr>
            <w:tcW w:w="16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22%</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88"/>
              </w:rPr>
              <w:t>36%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w w:val="94"/>
              </w:rPr>
              <w:t>13%</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w w:val="94"/>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5"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F-273</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F-274</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F-275</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71"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116"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redeem the outstanding public warrants if the price per share of the common stock equals or exceeds $10.00 as described below:</w:t>
      </w:r>
    </w:p>
    <w:p>
      <w:pPr>
        <w:spacing w:after="0" w:line="194"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F-276</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ind w:left="660" w:hanging="328"/>
        <w:spacing w:after="0" w:line="308" w:lineRule="auto"/>
        <w:tabs>
          <w:tab w:leader="none" w:pos="6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December 31, 2021 was $10.2 million.</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F-277</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F-278</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F-279</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F-280</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2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1, on July 22, 2021, the Company consummated the Business Combination and received net cash proceeds of $510.0 million.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77"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F-281</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holding the proceeds from CMLS’s initial public offering (the “IPO”), which was approximately $10.00 per share, or $101,880 in aggregate.</w:t>
      </w:r>
    </w:p>
    <w:p>
      <w:pPr>
        <w:spacing w:after="0" w:line="183"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1"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7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F-282</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deferred costs was $1.4 million, $0.9 million and $0.7 million for the years ended December 31, 2021,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F-283</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F-284</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metrics. The key assumptions utilized in determining the valuation as of December 31, 2021 and Closing Date were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ind w:left="380"/>
              <w:spacing w:after="0"/>
              <w:rPr>
                <w:sz w:val="20"/>
                <w:szCs w:val="20"/>
                <w:color w:val="auto"/>
              </w:rPr>
            </w:pPr>
            <w:r>
              <w:rPr>
                <w:rFonts w:ascii="Arial" w:cs="Arial" w:eastAsia="Arial" w:hAnsi="Arial"/>
                <w:sz w:val="14"/>
                <w:szCs w:val="14"/>
                <w:b w:val="1"/>
                <w:bCs w:val="1"/>
                <w:color w:val="auto"/>
              </w:rPr>
              <w:t>Closing Date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0.20%</w:t>
            </w: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F-285</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F-286</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92"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F-287</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F-288</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F-289</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Total Commitments</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F-290</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3" w:lineRule="exact"/>
        <w:rPr>
          <w:sz w:val="20"/>
          <w:szCs w:val="20"/>
          <w:color w:val="auto"/>
        </w:rPr>
      </w:pPr>
    </w:p>
    <w:p>
      <w:pPr>
        <w:ind w:right="460" w:firstLine="324"/>
        <w:spacing w:after="0" w:line="438" w:lineRule="auto"/>
        <w:rPr>
          <w:sz w:val="20"/>
          <w:szCs w:val="20"/>
          <w:color w:val="auto"/>
        </w:rPr>
      </w:pPr>
      <w:r>
        <w:rPr>
          <w:rFonts w:ascii="Arial" w:cs="Arial" w:eastAsia="Arial" w:hAnsi="Arial"/>
          <w:sz w:val="18"/>
          <w:szCs w:val="18"/>
          <w:color w:val="auto"/>
        </w:rPr>
        <w:t xml:space="preserve">As of December 31, 2021, there was an aggregate of 15,467,838 shares available for grants of stock options or other awards under the 2021 Plan.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F-291</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Stock Options</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tcPr>
          <w:p>
            <w:pPr>
              <w:spacing w:after="0"/>
              <w:rPr>
                <w:sz w:val="16"/>
                <w:szCs w:val="16"/>
                <w:color w:val="auto"/>
              </w:rPr>
            </w:pPr>
          </w:p>
        </w:tc>
        <w:tc>
          <w:tcPr>
            <w:tcW w:w="1320" w:type="dxa"/>
            <w:vAlign w:val="bottom"/>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97"/>
              <w:spacing w:after="0"/>
              <w:rPr>
                <w:sz w:val="20"/>
                <w:szCs w:val="20"/>
                <w:color w:val="auto"/>
              </w:rPr>
            </w:pPr>
            <w:r>
              <w:rPr>
                <w:rFonts w:ascii="Arial" w:cs="Arial" w:eastAsia="Arial" w:hAnsi="Arial"/>
                <w:sz w:val="18"/>
                <w:szCs w:val="18"/>
                <w:color w:val="auto"/>
                <w:w w:val="91"/>
              </w:rPr>
              <w:t>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3,474,905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540" w:type="dxa"/>
            <w:vAlign w:val="bottom"/>
            <w:gridSpan w:val="2"/>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Options forfeited and canceled</w:t>
            </w:r>
          </w:p>
        </w:tc>
        <w:tc>
          <w:tcPr>
            <w:tcW w:w="1440" w:type="dxa"/>
            <w:vAlign w:val="bottom"/>
          </w:tcPr>
          <w:p>
            <w:pPr>
              <w:jc w:val="right"/>
              <w:spacing w:after="0"/>
              <w:rPr>
                <w:sz w:val="20"/>
                <w:szCs w:val="20"/>
                <w:color w:val="auto"/>
              </w:rPr>
            </w:pPr>
            <w:r>
              <w:rPr>
                <w:rFonts w:ascii="Arial" w:cs="Arial" w:eastAsia="Arial" w:hAnsi="Arial"/>
                <w:sz w:val="18"/>
                <w:szCs w:val="18"/>
                <w:color w:val="auto"/>
              </w:rPr>
              <w:t>(2,660,627)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540" w:type="dxa"/>
            <w:vAlign w:val="bottom"/>
            <w:gridSpan w:val="2"/>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97"/>
              <w:spacing w:after="0"/>
              <w:rPr>
                <w:sz w:val="20"/>
                <w:szCs w:val="20"/>
                <w:color w:val="auto"/>
              </w:rPr>
            </w:pPr>
            <w:r>
              <w:rPr>
                <w:rFonts w:ascii="Arial" w:cs="Arial" w:eastAsia="Arial" w:hAnsi="Arial"/>
                <w:sz w:val="18"/>
                <w:szCs w:val="18"/>
                <w:color w:val="auto"/>
                <w:w w:val="91"/>
              </w:rPr>
              <w:t>6.80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Options exercisable at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22,930,309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440" w:type="dxa"/>
            <w:vAlign w:val="bottom"/>
          </w:tcPr>
          <w:p>
            <w:pPr>
              <w:jc w:val="center"/>
              <w:ind w:left="997"/>
              <w:spacing w:after="0"/>
              <w:rPr>
                <w:sz w:val="20"/>
                <w:szCs w:val="20"/>
                <w:color w:val="auto"/>
              </w:rPr>
            </w:pPr>
            <w:r>
              <w:rPr>
                <w:rFonts w:ascii="Arial" w:cs="Arial" w:eastAsia="Arial" w:hAnsi="Arial"/>
                <w:sz w:val="18"/>
                <w:szCs w:val="18"/>
                <w:color w:val="auto"/>
                <w:w w:val="91"/>
              </w:rPr>
              <w:t>6.08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stock option awards for the period ended December 31, 2021, and as of December 31, 2020, and 2019 were estimated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1.40%–1.43%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F-292</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is included within the consolidated statements of operations and comprehensive loss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3"/>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22,567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shares of Redeemable Convertible Preferred Stock outstanding as of December 31, 2021. Redeemable Convertible Preferred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F-294</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(11.3)</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(7.8)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(32.0)</w:t>
            </w:r>
          </w:p>
        </w:tc>
        <w:tc>
          <w:tcPr>
            <w:tcW w:w="1660" w:type="dxa"/>
            <w:vAlign w:val="bottom"/>
            <w:gridSpan w:val="2"/>
          </w:tcPr>
          <w:p>
            <w:pPr>
              <w:jc w:val="center"/>
              <w:ind w:left="16"/>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(24.1)</w:t>
            </w:r>
          </w:p>
        </w:tc>
      </w:tr>
      <w:tr>
        <w:trPr>
          <w:trHeight w:val="25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F-295</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spacing w:after="0" w:line="203"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F-296</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2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Balance at the Beginning of Period</w:t>
            </w:r>
          </w:p>
        </w:tc>
        <w:tc>
          <w:tcPr>
            <w:tcW w:w="2340" w:type="dxa"/>
            <w:vAlign w:val="bottom"/>
            <w:gridSpan w:val="2"/>
          </w:tcPr>
          <w:p>
            <w:pPr>
              <w:ind w:left="820"/>
              <w:spacing w:after="0"/>
              <w:rPr>
                <w:sz w:val="20"/>
                <w:szCs w:val="20"/>
                <w:color w:val="auto"/>
              </w:rPr>
            </w:pPr>
            <w:r>
              <w:rPr>
                <w:rFonts w:ascii="Arial" w:cs="Arial" w:eastAsia="Arial" w:hAnsi="Arial"/>
                <w:sz w:val="14"/>
                <w:szCs w:val="14"/>
                <w:b w:val="1"/>
                <w:bCs w:val="1"/>
                <w:color w:val="auto"/>
              </w:rPr>
              <w:t>Additions</w:t>
            </w:r>
          </w:p>
        </w:tc>
        <w:tc>
          <w:tcPr>
            <w:tcW w:w="2360" w:type="dxa"/>
            <w:vAlign w:val="bottom"/>
            <w:gridSpan w:val="2"/>
          </w:tcPr>
          <w:p>
            <w:pPr>
              <w:ind w:left="600"/>
              <w:spacing w:after="0"/>
              <w:rPr>
                <w:sz w:val="20"/>
                <w:szCs w:val="20"/>
                <w:color w:val="auto"/>
              </w:rPr>
            </w:pPr>
            <w:r>
              <w:rPr>
                <w:rFonts w:ascii="Arial" w:cs="Arial" w:eastAsia="Arial" w:hAnsi="Arial"/>
                <w:sz w:val="14"/>
                <w:szCs w:val="14"/>
                <w:b w:val="1"/>
                <w:bCs w:val="1"/>
                <w:color w:val="auto"/>
              </w:rPr>
              <w:t>Write-Offs/Other</w:t>
            </w:r>
          </w:p>
        </w:tc>
        <w:tc>
          <w:tcPr>
            <w:tcW w:w="200" w:type="dxa"/>
            <w:vAlign w:val="bottom"/>
          </w:tcPr>
          <w:p>
            <w:pPr>
              <w:spacing w:after="0"/>
              <w:rPr>
                <w:sz w:val="16"/>
                <w:szCs w:val="16"/>
                <w:color w:val="auto"/>
              </w:rPr>
            </w:pPr>
          </w:p>
        </w:tc>
        <w:tc>
          <w:tcPr>
            <w:tcW w:w="21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Balance at the End of Period</w:t>
            </w: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38,182</w:t>
            </w:r>
          </w:p>
        </w:tc>
        <w:tc>
          <w:tcPr>
            <w:tcW w:w="80" w:type="dxa"/>
            <w:vAlign w:val="bottom"/>
          </w:tcPr>
          <w:p>
            <w:pPr>
              <w:spacing w:after="0"/>
              <w:rPr>
                <w:sz w:val="19"/>
                <w:szCs w:val="19"/>
                <w:color w:val="auto"/>
              </w:rPr>
            </w:pPr>
          </w:p>
        </w:tc>
        <w:tc>
          <w:tcPr>
            <w:tcW w:w="23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30"/>
        </w:trPr>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F-297</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7"/>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F-298</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options and RSUs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warrants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earn-out shares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earn-out RSUs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Redeemable convertible preferred stock (on an if-converted basis)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5"/>
        </w:trPr>
        <w:tc>
          <w:tcPr>
            <w:tcW w:w="1560" w:type="dxa"/>
            <w:vAlign w:val="bottom"/>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22,491,757</w:t>
            </w:r>
          </w:p>
        </w:tc>
      </w:tr>
      <w:tr>
        <w:trPr>
          <w:trHeight w:val="242"/>
        </w:trPr>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1560" w:type="dxa"/>
            <w:vAlign w:val="bottom"/>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121,298,525</w:t>
            </w:r>
          </w:p>
        </w:tc>
      </w:tr>
      <w:tr>
        <w:trPr>
          <w:trHeight w:val="223"/>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143,790,282</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-942340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-633730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-333375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3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23495</wp:posOffset>
            </wp:positionV>
            <wp:extent cx="20485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2300"/>
        <w:spacing w:after="0"/>
        <w:tabs>
          <w:tab w:leader="none" w:pos="3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bonus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benefits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F-299</w:t>
      </w:r>
    </w:p>
    <w:p>
      <w:pPr>
        <w:sectPr>
          <w:pgSz w:w="11900" w:h="16838" w:orient="portrait"/>
          <w:cols w:equalWidth="0" w:num="1">
            <w:col w:w="11240"/>
          </w:cols>
          <w:pgMar w:left="320" w:top="1440" w:right="339" w:bottom="1440" w:gutter="0" w:footer="0" w:header="0"/>
          <w:type w:val="continuous"/>
        </w:sectPr>
      </w:pPr>
    </w:p>
    <w:bookmarkStart w:id="306" w:name="page307"/>
    <w:bookmarkEnd w:id="3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F-300</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Arial" w:cs="Arial" w:eastAsia="Arial" w:hAnsi="Arial"/>
                <w:sz w:val="18"/>
                <w:szCs w:val="18"/>
                <w:b w:val="1"/>
                <w:bCs w:val="1"/>
                <w:color w:val="auto"/>
                <w:w w:val="99"/>
              </w:rPr>
              <w:t>GENEDX, INC. AND SUBSIDIARY</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Arial" w:cs="Arial" w:eastAsia="Arial" w:hAnsi="Arial"/>
                <w:sz w:val="18"/>
                <w:szCs w:val="18"/>
                <w:b w:val="1"/>
                <w:bCs w:val="1"/>
                <w:color w:val="auto"/>
              </w:rPr>
              <w:t>COMBINED CARVE OUT FINANCIAL STATEMENTS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95"/>
              </w:rPr>
              <w:t>YEARS ENDED DECEMBER 31, 2021 and 2020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gridSpan w:val="2"/>
            <w:vMerge w:val="restart"/>
          </w:tcPr>
          <w:p>
            <w:pPr>
              <w:spacing w:after="0"/>
              <w:rPr>
                <w:rFonts w:ascii="Arial" w:cs="Arial" w:eastAsia="Arial" w:hAnsi="Arial"/>
                <w:sz w:val="18"/>
                <w:szCs w:val="18"/>
                <w:color w:val="0000FF"/>
              </w:rPr>
            </w:pPr>
            <w:hyperlink w:anchor="page308">
              <w:r>
                <w:rPr>
                  <w:rFonts w:ascii="Arial" w:cs="Arial" w:eastAsia="Arial" w:hAnsi="Arial"/>
                  <w:sz w:val="18"/>
                  <w:szCs w:val="18"/>
                  <w:color w:val="0000FF"/>
                </w:rPr>
                <w:t>Report of Independent Auditors</w:t>
              </w:r>
            </w:hyperlink>
          </w:p>
        </w:tc>
        <w:tc>
          <w:tcPr>
            <w:tcW w:w="7820" w:type="dxa"/>
            <w:vAlign w:val="bottom"/>
            <w:gridSpan w:val="5"/>
            <w:vMerge w:val="restart"/>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78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spacing w:after="0" w:line="156" w:lineRule="exact"/>
              <w:rPr>
                <w:rFonts w:ascii="Arial" w:cs="Arial" w:eastAsia="Arial" w:hAnsi="Arial"/>
                <w:sz w:val="18"/>
                <w:szCs w:val="18"/>
                <w:color w:val="0000FF"/>
                <w:w w:val="89"/>
              </w:rPr>
            </w:pPr>
            <w:hyperlink w:anchor="page308">
              <w:r>
                <w:rPr>
                  <w:rFonts w:ascii="Arial" w:cs="Arial" w:eastAsia="Arial" w:hAnsi="Arial"/>
                  <w:sz w:val="18"/>
                  <w:szCs w:val="18"/>
                  <w:color w:val="0000FF"/>
                  <w:w w:val="89"/>
                </w:rPr>
                <w:t>F-302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rFonts w:ascii="Arial" w:cs="Arial" w:eastAsia="Arial" w:hAnsi="Arial"/>
                <w:sz w:val="18"/>
                <w:szCs w:val="18"/>
                <w:color w:val="0000FF"/>
              </w:rPr>
            </w:pPr>
            <w:hyperlink w:anchor="page310">
              <w:r>
                <w:rPr>
                  <w:rFonts w:ascii="Arial" w:cs="Arial" w:eastAsia="Arial" w:hAnsi="Arial"/>
                  <w:sz w:val="18"/>
                  <w:szCs w:val="18"/>
                  <w:color w:val="0000FF"/>
                </w:rPr>
                <w:t>Combined Carve Out Balance Sheets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0">
              <w:r>
                <w:rPr>
                  <w:rFonts w:ascii="Arial" w:cs="Arial" w:eastAsia="Arial" w:hAnsi="Arial"/>
                  <w:sz w:val="18"/>
                  <w:szCs w:val="18"/>
                  <w:color w:val="0000FF"/>
                  <w:w w:val="89"/>
                </w:rPr>
                <w:t>F-304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6"/>
          </w:tcPr>
          <w:p>
            <w:pPr>
              <w:spacing w:after="0"/>
              <w:rPr>
                <w:rFonts w:ascii="Arial" w:cs="Arial" w:eastAsia="Arial" w:hAnsi="Arial"/>
                <w:sz w:val="18"/>
                <w:szCs w:val="18"/>
                <w:color w:val="0000FF"/>
                <w:w w:val="89"/>
              </w:rPr>
            </w:pPr>
            <w:hyperlink w:anchor="page311">
              <w:r>
                <w:rPr>
                  <w:rFonts w:ascii="Arial" w:cs="Arial" w:eastAsia="Arial" w:hAnsi="Arial"/>
                  <w:sz w:val="18"/>
                  <w:szCs w:val="18"/>
                  <w:color w:val="0000FF"/>
                  <w:w w:val="89"/>
                </w:rPr>
                <w:t xml:space="preserve">Combined </w:t>
              </w:r>
            </w:hyperlink>
            <w:hyperlink w:anchor="page310">
              <w:r>
                <w:rPr>
                  <w:rFonts w:ascii="Arial" w:cs="Arial" w:eastAsia="Arial" w:hAnsi="Arial"/>
                  <w:sz w:val="18"/>
                  <w:szCs w:val="18"/>
                  <w:color w:val="0000FF"/>
                  <w:w w:val="89"/>
                </w:rPr>
                <w:t xml:space="preserve">Carve Out </w:t>
              </w:r>
            </w:hyperlink>
            <w:hyperlink w:anchor="page311">
              <w:r>
                <w:rPr>
                  <w:rFonts w:ascii="Arial" w:cs="Arial" w:eastAsia="Arial" w:hAnsi="Arial"/>
                  <w:sz w:val="18"/>
                  <w:szCs w:val="18"/>
                  <w:color w:val="0000FF"/>
                  <w:w w:val="89"/>
                </w:rPr>
                <w:t>Statements of Comprehensive Loss</w:t>
              </w:r>
            </w:hyperlink>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1">
              <w:r>
                <w:rPr>
                  <w:rFonts w:ascii="Arial" w:cs="Arial" w:eastAsia="Arial" w:hAnsi="Arial"/>
                  <w:sz w:val="18"/>
                  <w:szCs w:val="18"/>
                  <w:color w:val="0000FF"/>
                  <w:w w:val="89"/>
                </w:rPr>
                <w:t>F-305</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gridSpan w:val="3"/>
          </w:tcPr>
          <w:p>
            <w:pPr>
              <w:spacing w:after="0"/>
              <w:rPr>
                <w:rFonts w:ascii="Arial" w:cs="Arial" w:eastAsia="Arial" w:hAnsi="Arial"/>
                <w:sz w:val="18"/>
                <w:szCs w:val="18"/>
                <w:color w:val="0000FF"/>
                <w:w w:val="90"/>
              </w:rPr>
            </w:pPr>
            <w:hyperlink w:anchor="page312">
              <w:r>
                <w:rPr>
                  <w:rFonts w:ascii="Arial" w:cs="Arial" w:eastAsia="Arial" w:hAnsi="Arial"/>
                  <w:sz w:val="18"/>
                  <w:szCs w:val="18"/>
                  <w:color w:val="0000FF"/>
                  <w:w w:val="90"/>
                </w:rPr>
                <w:t xml:space="preserve">Combined </w:t>
              </w:r>
            </w:hyperlink>
            <w:hyperlink w:anchor="page310">
              <w:r>
                <w:rPr>
                  <w:rFonts w:ascii="Arial" w:cs="Arial" w:eastAsia="Arial" w:hAnsi="Arial"/>
                  <w:sz w:val="18"/>
                  <w:szCs w:val="18"/>
                  <w:color w:val="0000FF"/>
                  <w:w w:val="90"/>
                </w:rPr>
                <w:t xml:space="preserve">Carve Out </w:t>
              </w:r>
            </w:hyperlink>
            <w:hyperlink w:anchor="page312">
              <w:r>
                <w:rPr>
                  <w:rFonts w:ascii="Arial" w:cs="Arial" w:eastAsia="Arial" w:hAnsi="Arial"/>
                  <w:sz w:val="18"/>
                  <w:szCs w:val="18"/>
                  <w:color w:val="0000FF"/>
                  <w:w w:val="90"/>
                </w:rPr>
                <w:t>Statements of Equity</w:t>
              </w:r>
            </w:hyperlink>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2">
              <w:r>
                <w:rPr>
                  <w:rFonts w:ascii="Arial" w:cs="Arial" w:eastAsia="Arial" w:hAnsi="Arial"/>
                  <w:sz w:val="18"/>
                  <w:szCs w:val="18"/>
                  <w:color w:val="0000FF"/>
                  <w:w w:val="89"/>
                </w:rPr>
                <w:t>F-306</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rFonts w:ascii="Arial" w:cs="Arial" w:eastAsia="Arial" w:hAnsi="Arial"/>
                <w:sz w:val="18"/>
                <w:szCs w:val="18"/>
                <w:color w:val="0000FF"/>
              </w:rPr>
            </w:pPr>
            <w:hyperlink w:anchor="page313">
              <w:r>
                <w:rPr>
                  <w:rFonts w:ascii="Arial" w:cs="Arial" w:eastAsia="Arial" w:hAnsi="Arial"/>
                  <w:sz w:val="18"/>
                  <w:szCs w:val="18"/>
                  <w:color w:val="0000FF"/>
                </w:rPr>
                <w:t xml:space="preserve">Combined </w:t>
              </w:r>
            </w:hyperlink>
            <w:hyperlink w:anchor="page310">
              <w:r>
                <w:rPr>
                  <w:rFonts w:ascii="Arial" w:cs="Arial" w:eastAsia="Arial" w:hAnsi="Arial"/>
                  <w:sz w:val="18"/>
                  <w:szCs w:val="18"/>
                  <w:color w:val="0000FF"/>
                </w:rPr>
                <w:t xml:space="preserve">Carve Out </w:t>
              </w:r>
            </w:hyperlink>
            <w:hyperlink w:anchor="page313">
              <w:r>
                <w:rPr>
                  <w:rFonts w:ascii="Arial" w:cs="Arial" w:eastAsia="Arial" w:hAnsi="Arial"/>
                  <w:sz w:val="18"/>
                  <w:szCs w:val="18"/>
                  <w:color w:val="0000FF"/>
                </w:rPr>
                <w:t>Statements of Cash Flows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3">
              <w:r>
                <w:rPr>
                  <w:rFonts w:ascii="Arial" w:cs="Arial" w:eastAsia="Arial" w:hAnsi="Arial"/>
                  <w:sz w:val="18"/>
                  <w:szCs w:val="18"/>
                  <w:color w:val="0000FF"/>
                  <w:w w:val="89"/>
                </w:rPr>
                <w:t>F-307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7"/>
          </w:tcPr>
          <w:p>
            <w:pPr>
              <w:spacing w:after="0"/>
              <w:rPr>
                <w:rFonts w:ascii="Arial" w:cs="Arial" w:eastAsia="Arial" w:hAnsi="Arial"/>
                <w:sz w:val="18"/>
                <w:szCs w:val="18"/>
                <w:color w:val="0000FF"/>
              </w:rPr>
            </w:pPr>
            <w:hyperlink w:anchor="page314">
              <w:r>
                <w:rPr>
                  <w:rFonts w:ascii="Arial" w:cs="Arial" w:eastAsia="Arial" w:hAnsi="Arial"/>
                  <w:sz w:val="18"/>
                  <w:szCs w:val="18"/>
                  <w:color w:val="0000FF"/>
                </w:rPr>
                <w:t xml:space="preserve">Notes to </w:t>
              </w:r>
            </w:hyperlink>
            <w:hyperlink w:anchor="page310">
              <w:r>
                <w:rPr>
                  <w:rFonts w:ascii="Arial" w:cs="Arial" w:eastAsia="Arial" w:hAnsi="Arial"/>
                  <w:sz w:val="18"/>
                  <w:szCs w:val="18"/>
                  <w:color w:val="0000FF"/>
                </w:rPr>
                <w:t xml:space="preserve">Carve Out </w:t>
              </w:r>
            </w:hyperlink>
            <w:hyperlink w:anchor="page314">
              <w:r>
                <w:rPr>
                  <w:rFonts w:ascii="Arial" w:cs="Arial" w:eastAsia="Arial" w:hAnsi="Arial"/>
                  <w:sz w:val="18"/>
                  <w:szCs w:val="18"/>
                  <w:color w:val="0000FF"/>
                </w:rPr>
                <w:t>Combined Financial Statements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4">
              <w:r>
                <w:rPr>
                  <w:rFonts w:ascii="Arial" w:cs="Arial" w:eastAsia="Arial" w:hAnsi="Arial"/>
                  <w:sz w:val="18"/>
                  <w:szCs w:val="18"/>
                  <w:color w:val="0000FF"/>
                  <w:w w:val="89"/>
                </w:rPr>
                <w:t>F-308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7" w:lineRule="exact"/>
        <w:rPr>
          <w:rFonts w:ascii="Arial" w:cs="Arial" w:eastAsia="Arial" w:hAnsi="Arial"/>
          <w:sz w:val="18"/>
          <w:szCs w:val="18"/>
          <w:color w:val="0000FF"/>
        </w:rPr>
      </w:pPr>
    </w:p>
    <w:p>
      <w:pPr>
        <w:jc w:val="center"/>
        <w:ind w:right="20"/>
        <w:spacing w:after="0"/>
        <w:rPr>
          <w:sz w:val="20"/>
          <w:szCs w:val="20"/>
          <w:color w:val="auto"/>
        </w:rPr>
      </w:pPr>
      <w:r>
        <w:rPr>
          <w:rFonts w:ascii="Arial" w:cs="Arial" w:eastAsia="Arial" w:hAnsi="Arial"/>
          <w:sz w:val="18"/>
          <w:szCs w:val="18"/>
          <w:color w:val="auto"/>
        </w:rPr>
        <w:t>F-301</w:t>
      </w:r>
    </w:p>
    <w:p>
      <w:pPr>
        <w:sectPr>
          <w:pgSz w:w="11900" w:h="16838" w:orient="portrait"/>
          <w:cols w:equalWidth="0" w:num="1">
            <w:col w:w="11220"/>
          </w:cols>
          <w:pgMar w:left="340" w:top="1440" w:right="339" w:bottom="1440" w:gutter="0" w:footer="0" w:header="0"/>
        </w:sectPr>
      </w:pPr>
    </w:p>
    <w:bookmarkStart w:id="308" w:name="page309"/>
    <w:bookmarkEnd w:id="308"/>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combined carve-out financial statements of GeneDx, Inc. and subsidiary (the Company), which comprise the combined balance sheets as of December 31, 2021 and 2020, and the related combined statements of comprehensive loss, equity and cash flows for the years then ended, and the related notes (collectively referred to as the “combined financial statements”).</w:t>
      </w:r>
    </w:p>
    <w:p>
      <w:pPr>
        <w:spacing w:after="0" w:line="1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ind w:left="660" w:hanging="328"/>
        <w:spacing w:after="0" w:line="26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F-302</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F-303</w:t>
      </w:r>
    </w:p>
    <w:p>
      <w:pPr>
        <w:sectPr>
          <w:pgSz w:w="11900" w:h="16838" w:orient="portrait"/>
          <w:cols w:equalWidth="0" w:num="1">
            <w:col w:w="11200"/>
          </w:cols>
          <w:pgMar w:left="320" w:top="1440" w:right="379" w:bottom="1440" w:gutter="0" w:footer="0" w:header="0"/>
        </w:sectPr>
      </w:pPr>
    </w:p>
    <w:bookmarkStart w:id="310" w:name="page311"/>
    <w:bookmarkEnd w:id="3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F-304</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(46,853)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(46,940)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F-305</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Arial" w:cs="Arial" w:eastAsia="Arial" w:hAnsi="Arial"/>
                <w:sz w:val="18"/>
                <w:szCs w:val="18"/>
                <w:b w:val="1"/>
                <w:bCs w:val="1"/>
                <w:color w:val="auto"/>
                <w:w w:val="91"/>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Arial" w:cs="Arial" w:eastAsia="Arial" w:hAnsi="Arial"/>
                <w:sz w:val="18"/>
                <w:szCs w:val="18"/>
                <w:b w:val="1"/>
                <w:bCs w:val="1"/>
                <w:color w:val="auto"/>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8"/>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Arial" w:cs="Arial" w:eastAsia="Arial" w:hAnsi="Arial"/>
                <w:sz w:val="18"/>
                <w:szCs w:val="18"/>
                <w:b w:val="1"/>
                <w:bCs w:val="1"/>
                <w:color w:val="auto"/>
                <w:w w:val="8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3"/>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473,557</w:t>
            </w: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w:t>
            </w: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460,206</w:t>
            </w:r>
          </w:p>
        </w:tc>
      </w:tr>
      <w:tr>
        <w:trPr>
          <w:trHeight w:val="21"/>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460,206</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35,932</w:t>
            </w: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F-306</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F-307</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office and laboratory, which is our only physical location, is located at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COVID-19</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eligible to defer depositing the employer’s share of Social Security taxes for payments due from March 27, 2020, through December 31, 2020, interest-free and penalty-free;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F-308</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4" w:lineRule="exact"/>
        <w:rPr>
          <w:sz w:val="20"/>
          <w:szCs w:val="20"/>
          <w:color w:val="auto"/>
        </w:rPr>
      </w:pPr>
    </w:p>
    <w:p>
      <w:pPr>
        <w:jc w:val="both"/>
        <w:ind w:left="660" w:hanging="328"/>
        <w:spacing w:after="0" w:line="263"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Combined Carve Out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(US GAAP).</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Combined Carve Out Financial Statements include the accounts of GeneDx and of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US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include short-term, interest-bearing instruments with original maturities of 90 days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We also consider all highly liquid investments with original maturities at the date of purchase of 90 days or less as cash equivalents. These investments include money markets and bank deposits.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valued at the lower of cost and net realizable value. Cost is determined by the first-in, first-out method. We consider such</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as 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represents the difference between the purchase price and the estimated fair value of net assets acquired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F-309</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carrying amounts of our cash and cash equivalents, accounts receivable and accounts payable approximate their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due to the short-term maturities of these instruments and accounts. The fair value of the due to/due from Parent and its subsidiaries is not practical to estimate due to the uncertainty regarding the timing of future payments.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Property, plant and equipment are recorded at cost. Depreciation is provided using the straight-line method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Long-lived assets, such as property and equipment, are reviewed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F-310</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Impairment of Equity Method Investments. </w:t>
      </w:r>
      <w:r>
        <w:rPr>
          <w:rFonts w:ascii="Arial" w:cs="Arial" w:eastAsia="Arial" w:hAnsi="Arial"/>
          <w:sz w:val="18"/>
          <w:szCs w:val="18"/>
          <w:color w:val="auto"/>
        </w:rPr>
        <w:t>Equity method investments are assessed for impairment annually or when events or circumstances suggest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carrying amount of the investment may be impaired. An impairment charge is recorded in earnings when the decline in value below the carrying amount of its equity method investment is determined to be other-than-temporary.</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OPKO grants stock options to certain employees of GeneDx and the annual contribution of non-cash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is 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determined as if we filed tax returns on a standalone basis utilizing the Separate Return Method. We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federal income tax return filed by OPKO.</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when a customer obtains control of promised goods or services in accordance with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F-311</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Concentration of credit risk and allowance for doubtful accounts</w:t>
      </w:r>
      <w:r>
        <w:rPr>
          <w:rFonts w:ascii="Arial" w:cs="Arial" w:eastAsia="Arial" w:hAnsi="Arial"/>
          <w:sz w:val="17"/>
          <w:szCs w:val="17"/>
          <w:color w:val="auto"/>
        </w:rPr>
        <w:t>. Financial instruments that potentially subject us to concentrations of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Due to/from Parent and its subsidiaries. </w:t>
      </w:r>
      <w:r>
        <w:rPr>
          <w:rFonts w:ascii="Arial" w:cs="Arial" w:eastAsia="Arial" w:hAnsi="Arial"/>
          <w:sz w:val="18"/>
          <w:szCs w:val="18"/>
          <w:color w:val="auto"/>
        </w:rPr>
        <w:t>Due to/from Parent and its subsidiaries primarily represents operations between GeneDx and subsidiaries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We do not charge customers for shipping and handling costs. Shipping and handling costs are classified as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 the Combined Carve Out Statements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F-312</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Allocations from BioReference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F-313</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Composition of Certain Combined </w:t>
      </w:r>
      <w:r>
        <w:rPr>
          <w:rFonts w:ascii="Arial" w:cs="Arial" w:eastAsia="Arial" w:hAnsi="Arial"/>
          <w:sz w:val="18"/>
          <w:szCs w:val="18"/>
          <w:color w:val="auto"/>
        </w:rPr>
        <w:t>Carve Out</w:t>
      </w:r>
      <w:r>
        <w:rPr>
          <w:rFonts w:ascii="Arial" w:cs="Arial" w:eastAsia="Arial" w:hAnsi="Arial"/>
          <w:sz w:val="18"/>
          <w:szCs w:val="18"/>
          <w:b w:val="1"/>
          <w:bCs w:val="1"/>
          <w:color w:val="auto"/>
        </w:rPr>
        <w:t xml:space="preserve"> Financial Statement Captions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Guarantee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F-314</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ind w:right="1780" w:firstLine="324"/>
        <w:spacing w:after="0" w:line="438" w:lineRule="auto"/>
        <w:rPr>
          <w:sz w:val="20"/>
          <w:szCs w:val="20"/>
          <w:color w:val="auto"/>
        </w:rPr>
      </w:pPr>
      <w:r>
        <w:rPr>
          <w:rFonts w:ascii="Arial" w:cs="Arial" w:eastAsia="Arial" w:hAnsi="Arial"/>
          <w:sz w:val="18"/>
          <w:szCs w:val="18"/>
          <w:color w:val="auto"/>
        </w:rPr>
        <w:t xml:space="preserve">As of December 31, 2021, $64.8 million remained available to BioReference for borrowing under the A&amp;R Credit Agreement. </w:t>
      </w:r>
      <w:r>
        <w:rPr>
          <w:rFonts w:ascii="Arial" w:cs="Arial" w:eastAsia="Arial" w:hAnsi="Arial"/>
          <w:sz w:val="18"/>
          <w:szCs w:val="18"/>
          <w:b w:val="1"/>
          <w:bCs w:val="1"/>
          <w:color w:val="auto"/>
        </w:rPr>
        <w:t>Note 9 Income Taxes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consists of the following benefit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1"/>
              </w:rPr>
              <w:t>For the years ended</w:t>
            </w:r>
          </w:p>
        </w:tc>
        <w:tc>
          <w:tcPr>
            <w:tcW w:w="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8000" w:type="dxa"/>
            <w:vAlign w:val="bottom"/>
            <w:gridSpan w:val="2"/>
          </w:tcPr>
          <w:p>
            <w:pPr>
              <w:spacing w:after="0" w:line="172" w:lineRule="exact"/>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 income tax benefit,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F-315</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 assets and liabilities as of December 31, 2021 and 2020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F-316</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Tax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elements contributing to the difference between the federal statutory tax rate and the effective tax rate are as follows:</w:t>
      </w:r>
    </w:p>
    <w:p>
      <w:pPr>
        <w:spacing w:after="0" w:line="19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For the years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Dr. Roger Medel, a director of OPKO as of December 18, 2020, is the former Chief Executive Officer of Pediatrix. Dr. Medel continues to serve on the board of Pediatrix.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2018, GeneDx received two document request letters from Cigna’s Special Investigations Unit in connection with claims submitted for laboratory services performed on Cigna members by GeneDx. Cigna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F-317</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F-318</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descriptions of our payors for laboratory services: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Healthcare Insurers. </w:t>
      </w:r>
      <w:r>
        <w:rPr>
          <w:rFonts w:ascii="Arial" w:cs="Arial" w:eastAsia="Arial" w:hAnsi="Arial"/>
          <w:sz w:val="17"/>
          <w:szCs w:val="17"/>
          <w:color w:val="auto"/>
        </w:rPr>
        <w:t>Reimbursements from healthcare insurers are based on negotiated fee-for-service schedules. Revenues consist of amounts billed,</w:t>
      </w:r>
      <w:r>
        <w:rPr>
          <w:rFonts w:ascii="Arial" w:cs="Arial" w:eastAsia="Arial" w:hAnsi="Arial"/>
          <w:sz w:val="17"/>
          <w:szCs w:val="17"/>
          <w:i w:val="1"/>
          <w:iCs w:val="1"/>
          <w:color w:val="auto"/>
        </w:rPr>
        <w:t xml:space="preserve"> </w:t>
      </w:r>
      <w:r>
        <w:rPr>
          <w:rFonts w:ascii="Arial" w:cs="Arial" w:eastAsia="Arial" w:hAnsi="Arial"/>
          <w:sz w:val="17"/>
          <w:szCs w:val="17"/>
          <w:color w:val="auto"/>
        </w:rPr>
        <w:t>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Government Payors. </w:t>
      </w:r>
      <w:r>
        <w:rPr>
          <w:rFonts w:ascii="Arial" w:cs="Arial" w:eastAsia="Arial" w:hAnsi="Arial"/>
          <w:sz w:val="18"/>
          <w:szCs w:val="18"/>
          <w:color w:val="auto"/>
        </w:rPr>
        <w:t>Reimbursements from government payors are based on fee-for-service schedules set by governmental authorities,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Client Payors. </w:t>
      </w:r>
      <w:r>
        <w:rPr>
          <w:rFonts w:ascii="Arial" w:cs="Arial" w:eastAsia="Arial" w:hAnsi="Arial"/>
          <w:sz w:val="18"/>
          <w:szCs w:val="18"/>
          <w:color w:val="auto"/>
        </w:rPr>
        <w:t>Client payors include physicians, hospitals, employers, and other institutions for which services are performed on a wholesale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billed and recognized as revenue based on negotiated fee schedules.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Patients. </w:t>
      </w:r>
      <w:r>
        <w:rPr>
          <w:rFonts w:ascii="Arial" w:cs="Arial" w:eastAsia="Arial" w:hAnsi="Arial"/>
          <w:sz w:val="16"/>
          <w:szCs w:val="16"/>
          <w:color w:val="auto"/>
        </w:rPr>
        <w:t>Uninsured patients are billed based on established patient fee schedules or fees negotiated with physicians on behalf of their patients.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F-319</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third-party payors for overpayments regardless of fault. We have periodically identified and reported overpayments, reimbursed payors for overpayments and taken appropriate corrective action.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Revenue by payor for the years ended December 31,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F-320</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lease balances within the Combined Balance Sheet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6,858</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r>
      <w:tr>
        <w:trPr>
          <w:trHeight w:val="257"/>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F-321</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29,080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F-322</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AGREEMENT AND PLAN OF MERGER AND REORGANIZATION</w:t>
      </w: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by and among</w:t>
      </w:r>
    </w:p>
    <w:p>
      <w:pPr>
        <w:spacing w:after="0" w:line="162"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SEMA4 HOLDINGS CORP.,</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ORION MERGER SUB I, INC.,</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ORION MERGER SUB II, LLC,</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a Delaware limited liability company,</w:t>
      </w:r>
    </w:p>
    <w:p>
      <w:pPr>
        <w:spacing w:after="0" w:line="14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GENEDX, INC.,</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a New Jersey corporation,</w:t>
      </w:r>
    </w:p>
    <w:p>
      <w:pPr>
        <w:spacing w:after="0" w:line="140"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GENEDX HOLDING 2,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w:t>
      </w:r>
    </w:p>
    <w:p>
      <w:pPr>
        <w:spacing w:after="0" w:line="162"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OPKO HEALTH, INC.,</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Dated as of January 14, 2022</w:t>
      </w:r>
    </w:p>
    <w:p>
      <w:pPr>
        <w:sectPr>
          <w:pgSz w:w="11900" w:h="16838" w:orient="portrait"/>
          <w:cols w:equalWidth="0" w:num="1">
            <w:col w:w="9019"/>
          </w:cols>
          <w:pgMar w:left="1440" w:top="1440" w:right="1440" w:bottom="1440" w:gutter="0" w:footer="0" w:header="0"/>
        </w:sectPr>
      </w:pPr>
    </w:p>
    <w:bookmarkStart w:id="330" w:name="page331"/>
    <w:bookmarkEnd w:id="330"/>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6760" w:type="dxa"/>
            <w:vAlign w:val="bottom"/>
            <w:gridSpan w:val="3"/>
          </w:tcPr>
          <w:p>
            <w:pPr>
              <w:ind w:left="18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7"/>
                <w:szCs w:val="17"/>
                <w:color w:val="auto"/>
              </w:rPr>
            </w:pPr>
          </w:p>
        </w:tc>
      </w:tr>
      <w:tr>
        <w:trPr>
          <w:trHeight w:val="557"/>
        </w:trPr>
        <w:tc>
          <w:tcPr>
            <w:tcW w:w="2280" w:type="dxa"/>
            <w:vAlign w:val="bottom"/>
          </w:tcPr>
          <w:p>
            <w:pPr>
              <w:spacing w:after="0"/>
              <w:rPr>
                <w:sz w:val="20"/>
                <w:szCs w:val="20"/>
                <w:color w:val="auto"/>
              </w:rPr>
            </w:pPr>
            <w:r>
              <w:rPr>
                <w:rFonts w:ascii="Arial" w:cs="Arial" w:eastAsia="Arial" w:hAnsi="Arial"/>
                <w:sz w:val="20"/>
                <w:szCs w:val="20"/>
                <w:color w:val="auto"/>
                <w:w w:val="96"/>
              </w:rPr>
              <w:t>ARTICLE 1 DEFINITIONS</w:t>
            </w:r>
          </w:p>
        </w:tc>
        <w:tc>
          <w:tcPr>
            <w:tcW w:w="18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20"/>
                <w:szCs w:val="20"/>
                <w:color w:val="auto"/>
              </w:rPr>
              <w:t>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1.1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Defined Terms</w:t>
            </w:r>
          </w:p>
        </w:tc>
        <w:tc>
          <w:tcPr>
            <w:tcW w:w="800" w:type="dxa"/>
            <w:vAlign w:val="bottom"/>
          </w:tcPr>
          <w:p>
            <w:pPr>
              <w:ind w:left="600"/>
              <w:spacing w:after="0"/>
              <w:rPr>
                <w:sz w:val="20"/>
                <w:szCs w:val="20"/>
                <w:color w:val="auto"/>
              </w:rPr>
            </w:pPr>
            <w:r>
              <w:rPr>
                <w:rFonts w:ascii="Arial" w:cs="Arial" w:eastAsia="Arial" w:hAnsi="Arial"/>
                <w:sz w:val="20"/>
                <w:szCs w:val="20"/>
                <w:color w:val="auto"/>
              </w:rPr>
              <w:t>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1.2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Interpretation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20</w:t>
            </w:r>
          </w:p>
        </w:tc>
      </w:tr>
      <w:tr>
        <w:trPr>
          <w:trHeight w:val="243"/>
        </w:trPr>
        <w:tc>
          <w:tcPr>
            <w:tcW w:w="9040" w:type="dxa"/>
            <w:vAlign w:val="bottom"/>
            <w:gridSpan w:val="4"/>
          </w:tcPr>
          <w:p>
            <w:pPr>
              <w:spacing w:after="0"/>
              <w:rPr>
                <w:sz w:val="20"/>
                <w:szCs w:val="20"/>
                <w:color w:val="auto"/>
              </w:rPr>
            </w:pPr>
            <w:r>
              <w:rPr>
                <w:rFonts w:ascii="Arial" w:cs="Arial" w:eastAsia="Arial" w:hAnsi="Arial"/>
                <w:sz w:val="20"/>
                <w:szCs w:val="20"/>
                <w:color w:val="auto"/>
              </w:rPr>
              <w:t>ARTICLE 2 THE MERGERS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The Mergers.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Closing</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Closing Deliveries.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Effect on Holdco2 Common Stock.</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Payment Procedures.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Post-Closing Adjustment</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25</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Milestone Payments.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Withholding Rights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29</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Dispute Resolution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30</w:t>
            </w:r>
          </w:p>
        </w:tc>
      </w:tr>
      <w:tr>
        <w:trPr>
          <w:trHeight w:val="243"/>
        </w:trPr>
        <w:tc>
          <w:tcPr>
            <w:tcW w:w="9040" w:type="dxa"/>
            <w:vAlign w:val="bottom"/>
            <w:gridSpan w:val="4"/>
          </w:tcPr>
          <w:p>
            <w:pPr>
              <w:spacing w:after="0"/>
              <w:rPr>
                <w:sz w:val="20"/>
                <w:szCs w:val="20"/>
                <w:color w:val="auto"/>
              </w:rPr>
            </w:pPr>
            <w:r>
              <w:rPr>
                <w:rFonts w:ascii="Arial" w:cs="Arial" w:eastAsia="Arial" w:hAnsi="Arial"/>
                <w:sz w:val="20"/>
                <w:szCs w:val="20"/>
                <w:color w:val="auto"/>
              </w:rPr>
              <w:t>ARTICLE 3 REPRESENTATIONS AND WARRANTIES OF THE COMPANY PARTIES AND SELLER</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Organization of Seller and the Company Group</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Subsidiaries.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Authorization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Capitalization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Title to and Sufficiency of Real and Tangible Properties and Assets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Environmental Laws and Regulations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Absence of Certain Activities or Changes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Company Contracts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Noncontravention; Restrictions on Business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3.10</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Financial Statements and Operating Budget</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37</w:t>
            </w:r>
          </w:p>
        </w:tc>
      </w:tr>
      <w:tr>
        <w:trPr>
          <w:trHeight w:val="243"/>
        </w:trPr>
        <w:tc>
          <w:tcPr>
            <w:tcW w:w="2280" w:type="dxa"/>
            <w:vAlign w:val="bottom"/>
          </w:tcPr>
          <w:p>
            <w:pPr>
              <w:jc w:val="center"/>
              <w:ind w:right="201"/>
              <w:spacing w:after="0"/>
              <w:rPr>
                <w:sz w:val="20"/>
                <w:szCs w:val="20"/>
                <w:color w:val="auto"/>
              </w:rPr>
            </w:pPr>
            <w:r>
              <w:rPr>
                <w:rFonts w:ascii="Arial" w:cs="Arial" w:eastAsia="Arial" w:hAnsi="Arial"/>
                <w:sz w:val="20"/>
                <w:szCs w:val="20"/>
                <w:color w:val="auto"/>
                <w:w w:val="87"/>
              </w:rPr>
              <w:t>3.11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Liabilities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38</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Taxes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38</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Compliance with Law.</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Permits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Regulatory Matters.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Litigation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Employment Matters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Employee Benefit Plans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46</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Intellectual Property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3.20</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Privacy, Data and Data Security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Transactions with Certain Persons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Insurance</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 Brokers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Books and Records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Bank Accounts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Customers, Suppliers and Third Party Payors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Inventory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55</w:t>
            </w:r>
          </w:p>
        </w:tc>
      </w:tr>
      <w:tr>
        <w:trPr>
          <w:trHeight w:val="250"/>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 Additional Representations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55</w:t>
            </w:r>
          </w:p>
        </w:tc>
      </w:tr>
    </w:tbl>
    <w:p>
      <w:pPr>
        <w:spacing w:after="0" w:line="200" w:lineRule="exact"/>
        <w:rPr>
          <w:sz w:val="20"/>
          <w:szCs w:val="20"/>
          <w:color w:val="auto"/>
        </w:rPr>
      </w:pP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840"/>
          </w:cols>
          <w:pgMar w:left="1000" w:top="1440" w:right="1059" w:bottom="1440" w:gutter="0" w:footer="0" w:header="0"/>
          <w:type w:val="continuous"/>
        </w:sectPr>
      </w:pPr>
    </w:p>
    <w:bookmarkStart w:id="331" w:name="page332"/>
    <w:bookmarkEnd w:id="331"/>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4 REPRESENTATIONS AND WARRANTIES OF THE ACQUIRER PARTIES</w:t>
            </w:r>
          </w:p>
        </w:tc>
        <w:tc>
          <w:tcPr>
            <w:tcW w:w="10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4.1</w:t>
            </w:r>
          </w:p>
        </w:tc>
        <w:tc>
          <w:tcPr>
            <w:tcW w:w="7080" w:type="dxa"/>
            <w:vAlign w:val="bottom"/>
          </w:tcPr>
          <w:p>
            <w:pPr>
              <w:ind w:left="580"/>
              <w:spacing w:after="0"/>
              <w:rPr>
                <w:sz w:val="20"/>
                <w:szCs w:val="20"/>
                <w:color w:val="auto"/>
              </w:rPr>
            </w:pPr>
            <w:r>
              <w:rPr>
                <w:rFonts w:ascii="Arial" w:cs="Arial" w:eastAsia="Arial" w:hAnsi="Arial"/>
                <w:sz w:val="20"/>
                <w:szCs w:val="20"/>
                <w:color w:val="auto"/>
              </w:rPr>
              <w:t>Organization of Acquirer Parties</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4.2</w:t>
            </w:r>
          </w:p>
        </w:tc>
        <w:tc>
          <w:tcPr>
            <w:tcW w:w="7080" w:type="dxa"/>
            <w:vAlign w:val="bottom"/>
          </w:tcPr>
          <w:p>
            <w:pPr>
              <w:ind w:left="580"/>
              <w:spacing w:after="0"/>
              <w:rPr>
                <w:sz w:val="20"/>
                <w:szCs w:val="20"/>
                <w:color w:val="auto"/>
              </w:rPr>
            </w:pPr>
            <w:r>
              <w:rPr>
                <w:rFonts w:ascii="Arial" w:cs="Arial" w:eastAsia="Arial" w:hAnsi="Arial"/>
                <w:sz w:val="20"/>
                <w:szCs w:val="20"/>
                <w:color w:val="auto"/>
              </w:rPr>
              <w:t>Authorization</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4.3</w:t>
            </w:r>
          </w:p>
        </w:tc>
        <w:tc>
          <w:tcPr>
            <w:tcW w:w="7080" w:type="dxa"/>
            <w:vAlign w:val="bottom"/>
          </w:tcPr>
          <w:p>
            <w:pPr>
              <w:ind w:left="580"/>
              <w:spacing w:after="0"/>
              <w:rPr>
                <w:sz w:val="20"/>
                <w:szCs w:val="20"/>
                <w:color w:val="auto"/>
              </w:rPr>
            </w:pPr>
            <w:r>
              <w:rPr>
                <w:rFonts w:ascii="Arial" w:cs="Arial" w:eastAsia="Arial" w:hAnsi="Arial"/>
                <w:sz w:val="20"/>
                <w:szCs w:val="20"/>
                <w:color w:val="auto"/>
              </w:rPr>
              <w:t>Capitalization</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4.4</w:t>
            </w:r>
          </w:p>
        </w:tc>
        <w:tc>
          <w:tcPr>
            <w:tcW w:w="7080" w:type="dxa"/>
            <w:vAlign w:val="bottom"/>
          </w:tcPr>
          <w:p>
            <w:pPr>
              <w:ind w:left="580"/>
              <w:spacing w:after="0"/>
              <w:rPr>
                <w:sz w:val="20"/>
                <w:szCs w:val="20"/>
                <w:color w:val="auto"/>
              </w:rPr>
            </w:pPr>
            <w:r>
              <w:rPr>
                <w:rFonts w:ascii="Arial" w:cs="Arial" w:eastAsia="Arial" w:hAnsi="Arial"/>
                <w:sz w:val="20"/>
                <w:szCs w:val="20"/>
                <w:color w:val="auto"/>
              </w:rPr>
              <w:t>Noncontravention.</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4.5</w:t>
            </w:r>
          </w:p>
        </w:tc>
        <w:tc>
          <w:tcPr>
            <w:tcW w:w="7080" w:type="dxa"/>
            <w:vAlign w:val="bottom"/>
          </w:tcPr>
          <w:p>
            <w:pPr>
              <w:ind w:left="580"/>
              <w:spacing w:after="0"/>
              <w:rPr>
                <w:sz w:val="20"/>
                <w:szCs w:val="20"/>
                <w:color w:val="auto"/>
              </w:rPr>
            </w:pPr>
            <w:r>
              <w:rPr>
                <w:rFonts w:ascii="Arial" w:cs="Arial" w:eastAsia="Arial" w:hAnsi="Arial"/>
                <w:sz w:val="20"/>
                <w:szCs w:val="20"/>
                <w:color w:val="auto"/>
              </w:rPr>
              <w:t>Compliance with Laws</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4.6</w:t>
            </w:r>
          </w:p>
        </w:tc>
        <w:tc>
          <w:tcPr>
            <w:tcW w:w="7080" w:type="dxa"/>
            <w:vAlign w:val="bottom"/>
          </w:tcPr>
          <w:p>
            <w:pPr>
              <w:ind w:left="580"/>
              <w:spacing w:after="0"/>
              <w:rPr>
                <w:sz w:val="20"/>
                <w:szCs w:val="20"/>
                <w:color w:val="auto"/>
              </w:rPr>
            </w:pPr>
            <w:r>
              <w:rPr>
                <w:rFonts w:ascii="Arial" w:cs="Arial" w:eastAsia="Arial" w:hAnsi="Arial"/>
                <w:sz w:val="20"/>
                <w:szCs w:val="20"/>
                <w:color w:val="auto"/>
              </w:rPr>
              <w:t>Securities Law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4.7</w:t>
            </w:r>
          </w:p>
        </w:tc>
        <w:tc>
          <w:tcPr>
            <w:tcW w:w="7080" w:type="dxa"/>
            <w:vAlign w:val="bottom"/>
          </w:tcPr>
          <w:p>
            <w:pPr>
              <w:ind w:left="580"/>
              <w:spacing w:after="0"/>
              <w:rPr>
                <w:sz w:val="20"/>
                <w:szCs w:val="20"/>
                <w:color w:val="auto"/>
              </w:rPr>
            </w:pPr>
            <w:r>
              <w:rPr>
                <w:rFonts w:ascii="Arial" w:cs="Arial" w:eastAsia="Arial" w:hAnsi="Arial"/>
                <w:sz w:val="20"/>
                <w:szCs w:val="20"/>
                <w:color w:val="auto"/>
              </w:rPr>
              <w:t>No Proceedings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4.8</w:t>
            </w:r>
          </w:p>
        </w:tc>
        <w:tc>
          <w:tcPr>
            <w:tcW w:w="7080" w:type="dxa"/>
            <w:vAlign w:val="bottom"/>
          </w:tcPr>
          <w:p>
            <w:pPr>
              <w:ind w:left="580"/>
              <w:spacing w:after="0"/>
              <w:rPr>
                <w:sz w:val="20"/>
                <w:szCs w:val="20"/>
                <w:color w:val="auto"/>
              </w:rPr>
            </w:pPr>
            <w:r>
              <w:rPr>
                <w:rFonts w:ascii="Arial" w:cs="Arial" w:eastAsia="Arial" w:hAnsi="Arial"/>
                <w:sz w:val="20"/>
                <w:szCs w:val="20"/>
                <w:color w:val="auto"/>
              </w:rPr>
              <w:t>No Brokers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4.9</w:t>
            </w:r>
          </w:p>
        </w:tc>
        <w:tc>
          <w:tcPr>
            <w:tcW w:w="7080" w:type="dxa"/>
            <w:vAlign w:val="bottom"/>
          </w:tcPr>
          <w:p>
            <w:pPr>
              <w:ind w:left="580"/>
              <w:spacing w:after="0"/>
              <w:rPr>
                <w:sz w:val="20"/>
                <w:szCs w:val="20"/>
                <w:color w:val="auto"/>
              </w:rPr>
            </w:pPr>
            <w:r>
              <w:rPr>
                <w:rFonts w:ascii="Arial" w:cs="Arial" w:eastAsia="Arial" w:hAnsi="Arial"/>
                <w:sz w:val="20"/>
                <w:szCs w:val="20"/>
                <w:color w:val="auto"/>
              </w:rPr>
              <w:t>No Insolvency Proceedings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4.10</w:t>
            </w:r>
          </w:p>
        </w:tc>
        <w:tc>
          <w:tcPr>
            <w:tcW w:w="7080" w:type="dxa"/>
            <w:vAlign w:val="bottom"/>
          </w:tcPr>
          <w:p>
            <w:pPr>
              <w:ind w:left="580"/>
              <w:spacing w:after="0"/>
              <w:rPr>
                <w:sz w:val="20"/>
                <w:szCs w:val="20"/>
                <w:color w:val="auto"/>
              </w:rPr>
            </w:pPr>
            <w:r>
              <w:rPr>
                <w:rFonts w:ascii="Arial" w:cs="Arial" w:eastAsia="Arial" w:hAnsi="Arial"/>
                <w:sz w:val="20"/>
                <w:szCs w:val="20"/>
                <w:color w:val="auto"/>
              </w:rPr>
              <w:t>Not an Investment Company</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4.11</w:t>
            </w:r>
          </w:p>
        </w:tc>
        <w:tc>
          <w:tcPr>
            <w:tcW w:w="7080" w:type="dxa"/>
            <w:vAlign w:val="bottom"/>
          </w:tcPr>
          <w:p>
            <w:pPr>
              <w:ind w:left="580"/>
              <w:spacing w:after="0"/>
              <w:rPr>
                <w:sz w:val="20"/>
                <w:szCs w:val="20"/>
                <w:color w:val="auto"/>
              </w:rPr>
            </w:pPr>
            <w:r>
              <w:rPr>
                <w:rFonts w:ascii="Arial" w:cs="Arial" w:eastAsia="Arial" w:hAnsi="Arial"/>
                <w:sz w:val="20"/>
                <w:szCs w:val="20"/>
                <w:color w:val="auto"/>
              </w:rPr>
              <w:t>Anti-Corruption Laws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4.12</w:t>
            </w:r>
          </w:p>
        </w:tc>
        <w:tc>
          <w:tcPr>
            <w:tcW w:w="7080" w:type="dxa"/>
            <w:vAlign w:val="bottom"/>
          </w:tcPr>
          <w:p>
            <w:pPr>
              <w:ind w:left="580"/>
              <w:spacing w:after="0"/>
              <w:rPr>
                <w:sz w:val="20"/>
                <w:szCs w:val="20"/>
                <w:color w:val="auto"/>
              </w:rPr>
            </w:pPr>
            <w:r>
              <w:rPr>
                <w:rFonts w:ascii="Arial" w:cs="Arial" w:eastAsia="Arial" w:hAnsi="Arial"/>
                <w:sz w:val="20"/>
                <w:szCs w:val="20"/>
                <w:color w:val="auto"/>
              </w:rPr>
              <w:t>Taxes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4.13</w:t>
            </w:r>
          </w:p>
        </w:tc>
        <w:tc>
          <w:tcPr>
            <w:tcW w:w="7080" w:type="dxa"/>
            <w:vAlign w:val="bottom"/>
          </w:tcPr>
          <w:p>
            <w:pPr>
              <w:ind w:left="580"/>
              <w:spacing w:after="0"/>
              <w:rPr>
                <w:sz w:val="20"/>
                <w:szCs w:val="20"/>
                <w:color w:val="auto"/>
              </w:rPr>
            </w:pPr>
            <w:r>
              <w:rPr>
                <w:rFonts w:ascii="Arial" w:cs="Arial" w:eastAsia="Arial" w:hAnsi="Arial"/>
                <w:sz w:val="20"/>
                <w:szCs w:val="20"/>
                <w:color w:val="auto"/>
              </w:rPr>
              <w:t>Environmental Laws and Regulations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4.14</w:t>
            </w:r>
          </w:p>
        </w:tc>
        <w:tc>
          <w:tcPr>
            <w:tcW w:w="7080" w:type="dxa"/>
            <w:vAlign w:val="bottom"/>
          </w:tcPr>
          <w:p>
            <w:pPr>
              <w:ind w:left="580"/>
              <w:spacing w:after="0"/>
              <w:rPr>
                <w:sz w:val="20"/>
                <w:szCs w:val="20"/>
                <w:color w:val="auto"/>
              </w:rPr>
            </w:pPr>
            <w:r>
              <w:rPr>
                <w:rFonts w:ascii="Arial" w:cs="Arial" w:eastAsia="Arial" w:hAnsi="Arial"/>
                <w:sz w:val="20"/>
                <w:szCs w:val="20"/>
                <w:color w:val="auto"/>
              </w:rPr>
              <w:t>Litigation</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4.15</w:t>
            </w:r>
          </w:p>
        </w:tc>
        <w:tc>
          <w:tcPr>
            <w:tcW w:w="7080" w:type="dxa"/>
            <w:vAlign w:val="bottom"/>
          </w:tcPr>
          <w:p>
            <w:pPr>
              <w:ind w:left="580"/>
              <w:spacing w:after="0"/>
              <w:rPr>
                <w:sz w:val="20"/>
                <w:szCs w:val="20"/>
                <w:color w:val="auto"/>
              </w:rPr>
            </w:pPr>
            <w:r>
              <w:rPr>
                <w:rFonts w:ascii="Arial" w:cs="Arial" w:eastAsia="Arial" w:hAnsi="Arial"/>
                <w:sz w:val="20"/>
                <w:szCs w:val="20"/>
                <w:color w:val="auto"/>
              </w:rPr>
              <w:t>Merger Sub Activities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4.16</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Representations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5 COVENANTS AND OTHER AGREEMENTS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5.1</w:t>
            </w:r>
          </w:p>
        </w:tc>
        <w:tc>
          <w:tcPr>
            <w:tcW w:w="7080" w:type="dxa"/>
            <w:vAlign w:val="bottom"/>
          </w:tcPr>
          <w:p>
            <w:pPr>
              <w:ind w:left="580"/>
              <w:spacing w:after="0"/>
              <w:rPr>
                <w:sz w:val="20"/>
                <w:szCs w:val="20"/>
                <w:color w:val="auto"/>
              </w:rPr>
            </w:pPr>
            <w:r>
              <w:rPr>
                <w:rFonts w:ascii="Arial" w:cs="Arial" w:eastAsia="Arial" w:hAnsi="Arial"/>
                <w:sz w:val="20"/>
                <w:szCs w:val="20"/>
                <w:color w:val="auto"/>
              </w:rPr>
              <w:t>Conduct of Business of the Company Group</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5.2</w:t>
            </w:r>
          </w:p>
        </w:tc>
        <w:tc>
          <w:tcPr>
            <w:tcW w:w="7080" w:type="dxa"/>
            <w:vAlign w:val="bottom"/>
          </w:tcPr>
          <w:p>
            <w:pPr>
              <w:ind w:left="580"/>
              <w:spacing w:after="0"/>
              <w:rPr>
                <w:sz w:val="20"/>
                <w:szCs w:val="20"/>
                <w:color w:val="auto"/>
              </w:rPr>
            </w:pPr>
            <w:r>
              <w:rPr>
                <w:rFonts w:ascii="Arial" w:cs="Arial" w:eastAsia="Arial" w:hAnsi="Arial"/>
                <w:sz w:val="20"/>
                <w:szCs w:val="20"/>
                <w:color w:val="auto"/>
              </w:rPr>
              <w:t>Acquisition Proposals</w:t>
            </w:r>
          </w:p>
        </w:tc>
        <w:tc>
          <w:tcPr>
            <w:tcW w:w="10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5.3</w:t>
            </w:r>
          </w:p>
        </w:tc>
        <w:tc>
          <w:tcPr>
            <w:tcW w:w="7080" w:type="dxa"/>
            <w:vAlign w:val="bottom"/>
          </w:tcPr>
          <w:p>
            <w:pPr>
              <w:ind w:left="580"/>
              <w:spacing w:after="0"/>
              <w:rPr>
                <w:sz w:val="20"/>
                <w:szCs w:val="20"/>
                <w:color w:val="auto"/>
              </w:rPr>
            </w:pPr>
            <w:r>
              <w:rPr>
                <w:rFonts w:ascii="Arial" w:cs="Arial" w:eastAsia="Arial" w:hAnsi="Arial"/>
                <w:sz w:val="20"/>
                <w:szCs w:val="20"/>
                <w:color w:val="auto"/>
              </w:rPr>
              <w:t>Proxy Statement and Other SEC Filings; Acquirer Stockholder Meeting</w:t>
            </w:r>
          </w:p>
        </w:tc>
        <w:tc>
          <w:tcPr>
            <w:tcW w:w="10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5.4</w:t>
            </w:r>
          </w:p>
        </w:tc>
        <w:tc>
          <w:tcPr>
            <w:tcW w:w="7080" w:type="dxa"/>
            <w:vAlign w:val="bottom"/>
          </w:tcPr>
          <w:p>
            <w:pPr>
              <w:ind w:left="580"/>
              <w:spacing w:after="0"/>
              <w:rPr>
                <w:sz w:val="20"/>
                <w:szCs w:val="20"/>
                <w:color w:val="auto"/>
              </w:rPr>
            </w:pPr>
            <w:r>
              <w:rPr>
                <w:rFonts w:ascii="Arial" w:cs="Arial" w:eastAsia="Arial" w:hAnsi="Arial"/>
                <w:sz w:val="20"/>
                <w:szCs w:val="20"/>
                <w:color w:val="auto"/>
              </w:rPr>
              <w:t>Confidentiality; Public Disclosure</w:t>
            </w:r>
          </w:p>
        </w:tc>
        <w:tc>
          <w:tcPr>
            <w:tcW w:w="10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5.5</w:t>
            </w:r>
          </w:p>
        </w:tc>
        <w:tc>
          <w:tcPr>
            <w:tcW w:w="7080" w:type="dxa"/>
            <w:vAlign w:val="bottom"/>
          </w:tcPr>
          <w:p>
            <w:pPr>
              <w:ind w:left="580"/>
              <w:spacing w:after="0"/>
              <w:rPr>
                <w:sz w:val="20"/>
                <w:szCs w:val="20"/>
                <w:color w:val="auto"/>
              </w:rPr>
            </w:pPr>
            <w:r>
              <w:rPr>
                <w:rFonts w:ascii="Arial" w:cs="Arial" w:eastAsia="Arial" w:hAnsi="Arial"/>
                <w:sz w:val="20"/>
                <w:szCs w:val="20"/>
                <w:color w:val="auto"/>
              </w:rPr>
              <w:t>Access; Copy of VDR</w:t>
            </w:r>
          </w:p>
        </w:tc>
        <w:tc>
          <w:tcPr>
            <w:tcW w:w="10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5.6</w:t>
            </w:r>
          </w:p>
        </w:tc>
        <w:tc>
          <w:tcPr>
            <w:tcW w:w="7080" w:type="dxa"/>
            <w:vAlign w:val="bottom"/>
          </w:tcPr>
          <w:p>
            <w:pPr>
              <w:ind w:left="580"/>
              <w:spacing w:after="0"/>
              <w:rPr>
                <w:sz w:val="20"/>
                <w:szCs w:val="20"/>
                <w:color w:val="auto"/>
              </w:rPr>
            </w:pPr>
            <w:r>
              <w:rPr>
                <w:rFonts w:ascii="Arial" w:cs="Arial" w:eastAsia="Arial" w:hAnsi="Arial"/>
                <w:sz w:val="20"/>
                <w:szCs w:val="20"/>
                <w:color w:val="auto"/>
              </w:rPr>
              <w:t>Regulatory Approval; Reasonable Best Efforts.</w:t>
            </w:r>
          </w:p>
        </w:tc>
        <w:tc>
          <w:tcPr>
            <w:tcW w:w="10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5.7</w:t>
            </w:r>
          </w:p>
        </w:tc>
        <w:tc>
          <w:tcPr>
            <w:tcW w:w="7080" w:type="dxa"/>
            <w:vAlign w:val="bottom"/>
          </w:tcPr>
          <w:p>
            <w:pPr>
              <w:ind w:left="580"/>
              <w:spacing w:after="0"/>
              <w:rPr>
                <w:sz w:val="20"/>
                <w:szCs w:val="20"/>
                <w:color w:val="auto"/>
              </w:rPr>
            </w:pPr>
            <w:r>
              <w:rPr>
                <w:rFonts w:ascii="Arial" w:cs="Arial" w:eastAsia="Arial" w:hAnsi="Arial"/>
                <w:sz w:val="20"/>
                <w:szCs w:val="20"/>
                <w:color w:val="auto"/>
              </w:rPr>
              <w:t>Third-Party Consents; Notices; Seller Contracts</w:t>
            </w:r>
          </w:p>
        </w:tc>
        <w:tc>
          <w:tcPr>
            <w:tcW w:w="10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5.8</w:t>
            </w:r>
          </w:p>
        </w:tc>
        <w:tc>
          <w:tcPr>
            <w:tcW w:w="7080" w:type="dxa"/>
            <w:vAlign w:val="bottom"/>
          </w:tcPr>
          <w:p>
            <w:pPr>
              <w:ind w:left="580"/>
              <w:spacing w:after="0"/>
              <w:rPr>
                <w:sz w:val="20"/>
                <w:szCs w:val="20"/>
                <w:color w:val="auto"/>
              </w:rPr>
            </w:pPr>
            <w:r>
              <w:rPr>
                <w:rFonts w:ascii="Arial" w:cs="Arial" w:eastAsia="Arial" w:hAnsi="Arial"/>
                <w:sz w:val="20"/>
                <w:szCs w:val="20"/>
                <w:color w:val="auto"/>
              </w:rPr>
              <w:t>Notice of Developments.</w:t>
            </w:r>
          </w:p>
        </w:tc>
        <w:tc>
          <w:tcPr>
            <w:tcW w:w="10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5.9</w:t>
            </w:r>
          </w:p>
        </w:tc>
        <w:tc>
          <w:tcPr>
            <w:tcW w:w="7080" w:type="dxa"/>
            <w:vAlign w:val="bottom"/>
          </w:tcPr>
          <w:p>
            <w:pPr>
              <w:ind w:left="580"/>
              <w:spacing w:after="0"/>
              <w:rPr>
                <w:sz w:val="20"/>
                <w:szCs w:val="20"/>
                <w:color w:val="auto"/>
              </w:rPr>
            </w:pPr>
            <w:r>
              <w:rPr>
                <w:rFonts w:ascii="Arial" w:cs="Arial" w:eastAsia="Arial" w:hAnsi="Arial"/>
                <w:sz w:val="20"/>
                <w:szCs w:val="20"/>
                <w:color w:val="auto"/>
              </w:rPr>
              <w:t>Regulatory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5.10</w:t>
            </w:r>
          </w:p>
        </w:tc>
        <w:tc>
          <w:tcPr>
            <w:tcW w:w="7080" w:type="dxa"/>
            <w:vAlign w:val="bottom"/>
          </w:tcPr>
          <w:p>
            <w:pPr>
              <w:ind w:left="580"/>
              <w:spacing w:after="0"/>
              <w:rPr>
                <w:sz w:val="20"/>
                <w:szCs w:val="20"/>
                <w:color w:val="auto"/>
              </w:rPr>
            </w:pPr>
            <w:r>
              <w:rPr>
                <w:rFonts w:ascii="Arial" w:cs="Arial" w:eastAsia="Arial" w:hAnsi="Arial"/>
                <w:sz w:val="20"/>
                <w:szCs w:val="20"/>
                <w:color w:val="auto"/>
              </w:rPr>
              <w:t>Delivery of Financial Statements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5.11</w:t>
            </w:r>
          </w:p>
        </w:tc>
        <w:tc>
          <w:tcPr>
            <w:tcW w:w="7080" w:type="dxa"/>
            <w:vAlign w:val="bottom"/>
          </w:tcPr>
          <w:p>
            <w:pPr>
              <w:ind w:left="580"/>
              <w:spacing w:after="0"/>
              <w:rPr>
                <w:sz w:val="20"/>
                <w:szCs w:val="20"/>
                <w:color w:val="auto"/>
              </w:rPr>
            </w:pPr>
            <w:r>
              <w:rPr>
                <w:rFonts w:ascii="Arial" w:cs="Arial" w:eastAsia="Arial" w:hAnsi="Arial"/>
                <w:sz w:val="20"/>
                <w:szCs w:val="20"/>
                <w:color w:val="auto"/>
              </w:rPr>
              <w:t>Tax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5.12</w:t>
            </w:r>
          </w:p>
        </w:tc>
        <w:tc>
          <w:tcPr>
            <w:tcW w:w="7080" w:type="dxa"/>
            <w:vAlign w:val="bottom"/>
          </w:tcPr>
          <w:p>
            <w:pPr>
              <w:ind w:left="580"/>
              <w:spacing w:after="0"/>
              <w:rPr>
                <w:sz w:val="20"/>
                <w:szCs w:val="20"/>
                <w:color w:val="auto"/>
              </w:rPr>
            </w:pPr>
            <w:r>
              <w:rPr>
                <w:rFonts w:ascii="Arial" w:cs="Arial" w:eastAsia="Arial" w:hAnsi="Arial"/>
                <w:sz w:val="20"/>
                <w:szCs w:val="20"/>
                <w:color w:val="auto"/>
              </w:rPr>
              <w:t>Insurance; Indemnification of Directors and Officers.</w:t>
            </w:r>
          </w:p>
        </w:tc>
        <w:tc>
          <w:tcPr>
            <w:tcW w:w="10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5.13</w:t>
            </w:r>
          </w:p>
        </w:tc>
        <w:tc>
          <w:tcPr>
            <w:tcW w:w="7080" w:type="dxa"/>
            <w:vAlign w:val="bottom"/>
          </w:tcPr>
          <w:p>
            <w:pPr>
              <w:ind w:left="580"/>
              <w:spacing w:after="0"/>
              <w:rPr>
                <w:sz w:val="20"/>
                <w:szCs w:val="20"/>
                <w:color w:val="auto"/>
              </w:rPr>
            </w:pPr>
            <w:r>
              <w:rPr>
                <w:rFonts w:ascii="Arial" w:cs="Arial" w:eastAsia="Arial" w:hAnsi="Arial"/>
                <w:sz w:val="20"/>
                <w:szCs w:val="20"/>
                <w:color w:val="auto"/>
              </w:rPr>
              <w:t>Employee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5.14</w:t>
            </w:r>
          </w:p>
        </w:tc>
        <w:tc>
          <w:tcPr>
            <w:tcW w:w="7080" w:type="dxa"/>
            <w:vAlign w:val="bottom"/>
          </w:tcPr>
          <w:p>
            <w:pPr>
              <w:ind w:left="580"/>
              <w:spacing w:after="0"/>
              <w:rPr>
                <w:sz w:val="20"/>
                <w:szCs w:val="20"/>
                <w:color w:val="auto"/>
              </w:rPr>
            </w:pPr>
            <w:r>
              <w:rPr>
                <w:rFonts w:ascii="Arial" w:cs="Arial" w:eastAsia="Arial" w:hAnsi="Arial"/>
                <w:sz w:val="20"/>
                <w:szCs w:val="20"/>
                <w:color w:val="auto"/>
              </w:rPr>
              <w:t>Transition Services Agreement and Accounts Receivable</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5.15</w:t>
            </w:r>
          </w:p>
        </w:tc>
        <w:tc>
          <w:tcPr>
            <w:tcW w:w="7080" w:type="dxa"/>
            <w:vAlign w:val="bottom"/>
          </w:tcPr>
          <w:p>
            <w:pPr>
              <w:ind w:left="580"/>
              <w:spacing w:after="0"/>
              <w:rPr>
                <w:sz w:val="20"/>
                <w:szCs w:val="20"/>
                <w:color w:val="auto"/>
              </w:rPr>
            </w:pPr>
            <w:r>
              <w:rPr>
                <w:rFonts w:ascii="Arial" w:cs="Arial" w:eastAsia="Arial" w:hAnsi="Arial"/>
                <w:sz w:val="20"/>
                <w:szCs w:val="20"/>
                <w:color w:val="auto"/>
              </w:rPr>
              <w:t>Prohibited Activities</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5.16</w:t>
            </w:r>
          </w:p>
        </w:tc>
        <w:tc>
          <w:tcPr>
            <w:tcW w:w="7080" w:type="dxa"/>
            <w:vAlign w:val="bottom"/>
          </w:tcPr>
          <w:p>
            <w:pPr>
              <w:ind w:left="580"/>
              <w:spacing w:after="0"/>
              <w:rPr>
                <w:sz w:val="20"/>
                <w:szCs w:val="20"/>
                <w:color w:val="auto"/>
              </w:rPr>
            </w:pPr>
            <w:r>
              <w:rPr>
                <w:rFonts w:ascii="Arial" w:cs="Arial" w:eastAsia="Arial" w:hAnsi="Arial"/>
                <w:sz w:val="20"/>
                <w:szCs w:val="20"/>
                <w:color w:val="auto"/>
              </w:rPr>
              <w:t>Subsidiary Compliance</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5.17</w:t>
            </w:r>
          </w:p>
        </w:tc>
        <w:tc>
          <w:tcPr>
            <w:tcW w:w="7080" w:type="dxa"/>
            <w:vAlign w:val="bottom"/>
          </w:tcPr>
          <w:p>
            <w:pPr>
              <w:ind w:left="580"/>
              <w:spacing w:after="0"/>
              <w:rPr>
                <w:sz w:val="20"/>
                <w:szCs w:val="20"/>
                <w:color w:val="auto"/>
              </w:rPr>
            </w:pPr>
            <w:r>
              <w:rPr>
                <w:rFonts w:ascii="Arial" w:cs="Arial" w:eastAsia="Arial" w:hAnsi="Arial"/>
                <w:sz w:val="20"/>
                <w:szCs w:val="20"/>
                <w:color w:val="auto"/>
              </w:rPr>
              <w:t>Pre-Closing Restructuring</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6 CONDITIONS TO THE MERGERS</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6.1</w:t>
            </w:r>
          </w:p>
        </w:tc>
        <w:tc>
          <w:tcPr>
            <w:tcW w:w="7080" w:type="dxa"/>
            <w:vAlign w:val="bottom"/>
          </w:tcPr>
          <w:p>
            <w:pPr>
              <w:ind w:left="580"/>
              <w:spacing w:after="0"/>
              <w:rPr>
                <w:sz w:val="20"/>
                <w:szCs w:val="20"/>
                <w:color w:val="auto"/>
              </w:rPr>
            </w:pPr>
            <w:r>
              <w:rPr>
                <w:rFonts w:ascii="Arial" w:cs="Arial" w:eastAsia="Arial" w:hAnsi="Arial"/>
                <w:sz w:val="20"/>
                <w:szCs w:val="20"/>
                <w:color w:val="auto"/>
              </w:rPr>
              <w:t>Conditions to Obligations of Each Party to Effect the Merger</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6.2</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Conditions to Obligations of Seller and the Company Group</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6.3</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Conditions to the Obligations of Acquirer</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7 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7.1</w:t>
            </w:r>
          </w:p>
        </w:tc>
        <w:tc>
          <w:tcPr>
            <w:tcW w:w="7080" w:type="dxa"/>
            <w:vAlign w:val="bottom"/>
          </w:tcPr>
          <w:p>
            <w:pPr>
              <w:ind w:left="580"/>
              <w:spacing w:after="0"/>
              <w:rPr>
                <w:sz w:val="20"/>
                <w:szCs w:val="20"/>
                <w:color w:val="auto"/>
              </w:rPr>
            </w:pPr>
            <w:r>
              <w:rPr>
                <w:rFonts w:ascii="Arial" w:cs="Arial" w:eastAsia="Arial" w:hAnsi="Arial"/>
                <w:sz w:val="20"/>
                <w:szCs w:val="20"/>
                <w:color w:val="auto"/>
              </w:rPr>
              <w:t>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7.2</w:t>
            </w:r>
          </w:p>
        </w:tc>
        <w:tc>
          <w:tcPr>
            <w:tcW w:w="7080" w:type="dxa"/>
            <w:vAlign w:val="bottom"/>
          </w:tcPr>
          <w:p>
            <w:pPr>
              <w:ind w:left="580"/>
              <w:spacing w:after="0"/>
              <w:rPr>
                <w:sz w:val="20"/>
                <w:szCs w:val="20"/>
                <w:color w:val="auto"/>
              </w:rPr>
            </w:pPr>
            <w:r>
              <w:rPr>
                <w:rFonts w:ascii="Arial" w:cs="Arial" w:eastAsia="Arial" w:hAnsi="Arial"/>
                <w:sz w:val="20"/>
                <w:szCs w:val="20"/>
                <w:color w:val="auto"/>
              </w:rPr>
              <w:t>Effect of 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8 INDEMNIFICATION</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8.1</w:t>
            </w:r>
          </w:p>
        </w:tc>
        <w:tc>
          <w:tcPr>
            <w:tcW w:w="7080" w:type="dxa"/>
            <w:vAlign w:val="bottom"/>
          </w:tcPr>
          <w:p>
            <w:pPr>
              <w:ind w:left="580"/>
              <w:spacing w:after="0"/>
              <w:rPr>
                <w:sz w:val="20"/>
                <w:szCs w:val="20"/>
                <w:color w:val="auto"/>
              </w:rPr>
            </w:pPr>
            <w:r>
              <w:rPr>
                <w:rFonts w:ascii="Arial" w:cs="Arial" w:eastAsia="Arial" w:hAnsi="Arial"/>
                <w:sz w:val="20"/>
                <w:szCs w:val="20"/>
                <w:color w:val="auto"/>
              </w:rPr>
              <w:t>Survival of Representations; Claims Period</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8.2</w:t>
            </w:r>
          </w:p>
        </w:tc>
        <w:tc>
          <w:tcPr>
            <w:tcW w:w="7080" w:type="dxa"/>
            <w:vAlign w:val="bottom"/>
          </w:tcPr>
          <w:p>
            <w:pPr>
              <w:ind w:left="580"/>
              <w:spacing w:after="0"/>
              <w:rPr>
                <w:sz w:val="20"/>
                <w:szCs w:val="20"/>
                <w:color w:val="auto"/>
              </w:rPr>
            </w:pPr>
            <w:r>
              <w:rPr>
                <w:rFonts w:ascii="Arial" w:cs="Arial" w:eastAsia="Arial" w:hAnsi="Arial"/>
                <w:sz w:val="20"/>
                <w:szCs w:val="20"/>
                <w:color w:val="auto"/>
              </w:rPr>
              <w:t>Indemnification.</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8.3</w:t>
            </w:r>
          </w:p>
        </w:tc>
        <w:tc>
          <w:tcPr>
            <w:tcW w:w="7080" w:type="dxa"/>
            <w:vAlign w:val="bottom"/>
          </w:tcPr>
          <w:p>
            <w:pPr>
              <w:ind w:left="580"/>
              <w:spacing w:after="0"/>
              <w:rPr>
                <w:sz w:val="20"/>
                <w:szCs w:val="20"/>
                <w:color w:val="auto"/>
              </w:rPr>
            </w:pPr>
            <w:r>
              <w:rPr>
                <w:rFonts w:ascii="Arial" w:cs="Arial" w:eastAsia="Arial" w:hAnsi="Arial"/>
                <w:sz w:val="20"/>
                <w:szCs w:val="20"/>
                <w:color w:val="auto"/>
              </w:rPr>
              <w:t>Notice of Claims.</w:t>
            </w: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50"/>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8.4</w:t>
            </w:r>
          </w:p>
        </w:tc>
        <w:tc>
          <w:tcPr>
            <w:tcW w:w="7080" w:type="dxa"/>
            <w:vAlign w:val="bottom"/>
          </w:tcPr>
          <w:p>
            <w:pPr>
              <w:ind w:left="580"/>
              <w:spacing w:after="0"/>
              <w:rPr>
                <w:sz w:val="20"/>
                <w:szCs w:val="20"/>
                <w:color w:val="auto"/>
              </w:rPr>
            </w:pPr>
            <w:r>
              <w:rPr>
                <w:rFonts w:ascii="Arial" w:cs="Arial" w:eastAsia="Arial" w:hAnsi="Arial"/>
                <w:sz w:val="20"/>
                <w:szCs w:val="20"/>
                <w:color w:val="auto"/>
              </w:rPr>
              <w:t>Third Party Claims</w:t>
            </w: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r>
    </w:tbl>
    <w:p>
      <w:pPr>
        <w:spacing w:after="0" w:line="200" w:lineRule="exact"/>
        <w:rPr>
          <w:sz w:val="20"/>
          <w:szCs w:val="20"/>
          <w:color w:val="auto"/>
        </w:rPr>
      </w:pPr>
    </w:p>
    <w:p>
      <w:pPr>
        <w:sectPr>
          <w:pgSz w:w="11900" w:h="16838" w:orient="portrait"/>
          <w:cols w:equalWidth="0" w:num="1">
            <w:col w:w="9840"/>
          </w:cols>
          <w:pgMar w:left="1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840"/>
          </w:cols>
          <w:pgMar w:left="1320" w:top="1440" w:right="739" w:bottom="1440" w:gutter="0" w:footer="0" w:header="0"/>
          <w:type w:val="continuous"/>
        </w:sectPr>
      </w:pPr>
    </w:p>
    <w:bookmarkStart w:id="332" w:name="page333"/>
    <w:bookmarkEnd w:id="332"/>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8.5</w:t>
            </w:r>
          </w:p>
        </w:tc>
        <w:tc>
          <w:tcPr>
            <w:tcW w:w="7140" w:type="dxa"/>
            <w:vAlign w:val="bottom"/>
          </w:tcPr>
          <w:p>
            <w:pPr>
              <w:ind w:left="580"/>
              <w:spacing w:after="0"/>
              <w:rPr>
                <w:sz w:val="20"/>
                <w:szCs w:val="20"/>
                <w:color w:val="auto"/>
              </w:rPr>
            </w:pPr>
            <w:r>
              <w:rPr>
                <w:rFonts w:ascii="Arial" w:cs="Arial" w:eastAsia="Arial" w:hAnsi="Arial"/>
                <w:sz w:val="20"/>
                <w:szCs w:val="20"/>
                <w:color w:val="auto"/>
              </w:rPr>
              <w:t>Limitations on Indemnity</w:t>
            </w:r>
          </w:p>
        </w:tc>
        <w:tc>
          <w:tcPr>
            <w:tcW w:w="9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8.6</w:t>
            </w:r>
          </w:p>
        </w:tc>
        <w:tc>
          <w:tcPr>
            <w:tcW w:w="7140" w:type="dxa"/>
            <w:vAlign w:val="bottom"/>
          </w:tcPr>
          <w:p>
            <w:pPr>
              <w:ind w:left="580"/>
              <w:spacing w:after="0"/>
              <w:rPr>
                <w:sz w:val="20"/>
                <w:szCs w:val="20"/>
                <w:color w:val="auto"/>
              </w:rPr>
            </w:pPr>
            <w:r>
              <w:rPr>
                <w:rFonts w:ascii="Arial" w:cs="Arial" w:eastAsia="Arial" w:hAnsi="Arial"/>
                <w:sz w:val="20"/>
                <w:szCs w:val="20"/>
                <w:color w:val="auto"/>
              </w:rPr>
              <w:t>Payment of Indemnification Claims; Release of Escrow Amount; Set-off.</w:t>
            </w:r>
          </w:p>
        </w:tc>
        <w:tc>
          <w:tcPr>
            <w:tcW w:w="9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8.7</w:t>
            </w:r>
          </w:p>
        </w:tc>
        <w:tc>
          <w:tcPr>
            <w:tcW w:w="7140" w:type="dxa"/>
            <w:vAlign w:val="bottom"/>
          </w:tcPr>
          <w:p>
            <w:pPr>
              <w:ind w:left="580"/>
              <w:spacing w:after="0"/>
              <w:rPr>
                <w:sz w:val="20"/>
                <w:szCs w:val="20"/>
                <w:color w:val="auto"/>
              </w:rPr>
            </w:pPr>
            <w:r>
              <w:rPr>
                <w:rFonts w:ascii="Arial" w:cs="Arial" w:eastAsia="Arial" w:hAnsi="Arial"/>
                <w:sz w:val="20"/>
                <w:szCs w:val="20"/>
                <w:color w:val="auto"/>
              </w:rPr>
              <w:t>Remedies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8880" w:type="dxa"/>
            <w:vAlign w:val="bottom"/>
            <w:gridSpan w:val="2"/>
          </w:tcPr>
          <w:p>
            <w:pPr>
              <w:spacing w:after="0"/>
              <w:rPr>
                <w:sz w:val="20"/>
                <w:szCs w:val="20"/>
                <w:color w:val="auto"/>
              </w:rPr>
            </w:pPr>
            <w:r>
              <w:rPr>
                <w:rFonts w:ascii="Arial" w:cs="Arial" w:eastAsia="Arial" w:hAnsi="Arial"/>
                <w:sz w:val="20"/>
                <w:szCs w:val="20"/>
                <w:color w:val="auto"/>
              </w:rPr>
              <w:t>ARTICLE 9 MISCELLANEOUS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9.1</w:t>
            </w:r>
          </w:p>
        </w:tc>
        <w:tc>
          <w:tcPr>
            <w:tcW w:w="7140" w:type="dxa"/>
            <w:vAlign w:val="bottom"/>
          </w:tcPr>
          <w:p>
            <w:pPr>
              <w:ind w:left="580"/>
              <w:spacing w:after="0"/>
              <w:rPr>
                <w:sz w:val="20"/>
                <w:szCs w:val="20"/>
                <w:color w:val="auto"/>
              </w:rPr>
            </w:pPr>
            <w:r>
              <w:rPr>
                <w:rFonts w:ascii="Arial" w:cs="Arial" w:eastAsia="Arial" w:hAnsi="Arial"/>
                <w:sz w:val="20"/>
                <w:szCs w:val="20"/>
                <w:color w:val="auto"/>
              </w:rPr>
              <w:t>Assignment; Binding Effect</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9.2</w:t>
            </w:r>
          </w:p>
        </w:tc>
        <w:tc>
          <w:tcPr>
            <w:tcW w:w="7140" w:type="dxa"/>
            <w:vAlign w:val="bottom"/>
          </w:tcPr>
          <w:p>
            <w:pPr>
              <w:ind w:left="580"/>
              <w:spacing w:after="0"/>
              <w:rPr>
                <w:sz w:val="20"/>
                <w:szCs w:val="20"/>
                <w:color w:val="auto"/>
              </w:rPr>
            </w:pPr>
            <w:r>
              <w:rPr>
                <w:rFonts w:ascii="Arial" w:cs="Arial" w:eastAsia="Arial" w:hAnsi="Arial"/>
                <w:sz w:val="20"/>
                <w:szCs w:val="20"/>
                <w:color w:val="auto"/>
              </w:rPr>
              <w:t>Notices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9.3</w:t>
            </w:r>
          </w:p>
        </w:tc>
        <w:tc>
          <w:tcPr>
            <w:tcW w:w="7140" w:type="dxa"/>
            <w:vAlign w:val="bottom"/>
          </w:tcPr>
          <w:p>
            <w:pPr>
              <w:ind w:left="580"/>
              <w:spacing w:after="0"/>
              <w:rPr>
                <w:sz w:val="20"/>
                <w:szCs w:val="20"/>
                <w:color w:val="auto"/>
              </w:rPr>
            </w:pPr>
            <w:r>
              <w:rPr>
                <w:rFonts w:ascii="Arial" w:cs="Arial" w:eastAsia="Arial" w:hAnsi="Arial"/>
                <w:sz w:val="20"/>
                <w:szCs w:val="20"/>
                <w:color w:val="auto"/>
              </w:rPr>
              <w:t>Governing Law</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9.4</w:t>
            </w:r>
          </w:p>
        </w:tc>
        <w:tc>
          <w:tcPr>
            <w:tcW w:w="7140" w:type="dxa"/>
            <w:vAlign w:val="bottom"/>
          </w:tcPr>
          <w:p>
            <w:pPr>
              <w:ind w:left="580"/>
              <w:spacing w:after="0"/>
              <w:rPr>
                <w:sz w:val="20"/>
                <w:szCs w:val="20"/>
                <w:color w:val="auto"/>
              </w:rPr>
            </w:pPr>
            <w:r>
              <w:rPr>
                <w:rFonts w:ascii="Arial" w:cs="Arial" w:eastAsia="Arial" w:hAnsi="Arial"/>
                <w:sz w:val="20"/>
                <w:szCs w:val="20"/>
                <w:color w:val="auto"/>
              </w:rPr>
              <w:t>Jurisdiction; Venue</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9.5</w:t>
            </w:r>
          </w:p>
        </w:tc>
        <w:tc>
          <w:tcPr>
            <w:tcW w:w="7140" w:type="dxa"/>
            <w:vAlign w:val="bottom"/>
          </w:tcPr>
          <w:p>
            <w:pPr>
              <w:ind w:left="580"/>
              <w:spacing w:after="0"/>
              <w:rPr>
                <w:sz w:val="20"/>
                <w:szCs w:val="20"/>
                <w:color w:val="auto"/>
              </w:rPr>
            </w:pPr>
            <w:r>
              <w:rPr>
                <w:rFonts w:ascii="Arial" w:cs="Arial" w:eastAsia="Arial" w:hAnsi="Arial"/>
                <w:sz w:val="20"/>
                <w:szCs w:val="20"/>
                <w:color w:val="auto"/>
              </w:rPr>
              <w:t>WAIVER OF JURY TRIAL</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9.6</w:t>
            </w:r>
          </w:p>
        </w:tc>
        <w:tc>
          <w:tcPr>
            <w:tcW w:w="7140" w:type="dxa"/>
            <w:vAlign w:val="bottom"/>
          </w:tcPr>
          <w:p>
            <w:pPr>
              <w:ind w:left="580"/>
              <w:spacing w:after="0"/>
              <w:rPr>
                <w:sz w:val="20"/>
                <w:szCs w:val="20"/>
                <w:color w:val="auto"/>
              </w:rPr>
            </w:pPr>
            <w:r>
              <w:rPr>
                <w:rFonts w:ascii="Arial" w:cs="Arial" w:eastAsia="Arial" w:hAnsi="Arial"/>
                <w:sz w:val="20"/>
                <w:szCs w:val="20"/>
                <w:color w:val="auto"/>
              </w:rPr>
              <w:t>Amendments and Waivers</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9.7</w:t>
            </w:r>
          </w:p>
        </w:tc>
        <w:tc>
          <w:tcPr>
            <w:tcW w:w="7140" w:type="dxa"/>
            <w:vAlign w:val="bottom"/>
          </w:tcPr>
          <w:p>
            <w:pPr>
              <w:ind w:left="580"/>
              <w:spacing w:after="0"/>
              <w:rPr>
                <w:sz w:val="20"/>
                <w:szCs w:val="20"/>
                <w:color w:val="auto"/>
              </w:rPr>
            </w:pPr>
            <w:r>
              <w:rPr>
                <w:rFonts w:ascii="Arial" w:cs="Arial" w:eastAsia="Arial" w:hAnsi="Arial"/>
                <w:sz w:val="20"/>
                <w:szCs w:val="20"/>
                <w:color w:val="auto"/>
              </w:rPr>
              <w:t>Counterparts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9.8</w:t>
            </w:r>
          </w:p>
        </w:tc>
        <w:tc>
          <w:tcPr>
            <w:tcW w:w="7140" w:type="dxa"/>
            <w:vAlign w:val="bottom"/>
          </w:tcPr>
          <w:p>
            <w:pPr>
              <w:ind w:left="580"/>
              <w:spacing w:after="0"/>
              <w:rPr>
                <w:sz w:val="20"/>
                <w:szCs w:val="20"/>
                <w:color w:val="auto"/>
              </w:rPr>
            </w:pPr>
            <w:r>
              <w:rPr>
                <w:rFonts w:ascii="Arial" w:cs="Arial" w:eastAsia="Arial" w:hAnsi="Arial"/>
                <w:sz w:val="20"/>
                <w:szCs w:val="20"/>
                <w:color w:val="auto"/>
              </w:rPr>
              <w:t>Severability</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9.9</w:t>
            </w:r>
          </w:p>
        </w:tc>
        <w:tc>
          <w:tcPr>
            <w:tcW w:w="7140" w:type="dxa"/>
            <w:vAlign w:val="bottom"/>
          </w:tcPr>
          <w:p>
            <w:pPr>
              <w:ind w:left="580"/>
              <w:spacing w:after="0"/>
              <w:rPr>
                <w:sz w:val="20"/>
                <w:szCs w:val="20"/>
                <w:color w:val="auto"/>
              </w:rPr>
            </w:pPr>
            <w:r>
              <w:rPr>
                <w:rFonts w:ascii="Arial" w:cs="Arial" w:eastAsia="Arial" w:hAnsi="Arial"/>
                <w:sz w:val="20"/>
                <w:szCs w:val="20"/>
                <w:color w:val="auto"/>
              </w:rPr>
              <w:t>Schedules; Exhibits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9.10</w:t>
            </w:r>
          </w:p>
        </w:tc>
        <w:tc>
          <w:tcPr>
            <w:tcW w:w="7140" w:type="dxa"/>
            <w:vAlign w:val="bottom"/>
          </w:tcPr>
          <w:p>
            <w:pPr>
              <w:ind w:left="580"/>
              <w:spacing w:after="0"/>
              <w:rPr>
                <w:sz w:val="20"/>
                <w:szCs w:val="20"/>
                <w:color w:val="auto"/>
              </w:rPr>
            </w:pPr>
            <w:r>
              <w:rPr>
                <w:rFonts w:ascii="Arial" w:cs="Arial" w:eastAsia="Arial" w:hAnsi="Arial"/>
                <w:sz w:val="20"/>
                <w:szCs w:val="20"/>
                <w:color w:val="auto"/>
              </w:rPr>
              <w:t>No Third Party Beneficiaries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9.11</w:t>
            </w:r>
          </w:p>
        </w:tc>
        <w:tc>
          <w:tcPr>
            <w:tcW w:w="7140" w:type="dxa"/>
            <w:vAlign w:val="bottom"/>
          </w:tcPr>
          <w:p>
            <w:pPr>
              <w:ind w:left="580"/>
              <w:spacing w:after="0"/>
              <w:rPr>
                <w:sz w:val="20"/>
                <w:szCs w:val="20"/>
                <w:color w:val="auto"/>
              </w:rPr>
            </w:pPr>
            <w:r>
              <w:rPr>
                <w:rFonts w:ascii="Arial" w:cs="Arial" w:eastAsia="Arial" w:hAnsi="Arial"/>
                <w:sz w:val="20"/>
                <w:szCs w:val="20"/>
                <w:color w:val="auto"/>
              </w:rPr>
              <w:t>Expenses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9.12</w:t>
            </w:r>
          </w:p>
        </w:tc>
        <w:tc>
          <w:tcPr>
            <w:tcW w:w="7140" w:type="dxa"/>
            <w:vAlign w:val="bottom"/>
          </w:tcPr>
          <w:p>
            <w:pPr>
              <w:ind w:left="580"/>
              <w:spacing w:after="0"/>
              <w:rPr>
                <w:sz w:val="20"/>
                <w:szCs w:val="20"/>
                <w:color w:val="auto"/>
              </w:rPr>
            </w:pPr>
            <w:r>
              <w:rPr>
                <w:rFonts w:ascii="Arial" w:cs="Arial" w:eastAsia="Arial" w:hAnsi="Arial"/>
                <w:sz w:val="20"/>
                <w:szCs w:val="20"/>
                <w:color w:val="auto"/>
              </w:rPr>
              <w:t>No Strict Construction</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9.13</w:t>
            </w:r>
          </w:p>
        </w:tc>
        <w:tc>
          <w:tcPr>
            <w:tcW w:w="7140" w:type="dxa"/>
            <w:vAlign w:val="bottom"/>
          </w:tcPr>
          <w:p>
            <w:pPr>
              <w:ind w:left="580"/>
              <w:spacing w:after="0"/>
              <w:rPr>
                <w:sz w:val="20"/>
                <w:szCs w:val="20"/>
                <w:color w:val="auto"/>
              </w:rPr>
            </w:pPr>
            <w:r>
              <w:rPr>
                <w:rFonts w:ascii="Arial" w:cs="Arial" w:eastAsia="Arial" w:hAnsi="Arial"/>
                <w:sz w:val="20"/>
                <w:szCs w:val="20"/>
                <w:color w:val="auto"/>
              </w:rPr>
              <w:t>Injunctive Relief; Specific Performance</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9.14</w:t>
            </w:r>
          </w:p>
        </w:tc>
        <w:tc>
          <w:tcPr>
            <w:tcW w:w="7140" w:type="dxa"/>
            <w:vAlign w:val="bottom"/>
          </w:tcPr>
          <w:p>
            <w:pPr>
              <w:ind w:left="580"/>
              <w:spacing w:after="0"/>
              <w:rPr>
                <w:sz w:val="20"/>
                <w:szCs w:val="20"/>
                <w:color w:val="auto"/>
              </w:rPr>
            </w:pPr>
            <w:r>
              <w:rPr>
                <w:rFonts w:ascii="Arial" w:cs="Arial" w:eastAsia="Arial" w:hAnsi="Arial"/>
                <w:sz w:val="20"/>
                <w:szCs w:val="20"/>
                <w:color w:val="auto"/>
              </w:rPr>
              <w:t>Further Assurances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9.15</w:t>
            </w:r>
          </w:p>
        </w:tc>
        <w:tc>
          <w:tcPr>
            <w:tcW w:w="7140" w:type="dxa"/>
            <w:vAlign w:val="bottom"/>
          </w:tcPr>
          <w:p>
            <w:pPr>
              <w:ind w:left="580"/>
              <w:spacing w:after="0"/>
              <w:rPr>
                <w:sz w:val="20"/>
                <w:szCs w:val="20"/>
                <w:color w:val="auto"/>
              </w:rPr>
            </w:pPr>
            <w:r>
              <w:rPr>
                <w:rFonts w:ascii="Arial" w:cs="Arial" w:eastAsia="Arial" w:hAnsi="Arial"/>
                <w:sz w:val="20"/>
                <w:szCs w:val="20"/>
                <w:color w:val="auto"/>
              </w:rPr>
              <w:t>Entire Agreement</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50"/>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9.16</w:t>
            </w:r>
          </w:p>
        </w:tc>
        <w:tc>
          <w:tcPr>
            <w:tcW w:w="7140" w:type="dxa"/>
            <w:vAlign w:val="bottom"/>
          </w:tcPr>
          <w:p>
            <w:pPr>
              <w:ind w:left="580"/>
              <w:spacing w:after="0"/>
              <w:rPr>
                <w:sz w:val="20"/>
                <w:szCs w:val="20"/>
                <w:color w:val="auto"/>
              </w:rPr>
            </w:pPr>
            <w:r>
              <w:rPr>
                <w:rFonts w:ascii="Arial" w:cs="Arial" w:eastAsia="Arial" w:hAnsi="Arial"/>
                <w:sz w:val="20"/>
                <w:szCs w:val="20"/>
                <w:color w:val="auto"/>
              </w:rPr>
              <w:t>Investigation and Non-Reliance</w:t>
            </w:r>
          </w:p>
        </w:tc>
        <w:tc>
          <w:tcPr>
            <w:tcW w:w="960" w:type="dxa"/>
            <w:vAlign w:val="bottom"/>
          </w:tcPr>
          <w:p>
            <w:pPr>
              <w:jc w:val="right"/>
              <w:spacing w:after="0"/>
              <w:rPr>
                <w:sz w:val="20"/>
                <w:szCs w:val="20"/>
                <w:color w:val="auto"/>
              </w:rPr>
            </w:pPr>
            <w:r>
              <w:rPr>
                <w:rFonts w:ascii="Arial" w:cs="Arial" w:eastAsia="Arial" w:hAnsi="Arial"/>
                <w:sz w:val="20"/>
                <w:szCs w:val="20"/>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840"/>
          </w:cols>
          <w:pgMar w:left="1320" w:top="1440" w:right="739" w:bottom="1440" w:gutter="0" w:footer="0" w:header="0"/>
        </w:sectPr>
      </w:pPr>
    </w:p>
    <w:bookmarkStart w:id="333" w:name="page334"/>
    <w:bookmarkEnd w:id="333"/>
    <w:p>
      <w:pPr>
        <w:spacing w:after="0" w:line="14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0119"/>
          </w:cols>
          <w:pgMar w:left="340" w:top="1440" w:right="1440"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Exhibit C-1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Exhibit C-2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Shareholder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Support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Certificate of Merger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Second Certificate of Merger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Net Working Capital Schedule</w:t>
      </w:r>
    </w:p>
    <w:p>
      <w:pPr>
        <w:spacing w:after="0" w:line="222" w:lineRule="exact"/>
        <w:rPr>
          <w:sz w:val="20"/>
          <w:szCs w:val="20"/>
          <w:color w:val="auto"/>
        </w:rPr>
      </w:pPr>
    </w:p>
    <w:p>
      <w:pPr>
        <w:sectPr>
          <w:pgSz w:w="11900" w:h="16838" w:orient="portrait"/>
          <w:cols w:equalWidth="0" w:num="2">
            <w:col w:w="1800" w:space="720"/>
            <w:col w:w="7599"/>
          </w:cols>
          <w:pgMar w:left="340" w:top="1440" w:right="1440" w:bottom="1440" w:gutter="0" w:footer="0" w:header="0"/>
          <w:type w:val="continuous"/>
        </w:sectPr>
      </w:pPr>
    </w:p>
    <w:p>
      <w:pPr>
        <w:spacing w:after="0" w:line="6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SCHEDULES</w:t>
      </w:r>
    </w:p>
    <w:p>
      <w:pPr>
        <w:sectPr>
          <w:pgSz w:w="11900" w:h="16838" w:orient="portrait"/>
          <w:cols w:equalWidth="0" w:num="1">
            <w:col w:w="10119"/>
          </w:cols>
          <w:pgMar w:left="340" w:top="1440" w:right="1440" w:bottom="1440" w:gutter="0" w:footer="0" w:header="0"/>
          <w:type w:val="continuous"/>
        </w:sectPr>
      </w:pPr>
    </w:p>
    <w:p>
      <w:pPr>
        <w:spacing w:after="0" w:line="227" w:lineRule="exact"/>
        <w:rPr>
          <w:sz w:val="20"/>
          <w:szCs w:val="20"/>
          <w:color w:val="auto"/>
        </w:rPr>
      </w:pPr>
    </w:p>
    <w:p>
      <w:pPr>
        <w:ind w:right="300"/>
        <w:spacing w:after="0" w:line="309" w:lineRule="auto"/>
        <w:rPr>
          <w:sz w:val="20"/>
          <w:szCs w:val="20"/>
          <w:color w:val="auto"/>
        </w:rPr>
      </w:pPr>
      <w:r>
        <w:rPr>
          <w:rFonts w:ascii="Arial" w:cs="Arial" w:eastAsia="Arial" w:hAnsi="Arial"/>
          <w:sz w:val="16"/>
          <w:szCs w:val="16"/>
          <w:color w:val="auto"/>
        </w:rPr>
        <w:t>Schedule A Schedule B Schedule C Schedule D Schedule 2.3(b)(xiii) Schedule 5.14 Schedule 8.2(a)(vi)</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Lock-Up 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Supporting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Pre-Closing Budget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Pre-Closing Restructuring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Required Third Party Deliverables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Specified TSA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Specific Indemnity Matters</w:t>
      </w:r>
    </w:p>
    <w:p>
      <w:pPr>
        <w:spacing w:after="0" w:line="273" w:lineRule="exact"/>
        <w:rPr>
          <w:sz w:val="20"/>
          <w:szCs w:val="20"/>
          <w:color w:val="auto"/>
        </w:rPr>
      </w:pPr>
    </w:p>
    <w:p>
      <w:pPr>
        <w:sectPr>
          <w:pgSz w:w="11900" w:h="16838" w:orient="portrait"/>
          <w:cols w:equalWidth="0" w:num="2">
            <w:col w:w="1800" w:space="720"/>
            <w:col w:w="759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19"/>
          </w:cols>
          <w:pgMar w:left="340" w:top="1440" w:right="1440" w:bottom="1440" w:gutter="0" w:footer="0" w:header="0"/>
          <w:type w:val="continuous"/>
        </w:sectPr>
      </w:pPr>
    </w:p>
    <w:bookmarkStart w:id="334" w:name="page335"/>
    <w:bookmarkEnd w:id="33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AGREEMENT AND PLAN OF MERGER AND REORGANIZATION</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January 14, 2022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is entered into by and among Sema4 Holdings Corp., a Delaware corporation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Orion Merger Sub I, Inc., a Delaware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I</w:t>
      </w:r>
      <w:r>
        <w:rPr>
          <w:rFonts w:ascii="Arial" w:cs="Arial" w:eastAsia="Arial" w:hAnsi="Arial"/>
          <w:sz w:val="18"/>
          <w:szCs w:val="18"/>
          <w:color w:val="auto"/>
        </w:rPr>
        <w:t>”), Orion Merger Sub II, LLC, a Delaware limited liability company (“</w:t>
      </w:r>
      <w:r>
        <w:rPr>
          <w:rFonts w:ascii="Arial" w:cs="Arial" w:eastAsia="Arial" w:hAnsi="Arial"/>
          <w:sz w:val="18"/>
          <w:szCs w:val="18"/>
          <w:b w:val="1"/>
          <w:bCs w:val="1"/>
          <w:i w:val="1"/>
          <w:iCs w:val="1"/>
          <w:color w:val="auto"/>
        </w:rPr>
        <w:t>Merger Sub II</w:t>
      </w:r>
      <w:r>
        <w:rPr>
          <w:rFonts w:ascii="Arial" w:cs="Arial" w:eastAsia="Arial" w:hAnsi="Arial"/>
          <w:sz w:val="18"/>
          <w:szCs w:val="18"/>
          <w:color w:val="auto"/>
        </w:rPr>
        <w:t>” and together with Merger Sub I,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Subs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GeneDx, Inc., a New Jersey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GeneDx Holding 2, Inc., a Delaware corporation (“</w:t>
      </w:r>
      <w:r>
        <w:rPr>
          <w:rFonts w:ascii="Arial" w:cs="Arial" w:eastAsia="Arial" w:hAnsi="Arial"/>
          <w:sz w:val="18"/>
          <w:szCs w:val="18"/>
          <w:b w:val="1"/>
          <w:bCs w:val="1"/>
          <w:i w:val="1"/>
          <w:iCs w:val="1"/>
          <w:color w:val="auto"/>
        </w:rPr>
        <w:t>Holdco2</w:t>
      </w:r>
      <w:r>
        <w:rPr>
          <w:rFonts w:ascii="Arial" w:cs="Arial" w:eastAsia="Arial" w:hAnsi="Arial"/>
          <w:sz w:val="18"/>
          <w:szCs w:val="18"/>
          <w:color w:val="auto"/>
        </w:rPr>
        <w:t>”), and OPKO 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Acquirer, the Merger Subs, the Company, Holdco2, and Seller are sometimes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RECITALS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Acquirer desires to acquire the Company upon the terms set forth herein;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Seller owns indirectly 100% of the issued and outstanding shares of capital stock of the Company as of the Agreement Date;</w:t>
      </w:r>
    </w:p>
    <w:p>
      <w:pPr>
        <w:spacing w:after="0" w:line="18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WHEREAS, (a) Merger Sub I is a wholly owned direct Subsidiary of Acquirer that was formed for purposes of consummating the First Merger and (b) Merger Sub II is a wholly owned direct Subsidiary of Acquirer that was formed for purposes of consummating the Second Merger;</w:t>
      </w:r>
    </w:p>
    <w:p>
      <w:pPr>
        <w:spacing w:after="0" w:line="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WHEREAS, prior to the First Merger and the Second Merger (each as defined below), the following steps will be taken: (i) OPKO Ireland R&amp;D, Ltd, an indirect subsidiary of Seller, will transfer all the shares of MyGeneTeamCanada, Ltd. (“</w:t>
      </w:r>
      <w:r>
        <w:rPr>
          <w:rFonts w:ascii="Arial" w:cs="Arial" w:eastAsia="Arial" w:hAnsi="Arial"/>
          <w:sz w:val="17"/>
          <w:szCs w:val="17"/>
          <w:b w:val="1"/>
          <w:bCs w:val="1"/>
          <w:i w:val="1"/>
          <w:iCs w:val="1"/>
          <w:color w:val="auto"/>
        </w:rPr>
        <w:t>MGT Canada</w:t>
      </w:r>
      <w:r>
        <w:rPr>
          <w:rFonts w:ascii="Arial" w:cs="Arial" w:eastAsia="Arial" w:hAnsi="Arial"/>
          <w:sz w:val="17"/>
          <w:szCs w:val="17"/>
          <w:color w:val="auto"/>
        </w:rPr>
        <w:t>”) to Seller; (ii) Seller will contribute all of the shares of MGT Canada and of MyGeneTeam LLC. (“</w:t>
      </w:r>
      <w:r>
        <w:rPr>
          <w:rFonts w:ascii="Arial" w:cs="Arial" w:eastAsia="Arial" w:hAnsi="Arial"/>
          <w:sz w:val="17"/>
          <w:szCs w:val="17"/>
          <w:b w:val="1"/>
          <w:bCs w:val="1"/>
          <w:i w:val="1"/>
          <w:iCs w:val="1"/>
          <w:color w:val="auto"/>
        </w:rPr>
        <w:t>MGTUS</w:t>
      </w:r>
      <w:r>
        <w:rPr>
          <w:rFonts w:ascii="Arial" w:cs="Arial" w:eastAsia="Arial" w:hAnsi="Arial"/>
          <w:sz w:val="17"/>
          <w:szCs w:val="17"/>
          <w:color w:val="auto"/>
        </w:rPr>
        <w:t>” and together with MGT Canada, the “</w:t>
      </w:r>
      <w:r>
        <w:rPr>
          <w:rFonts w:ascii="Arial" w:cs="Arial" w:eastAsia="Arial" w:hAnsi="Arial"/>
          <w:sz w:val="17"/>
          <w:szCs w:val="17"/>
          <w:b w:val="1"/>
          <w:bCs w:val="1"/>
          <w:i w:val="1"/>
          <w:iCs w:val="1"/>
          <w:color w:val="auto"/>
        </w:rPr>
        <w:t>MGT Group</w:t>
      </w:r>
      <w:r>
        <w:rPr>
          <w:rFonts w:ascii="Arial" w:cs="Arial" w:eastAsia="Arial" w:hAnsi="Arial"/>
          <w:sz w:val="17"/>
          <w:szCs w:val="17"/>
          <w:color w:val="auto"/>
        </w:rPr>
        <w:t>”) to Bio-Reference Laboratories, Inc., a New Jersey corporation and wholly owned subsidiary of Seller (“</w:t>
      </w:r>
      <w:r>
        <w:rPr>
          <w:rFonts w:ascii="Arial" w:cs="Arial" w:eastAsia="Arial" w:hAnsi="Arial"/>
          <w:sz w:val="17"/>
          <w:szCs w:val="17"/>
          <w:b w:val="1"/>
          <w:bCs w:val="1"/>
          <w:i w:val="1"/>
          <w:iCs w:val="1"/>
          <w:color w:val="auto"/>
        </w:rPr>
        <w:t>BioReference</w:t>
      </w:r>
      <w:r>
        <w:rPr>
          <w:rFonts w:ascii="Arial" w:cs="Arial" w:eastAsia="Arial" w:hAnsi="Arial"/>
          <w:sz w:val="17"/>
          <w:szCs w:val="17"/>
          <w:color w:val="auto"/>
        </w:rPr>
        <w:t>” ); (iii) BioReference will contribute all of the shares of the MGT Group to the Company; (iv) Seller will form Bio-Reference Laboratories, Inc, a Delaware corporation (“</w:t>
      </w:r>
      <w:r>
        <w:rPr>
          <w:rFonts w:ascii="Arial" w:cs="Arial" w:eastAsia="Arial" w:hAnsi="Arial"/>
          <w:sz w:val="17"/>
          <w:szCs w:val="17"/>
          <w:b w:val="1"/>
          <w:bCs w:val="1"/>
          <w:i w:val="1"/>
          <w:iCs w:val="1"/>
          <w:color w:val="auto"/>
        </w:rPr>
        <w:t>BioReference Delaware</w:t>
      </w:r>
      <w:r>
        <w:rPr>
          <w:rFonts w:ascii="Arial" w:cs="Arial" w:eastAsia="Arial" w:hAnsi="Arial"/>
          <w:sz w:val="17"/>
          <w:szCs w:val="17"/>
          <w:color w:val="auto"/>
        </w:rPr>
        <w:t>”), as a direct subsidiary, and BioReference will merge with and into BioReference Delaware with BioReference Delaware surviving the merger; (v) Seller has formed GeneDx Holding 1, Inc. (“</w:t>
      </w:r>
      <w:r>
        <w:rPr>
          <w:rFonts w:ascii="Arial" w:cs="Arial" w:eastAsia="Arial" w:hAnsi="Arial"/>
          <w:sz w:val="17"/>
          <w:szCs w:val="17"/>
          <w:b w:val="1"/>
          <w:bCs w:val="1"/>
          <w:i w:val="1"/>
          <w:iCs w:val="1"/>
          <w:color w:val="auto"/>
        </w:rPr>
        <w:t>Holdco1</w:t>
      </w:r>
      <w:r>
        <w:rPr>
          <w:rFonts w:ascii="Arial" w:cs="Arial" w:eastAsia="Arial" w:hAnsi="Arial"/>
          <w:sz w:val="17"/>
          <w:szCs w:val="17"/>
          <w:color w:val="auto"/>
        </w:rPr>
        <w:t>”) and will transfer the shares of BioReference Delaware to Holdco1; (vi) BioReference Delaware will convert into an LLC (“</w:t>
      </w:r>
      <w:r>
        <w:rPr>
          <w:rFonts w:ascii="Arial" w:cs="Arial" w:eastAsia="Arial" w:hAnsi="Arial"/>
          <w:sz w:val="17"/>
          <w:szCs w:val="17"/>
          <w:b w:val="1"/>
          <w:bCs w:val="1"/>
          <w:i w:val="1"/>
          <w:iCs w:val="1"/>
          <w:color w:val="auto"/>
        </w:rPr>
        <w:t>BioReference Laboratories, LLC</w:t>
      </w:r>
      <w:r>
        <w:rPr>
          <w:rFonts w:ascii="Arial" w:cs="Arial" w:eastAsia="Arial" w:hAnsi="Arial"/>
          <w:sz w:val="17"/>
          <w:szCs w:val="17"/>
          <w:color w:val="auto"/>
        </w:rPr>
        <w:t>”) and transfer the shares of the Company to Holdco1; (vii) Holdco1 will form GeneDx, Inc, a Delaware corporation (“</w:t>
      </w:r>
      <w:r>
        <w:rPr>
          <w:rFonts w:ascii="Arial" w:cs="Arial" w:eastAsia="Arial" w:hAnsi="Arial"/>
          <w:sz w:val="17"/>
          <w:szCs w:val="17"/>
          <w:b w:val="1"/>
          <w:bCs w:val="1"/>
          <w:i w:val="1"/>
          <w:iCs w:val="1"/>
          <w:color w:val="auto"/>
        </w:rPr>
        <w:t>GeneDx Delaware</w:t>
      </w:r>
      <w:r>
        <w:rPr>
          <w:rFonts w:ascii="Arial" w:cs="Arial" w:eastAsia="Arial" w:hAnsi="Arial"/>
          <w:sz w:val="17"/>
          <w:szCs w:val="17"/>
          <w:color w:val="auto"/>
        </w:rPr>
        <w:t>”) and shall merge the Company with and into GeneDx Delaware with GeneDx Delaware surviving the merger with all of the rights and obligations of the Company; and (viii) all of the shares of Holdco 2, then a wholly owned subsidiary of Seller, will be contributed by Seller to Holdco1, and Holdco1 will transfer all of the shares of GeneDx Delaware to Holdco2 and GeneDx Delaware will convert to GeneDx, LLC, a Delaware LLC (“</w:t>
      </w:r>
      <w:r>
        <w:rPr>
          <w:rFonts w:ascii="Arial" w:cs="Arial" w:eastAsia="Arial" w:hAnsi="Arial"/>
          <w:sz w:val="17"/>
          <w:szCs w:val="17"/>
          <w:b w:val="1"/>
          <w:bCs w:val="1"/>
          <w:i w:val="1"/>
          <w:iCs w:val="1"/>
          <w:color w:val="auto"/>
        </w:rPr>
        <w:t>GeneDx Delaware LLC</w:t>
      </w:r>
      <w:r>
        <w:rPr>
          <w:rFonts w:ascii="Arial" w:cs="Arial" w:eastAsia="Arial" w:hAnsi="Arial"/>
          <w:sz w:val="17"/>
          <w:szCs w:val="17"/>
          <w:color w:val="auto"/>
        </w:rPr>
        <w:t>” or as of or subsequent to the Pre-Closing Restructuring, either “GeneDx Delaware LLC” or the “Company”), and will be a wholly owned subsidiary of Holdco2 and an indirect subsidiary of Seller, with all the rights and obligations of GeneDx Delaware, all as also set forth on Schedule D, together with such changes, if any, that do not adversely affect any of the Parties, as may be necessary or desirable for Tax purposes (collectively, the “</w:t>
      </w:r>
      <w:r>
        <w:rPr>
          <w:rFonts w:ascii="Arial" w:cs="Arial" w:eastAsia="Arial" w:hAnsi="Arial"/>
          <w:sz w:val="17"/>
          <w:szCs w:val="17"/>
          <w:b w:val="1"/>
          <w:bCs w:val="1"/>
          <w:i w:val="1"/>
          <w:iCs w:val="1"/>
          <w:color w:val="auto"/>
        </w:rPr>
        <w:t>Pre-Closing Restructuring</w:t>
      </w:r>
      <w:r>
        <w:rPr>
          <w:rFonts w:ascii="Arial" w:cs="Arial" w:eastAsia="Arial" w:hAnsi="Arial"/>
          <w:sz w:val="17"/>
          <w:szCs w:val="17"/>
          <w:color w:val="auto"/>
        </w:rPr>
        <w:t>” );</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WHEREAS, upon the terms and conditions set forth herein, on the Closing Date but following consummation of the Pre-Closing Restructuring, Merger Sub I will merge with and into Holdco2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with Holdco2 as the surviving corporation in the First Merger;</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immediately after the consummation of the First Merger, as part of the same overall transaction, Holdco2, as the surviving corporation in the First Merger, will merge with and into Merger Sub II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with Merger Sub II as the surviving corporation and the direct owner of all of the equity interests in GeneDx Delaware LLC;</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WHEREAS, after giving effect to the First Merger, Holdco2 shall be a wholly owned direct Subsidiary of Acquirer, and each share of Holdco2 Common Stock will be converted into the right to receive the Merger Consideration, on the terms and subject to the conditions set forth in this Agreement;</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each of the parties hereto intend that, for United States federal income tax purposes, the Mergers will be treated as a single integrated transaction and qualify as a “reorganization” within the meaning of Section 368(a) of the Code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to which each of the Parties are to be parties under Section 368(b) of the Code, and this Agreement is intended to constitute a “plan of reorganization” within the meaning of Treasury Regulations Section 1.368-2(g);</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Holdco2 (the “</w:t>
      </w:r>
      <w:r>
        <w:rPr>
          <w:rFonts w:ascii="Arial" w:cs="Arial" w:eastAsia="Arial" w:hAnsi="Arial"/>
          <w:sz w:val="18"/>
          <w:szCs w:val="18"/>
          <w:b w:val="1"/>
          <w:bCs w:val="1"/>
          <w:i w:val="1"/>
          <w:iCs w:val="1"/>
          <w:color w:val="auto"/>
        </w:rPr>
        <w:t>Holdco2 Board</w:t>
      </w:r>
      <w:r>
        <w:rPr>
          <w:rFonts w:ascii="Arial" w:cs="Arial" w:eastAsia="Arial" w:hAnsi="Arial"/>
          <w:sz w:val="18"/>
          <w:szCs w:val="18"/>
          <w:color w:val="auto"/>
        </w:rPr>
        <w:t>”) has unanimously adopted the Holdco2 Board Approval and the board of directors of Seller (the “</w:t>
      </w:r>
      <w:r>
        <w:rPr>
          <w:rFonts w:ascii="Arial" w:cs="Arial" w:eastAsia="Arial" w:hAnsi="Arial"/>
          <w:sz w:val="18"/>
          <w:szCs w:val="18"/>
          <w:b w:val="1"/>
          <w:bCs w:val="1"/>
          <w:i w:val="1"/>
          <w:iCs w:val="1"/>
          <w:color w:val="auto"/>
        </w:rPr>
        <w:t>Seller Board</w:t>
      </w:r>
      <w:r>
        <w:rPr>
          <w:rFonts w:ascii="Arial" w:cs="Arial" w:eastAsia="Arial" w:hAnsi="Arial"/>
          <w:sz w:val="18"/>
          <w:szCs w:val="18"/>
          <w:color w:val="auto"/>
        </w:rPr>
        <w:t>”) has unanimously adopted the Seller Board Approval;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each of the boards of directors of the Acquirer and Merger Sub I, in its capacity as the sole member of Merger Sub II, has (a) approved and declared advisable this Agreement and Transactions, upon the terms set forth herein and (b) determined that this Agreement and the Transactions are fair to, and in the best interests of, each such Acquirer Party and their respective equityholders;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WHEREAS, concurrent with the execution of this Agreement, and as a condition and inducement to Acquirer’s willingness to enter into this Agreement, each of the Key Employees has entered into an employment agreement with Acquirer, together with Acquirer’s customary form of proprietary information and inventions agreement (each, a “</w:t>
      </w:r>
      <w:r>
        <w:rPr>
          <w:rFonts w:ascii="Arial" w:cs="Arial" w:eastAsia="Arial" w:hAnsi="Arial"/>
          <w:sz w:val="17"/>
          <w:szCs w:val="17"/>
          <w:b w:val="1"/>
          <w:bCs w:val="1"/>
          <w:i w:val="1"/>
          <w:iCs w:val="1"/>
          <w:color w:val="auto"/>
        </w:rPr>
        <w:t>Key Employee Agreement</w:t>
      </w:r>
      <w:r>
        <w:rPr>
          <w:rFonts w:ascii="Arial" w:cs="Arial" w:eastAsia="Arial" w:hAnsi="Arial"/>
          <w:sz w:val="17"/>
          <w:szCs w:val="17"/>
          <w:color w:val="auto"/>
        </w:rPr>
        <w:t>”), each to become effective subject to and upon the Closing;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immediately following the execution and delivery of this Agreement, Holdco2 shall seek to obtain and deliver to Acquirer a written consent in form and substance reasonably satisfactory to Acquirer (a “</w:t>
      </w:r>
      <w:r>
        <w:rPr>
          <w:rFonts w:ascii="Arial" w:cs="Arial" w:eastAsia="Arial" w:hAnsi="Arial"/>
          <w:sz w:val="17"/>
          <w:szCs w:val="17"/>
          <w:b w:val="1"/>
          <w:bCs w:val="1"/>
          <w:i w:val="1"/>
          <w:iCs w:val="1"/>
          <w:color w:val="auto"/>
        </w:rPr>
        <w:t>Written Consent</w:t>
      </w:r>
      <w:r>
        <w:rPr>
          <w:rFonts w:ascii="Arial" w:cs="Arial" w:eastAsia="Arial" w:hAnsi="Arial"/>
          <w:sz w:val="17"/>
          <w:szCs w:val="17"/>
          <w:color w:val="auto"/>
        </w:rPr>
        <w:t>”) executed by Seller, (a) evidencing the obtainment of the Holdco2 Stockholder Approval, (b) waiving any rights of Seller to appraisal rights under Section 262 of the DGCL in connection with the Transactions, and (c) taking certain other actions in connection with the approval of this Agreement and the Transactions, including the Mergers;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WHEREAS, concurrently with the execution of this Agreement, and as a condition and inducement to Acquirer’s, Merger Sub I’s and Merger Sub II’s willingness to enter into this Agreement, Seller and each of the stockholders of Seller identified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Lock-Up Holders</w:t>
      </w:r>
      <w:r>
        <w:rPr>
          <w:rFonts w:ascii="Arial" w:cs="Arial" w:eastAsia="Arial" w:hAnsi="Arial"/>
          <w:sz w:val="16"/>
          <w:szCs w:val="16"/>
          <w:color w:val="auto"/>
        </w:rPr>
        <w:t xml:space="preserve">”) shall enter into and deliver to Acquirer a shareholder agreement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Shareholder Agreement</w:t>
      </w:r>
      <w:r>
        <w:rPr>
          <w:rFonts w:ascii="Arial" w:cs="Arial" w:eastAsia="Arial" w:hAnsi="Arial"/>
          <w:sz w:val="16"/>
          <w:szCs w:val="16"/>
          <w:color w:val="auto"/>
        </w:rPr>
        <w: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WHEREAS, concurrently with the execution of this Agreement, and as a condition and inducement to Seller’s and the Company Parties’ willingness to enter into this Agreement, each of the stockholders of Acquirer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Supporting Stockholders</w:t>
      </w:r>
      <w:r>
        <w:rPr>
          <w:rFonts w:ascii="Arial" w:cs="Arial" w:eastAsia="Arial" w:hAnsi="Arial"/>
          <w:sz w:val="18"/>
          <w:szCs w:val="18"/>
          <w:color w:val="auto"/>
        </w:rPr>
        <w:t xml:space="preserve">”) shall enter into and deliver to Seller and the Company a support agreement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or prior to the Agreement Date, Acquirer entered into Subscription Agreements with PIPE Investors pursuant to which, and on the terms and subject to the conditions of which, such PIPE Investors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8"/>
          <w:szCs w:val="18"/>
          <w:b w:val="1"/>
          <w:bCs w:val="1"/>
          <w:i w:val="1"/>
          <w:iCs w:val="1"/>
          <w:color w:val="auto"/>
        </w:rPr>
        <w:t>PIPE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herein, the terms below shall have the following meanings. Other terms may be defined elsewhere in the text of this Agreement and, unless otherwise indicated, shall have such meaning indicated throughout this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Standards</w:t>
      </w:r>
      <w:r>
        <w:rPr>
          <w:rFonts w:ascii="Arial" w:cs="Arial" w:eastAsia="Arial" w:hAnsi="Arial"/>
          <w:sz w:val="18"/>
          <w:szCs w:val="18"/>
          <w:color w:val="auto"/>
        </w:rPr>
        <w:t>” means accounting principles generally accepted in the United States, consistently applied for the applicable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Board</w:t>
      </w:r>
      <w:r>
        <w:rPr>
          <w:rFonts w:ascii="Arial" w:cs="Arial" w:eastAsia="Arial" w:hAnsi="Arial"/>
          <w:sz w:val="18"/>
          <w:szCs w:val="18"/>
          <w:color w:val="auto"/>
        </w:rPr>
        <w:t>” means the board of directors of Acquirer.</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Disclosure Schedules</w:t>
      </w:r>
      <w:r>
        <w:rPr>
          <w:rFonts w:ascii="Arial" w:cs="Arial" w:eastAsia="Arial" w:hAnsi="Arial"/>
          <w:sz w:val="18"/>
          <w:szCs w:val="18"/>
          <w:color w:val="auto"/>
        </w:rPr>
        <w:t>” means the Disclosure Schedules delivered by Acquirer to the Company in connection with the execution of this Agreement.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of the Acquirer Parties),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(No Brokers).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Group</w:t>
      </w:r>
      <w:r>
        <w:rPr>
          <w:rFonts w:ascii="Arial" w:cs="Arial" w:eastAsia="Arial" w:hAnsi="Arial"/>
          <w:sz w:val="18"/>
          <w:szCs w:val="18"/>
          <w:color w:val="auto"/>
        </w:rPr>
        <w:t>” means any consolidated, combined, unitary or other aggregate group of entities for Tax purposes (including Code Section 1504 and similar provisions of state and local Laws) in which Acquirer is the common parent entity.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Party</w:t>
      </w:r>
      <w:r>
        <w:rPr>
          <w:rFonts w:ascii="Arial" w:cs="Arial" w:eastAsia="Arial" w:hAnsi="Arial"/>
          <w:sz w:val="18"/>
          <w:szCs w:val="18"/>
          <w:color w:val="auto"/>
        </w:rPr>
        <w:t>” means Acquirer, Merger Sub I and Merger Sub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Stock</w:t>
      </w:r>
      <w:r>
        <w:rPr>
          <w:rFonts w:ascii="Arial" w:cs="Arial" w:eastAsia="Arial" w:hAnsi="Arial"/>
          <w:sz w:val="18"/>
          <w:szCs w:val="18"/>
          <w:color w:val="auto"/>
        </w:rPr>
        <w:t>” means shares of Class A common stock, par value $0.0001 per share, of Acquirer.</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Acquirer Stockholder Approval</w:t>
      </w:r>
      <w:r>
        <w:rPr>
          <w:rFonts w:ascii="Arial" w:cs="Arial" w:eastAsia="Arial" w:hAnsi="Arial"/>
          <w:sz w:val="17"/>
          <w:szCs w:val="17"/>
          <w:color w:val="auto"/>
        </w:rPr>
        <w:t>” means the approval of: (i) the issuance of the Stock Consideration pursuant to this Agreement by the affirmative vote of holders of shares of Acquirer Stock having a majority in voting power of the votes cast by the holders of all of the shares of Acquirer Stock present or represented at the Acquirer Stockholders’ Meeting and voting affirmatively or negatively and (ii) the approval of an amendment to Acquirer’s current Third Amended and Restated Certificate of Incorporation to increase the authorized shares of Acquirer Stock as the Acquirer Board deems necessary or advisable in connection with the consummation of the Transactions (but in no event to a number greater than 1.0 billion) by the affirmative vote of holders of shares of Acquirer Stock having a majority of the shares of Acquirer Stock outstanding as of the applicable record date (and, for the elimination of doubt, abstentions and broker non-votes may be counted to determine the presence of a quorum at the Acquirer Stockholders’ Meeting but shall not be counted as votes cast for or against any proposal).</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first Person. As used in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(a) the ownership of more than 50% of the voting securities or other voting interest of any Person, or (b) the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directly or indirectly, of the power to direct or cause the direction of the management and policies of such Person, whether through ownership of voting securities, by Contract, as a general partner, as a manager or otherwise. From and after the Effective Time, the Company shall be considered an Affiliate of the Acquirer.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 means the Certificates of Merger, the Escrow Agreement, the Shareholder Agreements, the Transition Services Agreement and each other agreement, document, instrument or certificate contemplated by this Agreement and executed or to be executed in connection with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Antitrust Laws</w:t>
      </w:r>
      <w:r>
        <w:rPr>
          <w:rFonts w:ascii="Arial" w:cs="Arial" w:eastAsia="Arial" w:hAnsi="Arial"/>
          <w:sz w:val="17"/>
          <w:szCs w:val="17"/>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Bayh-Dole Act</w:t>
      </w:r>
      <w:r>
        <w:rPr>
          <w:rFonts w:ascii="Arial" w:cs="Arial" w:eastAsia="Arial" w:hAnsi="Arial"/>
          <w:sz w:val="18"/>
          <w:szCs w:val="18"/>
          <w:color w:val="auto"/>
        </w:rPr>
        <w:t>” means the Patent and Trademark Law Amendments Act of 1980, codified at 35 U.S.C. sections 200-212, as amended, as well as any regulations promulgated pursuant thereto, including in 37 C.F.R. Part 401.</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each benefit plan, program, policy, practice, trust, fund, Contract, agreement or arrangement (whether or not an “employee benefit plan” within the meaning of Section 3(3) of ERISA), including any pension, profit-sharing, 401(k) retirement, bonus, incentive compensation, deferred compensation, loan, vacation, sick pay, employee stock ownership, stock purchase, stock option or other equity based compensation plans, severance, employment, Contractor, unemployment, death, hospitalization, sickness, or other medical, dental, vision, life, or other insurance, long- or short-term disability, change of control, fringe benefit, cafeteria plan or any other employee or fringe benefit plan, program, policy, practice, trust, fund, Contract, agreement or arrangement that provides benefits to current or former employees, directors, officers or independent contractors who are natural persons (or beneficiaries thereof).</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means the business of the Company Group as currently conducted by the Company Group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purposes of, and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“Business” means the business of the Company Group as conducted during the First Milestone Period and the Second Milestone Period, as applicable.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applicable Law to remain closed.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the Coronavirus Aid, Relief, and Economic Security Act of 2020, Pub. L. No. 116-136, 131 Stat. 281.</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Consideration</w:t>
      </w:r>
      <w:r>
        <w:rPr>
          <w:rFonts w:ascii="Arial" w:cs="Arial" w:eastAsia="Arial" w:hAnsi="Arial"/>
          <w:sz w:val="18"/>
          <w:szCs w:val="18"/>
          <w:color w:val="auto"/>
        </w:rPr>
        <w:t xml:space="preserve">” means: (i) $150,000,000 in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Closing Net Working Capital Surplus,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Closing Net Working Capital Shortfall,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amount of Closing Indebtedness,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aggregate amount of Transaction Expenses that have not been fully paid as of immediately prior to the Closing.</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Indebtedness</w:t>
      </w:r>
      <w:r>
        <w:rPr>
          <w:rFonts w:ascii="Arial" w:cs="Arial" w:eastAsia="Arial" w:hAnsi="Arial"/>
          <w:sz w:val="17"/>
          <w:szCs w:val="17"/>
          <w:color w:val="auto"/>
        </w:rPr>
        <w:t xml:space="preserve">” means the aggregate amount of all Indebtedness of the Company Group outstanding as of the Measurement Time (other than with respect to Taxes included in Indebtedness, which shall be calculated as of the end of the day on the Closing Date after giving effect to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calculation of Closing Indebtedness shall exclude: (i) in the event the Closing has not occurred within three months immediately following the Agreement Date, 100% of the portion of the Seller Debt attributable to the Company Group operations during the fourth through sixth months immediately following the Agreement Date, up to a maximum amount of $15,000,000 and (ii) in the event the Closing has not occurred within six months immediately following the Agreement Date, (A) the amounts excluded pursuant to clause (i) with respect to the fourth through the sixth months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with respect to each month during the period commencing with the seventh month immediately following the Agreement Date and ending at the Measurement Time, a portion of the Seller Debt attributable to the Company Group operations equal to 50% of the amount specified for the applicable month in the Pre-Closing Budget (clause (i) and (ii), collectively, the “</w:t>
      </w:r>
      <w:r>
        <w:rPr>
          <w:rFonts w:ascii="Arial" w:cs="Arial" w:eastAsia="Arial" w:hAnsi="Arial"/>
          <w:sz w:val="17"/>
          <w:szCs w:val="17"/>
          <w:b w:val="1"/>
          <w:bCs w:val="1"/>
          <w:i w:val="1"/>
          <w:iCs w:val="1"/>
          <w:color w:val="auto"/>
        </w:rPr>
        <w:t>Assumed Seller Debt</w:t>
      </w:r>
      <w:r>
        <w:rPr>
          <w:rFonts w:ascii="Arial" w:cs="Arial" w:eastAsia="Arial" w:hAnsi="Arial"/>
          <w:sz w:val="17"/>
          <w:szCs w:val="17"/>
          <w:color w:val="auto"/>
        </w:rPr>
        <w:t>”). For the elimination of doubt, any current or other portion of Indebtedness shall be included in Closing Indebtedness and not included in Company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Shortfall</w:t>
      </w:r>
      <w:r>
        <w:rPr>
          <w:rFonts w:ascii="Arial" w:cs="Arial" w:eastAsia="Arial" w:hAnsi="Arial"/>
          <w:sz w:val="18"/>
          <w:szCs w:val="18"/>
          <w:color w:val="auto"/>
        </w:rPr>
        <w:t>” means the amount, if any, by which the Closing Net Working Capital Target exceeds Company Net Working Capital.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Surplus</w:t>
      </w:r>
      <w:r>
        <w:rPr>
          <w:rFonts w:ascii="Arial" w:cs="Arial" w:eastAsia="Arial" w:hAnsi="Arial"/>
          <w:sz w:val="18"/>
          <w:szCs w:val="18"/>
          <w:color w:val="auto"/>
        </w:rPr>
        <w:t>” means the amount, if any, by which the Company Net Working Capital exceeds the Closing Net Working Capital Target.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Target</w:t>
      </w:r>
      <w:r>
        <w:rPr>
          <w:rFonts w:ascii="Arial" w:cs="Arial" w:eastAsia="Arial" w:hAnsi="Arial"/>
          <w:sz w:val="18"/>
          <w:szCs w:val="18"/>
          <w:color w:val="auto"/>
        </w:rPr>
        <w:t>” means $22,000,000.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Software</w:t>
      </w:r>
      <w:r>
        <w:rPr>
          <w:rFonts w:ascii="Arial" w:cs="Arial" w:eastAsia="Arial" w:hAnsi="Arial"/>
          <w:sz w:val="18"/>
          <w:szCs w:val="18"/>
          <w:color w:val="auto"/>
        </w:rPr>
        <w:t>” means any Software or Software as a service services that are commercially available and (i) are licensed or provided as a service to any member of the Company Group pursuant to a nonexclusive Software license or Software services agreement for a one-time or annual fee of $100,000 or less, (ii) are not material to the conduct of the Business by the Company Group and (iii) have not been modified or customized for any member of the Company Group.</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Data</w:t>
      </w:r>
      <w:r>
        <w:rPr>
          <w:rFonts w:ascii="Arial" w:cs="Arial" w:eastAsia="Arial" w:hAnsi="Arial"/>
          <w:sz w:val="18"/>
          <w:szCs w:val="18"/>
          <w:color w:val="auto"/>
        </w:rPr>
        <w:t>” means all data Processed in connection with the marketing, or use of any Company Product or the conduct of the Business, including Company-Licensed Data, Company-Owned Data and Personal Data.</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Data Agreement</w:t>
      </w:r>
      <w:r>
        <w:rPr>
          <w:rFonts w:ascii="Arial" w:cs="Arial" w:eastAsia="Arial" w:hAnsi="Arial"/>
          <w:sz w:val="18"/>
          <w:szCs w:val="18"/>
          <w:color w:val="auto"/>
        </w:rPr>
        <w:t>” means any Contract relating to or otherwise addressing the Processing of Company Data by or on behalf of the Company Group or otherwise in connection with the conduct of the Business (including Contracts with third parties relating to the Processing of Company Data) to which any member of the Company Group, Seller or its Affiliates is a party or by which they are bound, including the standard terms of service entered into by users of the Company Products (copies of which have been Delivered to Acquirer).</w:t>
      </w:r>
    </w:p>
    <w:p>
      <w:pPr>
        <w:spacing w:after="0" w:line="1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Company Databases</w:t>
      </w:r>
      <w:r>
        <w:rPr>
          <w:rFonts w:ascii="Arial" w:cs="Arial" w:eastAsia="Arial" w:hAnsi="Arial"/>
          <w:sz w:val="17"/>
          <w:szCs w:val="17"/>
          <w:color w:val="auto"/>
        </w:rPr>
        <w:t>” means each distinct electronic or other repository or database containing (in whole or in part) Company Data maintained by or</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member of the Company Group at any time, which for clarity contain more than 300,000 exomes and 2.1 million phenotypes.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Disclosure Schedules</w:t>
      </w:r>
      <w:r>
        <w:rPr>
          <w:rFonts w:ascii="Arial" w:cs="Arial" w:eastAsia="Arial" w:hAnsi="Arial"/>
          <w:sz w:val="18"/>
          <w:szCs w:val="18"/>
          <w:color w:val="auto"/>
        </w:rPr>
        <w:t>” means the Disclosure Schedules delivered by the Seller and the Company Parties to Acquirer in connection with the execution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w:t>
      </w:r>
      <w:r>
        <w:rPr>
          <w:rFonts w:ascii="Arial" w:cs="Arial" w:eastAsia="Arial" w:hAnsi="Arial"/>
          <w:sz w:val="18"/>
          <w:szCs w:val="18"/>
          <w:color w:val="auto"/>
        </w:rPr>
        <w:t>” means each current and former officer or employee of any member of the Company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of Seller and the Company Group), Section 3.2 (Subsidiaries),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(Title to and Sufficiency of Real and Tangible Properties and Assets),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w:t>
      </w:r>
      <w:r>
        <w:rPr>
          <w:rFonts w:ascii="Arial" w:cs="Arial" w:eastAsia="Arial" w:hAnsi="Arial"/>
          <w:sz w:val="18"/>
          <w:szCs w:val="18"/>
          <w:color w:val="auto"/>
        </w:rPr>
        <w:t xml:space="preserve"> (Sufficiency of Intangible Properties and Assets) and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(No Brokers).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(x) the Company and its Subsidiaries as of the Agreement Date and (y) immediately following consummation of the Pre-Closing Restructuring, Holdco2 and its direct subsidiary, GeneDx Delaware LLC, together with the Subsidiaries of GeneDx Delaware LLC immediately following the Pre-Closing Restructuring.</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w:t>
      </w:r>
      <w:r>
        <w:rPr>
          <w:rFonts w:ascii="Arial" w:cs="Arial" w:eastAsia="Arial" w:hAnsi="Arial"/>
          <w:sz w:val="18"/>
          <w:szCs w:val="18"/>
          <w:color w:val="auto"/>
        </w:rPr>
        <w:t>” means any Company Owned IP and any Company Licensed IP. “</w:t>
      </w:r>
      <w:r>
        <w:rPr>
          <w:rFonts w:ascii="Arial" w:cs="Arial" w:eastAsia="Arial" w:hAnsi="Arial"/>
          <w:sz w:val="18"/>
          <w:szCs w:val="18"/>
          <w:b w:val="1"/>
          <w:bCs w:val="1"/>
          <w:i w:val="1"/>
          <w:iCs w:val="1"/>
          <w:color w:val="auto"/>
        </w:rPr>
        <w:t>Company IP Contracts</w:t>
      </w:r>
      <w:r>
        <w:rPr>
          <w:rFonts w:ascii="Arial" w:cs="Arial" w:eastAsia="Arial" w:hAnsi="Arial"/>
          <w:sz w:val="18"/>
          <w:szCs w:val="18"/>
          <w:color w:val="auto"/>
        </w:rPr>
        <w:t>” means any and all Contracts concerning Intellectual Property to which any member of the Company Group is a party or beneficiary or by which any member of the Company Group, or any of its or their properties or assets, may be bound, including all (i) licenses of Intellectual Property by the Company Group to any third party, (ii) licenses of Intellectual Property by any third party to any member of the Company Group, (iii) other Contracts between any member of the Company Group and any third party relating to the transfer, development, maintenance or use of Intellectual Property and (iv) consents, settlements, and Orders governing the use, validity or enforceability of Intellectual Property.</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IT Assets</w:t>
      </w:r>
      <w:r>
        <w:rPr>
          <w:rFonts w:ascii="Arial" w:cs="Arial" w:eastAsia="Arial" w:hAnsi="Arial"/>
          <w:sz w:val="18"/>
          <w:szCs w:val="18"/>
          <w:color w:val="auto"/>
        </w:rPr>
        <w:t>” means any and all IT Assets used or held for use in connection with the operation of the Business that are owned or controlled by any member of the Company Group, Seller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Company-Licensed Data</w:t>
      </w:r>
      <w:r>
        <w:rPr>
          <w:rFonts w:ascii="Arial" w:cs="Arial" w:eastAsia="Arial" w:hAnsi="Arial"/>
          <w:sz w:val="18"/>
          <w:szCs w:val="18"/>
          <w:color w:val="auto"/>
        </w:rPr>
        <w:t>” means all data owned by third parties that are Processed by the Company Group or, otherwise, in connection with the marketing or use of any Company Product or the conduct of the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Licensed IP</w:t>
      </w:r>
      <w:r>
        <w:rPr>
          <w:rFonts w:ascii="Arial" w:cs="Arial" w:eastAsia="Arial" w:hAnsi="Arial"/>
          <w:sz w:val="18"/>
          <w:szCs w:val="18"/>
          <w:color w:val="auto"/>
        </w:rPr>
        <w:t>” means any Intellectual Property that is licensed to the Company Group from another Person, including for clarity any Intellectual Property in and to Company Products other than Company Owned IP.</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Net Working Capital</w:t>
      </w:r>
      <w:r>
        <w:rPr>
          <w:rFonts w:ascii="Arial" w:cs="Arial" w:eastAsia="Arial" w:hAnsi="Arial"/>
          <w:sz w:val="16"/>
          <w:szCs w:val="16"/>
          <w:color w:val="auto"/>
        </w:rPr>
        <w:t xml:space="preserve">” means, as of the Measurement Time: (i) the Company Group’s consolidated total current assets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the Company Group’s consolidated total current liabilities, in each case as specifically set forth in the Company Net Working Capital Schedule. For the elimination of doubt (A) the Company Group’s current assets shall exclude (I) accounts receivable that are aged longer than 150 days, (II) any deferred Tax assets and (III) any loans or indebtedness of the Company Group’s officers in favor of any member of the Company Group, (B) the Company Group’s current liabilities shall include, without duplication, all Liabilities for (I) accounts payable, (II) accrued expenses, (III) vacation and paid time off accrued by or for the Company Employees (iii) deferred revenue and customer deposits, and (iv) local non-income taxes payable and (C) the Company Group’s current assets and liabilities shall exclude all (I) operating lease assets and liabilities (including tenant improvement assets), (II) current income tax assets and liabilities (including current income tax assets, income tax receivable or recoverable, income taxes payable, valuation allowance for current income taxes), and (III) intercompany receivables and liabilities. For the avoidance of doubt, Company Net Working Capital shall exclude (x) all Liabilities for Transaction Expenses that are incurred but unpaid as of the Closing, (y) any Closing Indebtedness and (z) any Seller Debt. An example calculation of Company Net Working Capital as of November 30, 2021 is included in the Company Net Working Capital Schedule.</w:t>
      </w:r>
    </w:p>
    <w:p>
      <w:pPr>
        <w:spacing w:after="0" w:line="11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Net Working Capital Schedule</w:t>
      </w:r>
      <w:r>
        <w:rPr>
          <w:rFonts w:ascii="Arial" w:cs="Arial" w:eastAsia="Arial" w:hAnsi="Arial"/>
          <w:sz w:val="18"/>
          <w:szCs w:val="18"/>
          <w:color w:val="auto"/>
        </w:rPr>
        <w:t xml:space="preserve">” means the example calculation, for illustrative purposes only, of Company Net Working Capital as of November 30, 2021 contained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Company-Owned Data</w:t>
      </w:r>
      <w:r>
        <w:rPr>
          <w:rFonts w:ascii="Arial" w:cs="Arial" w:eastAsia="Arial" w:hAnsi="Arial"/>
          <w:sz w:val="18"/>
          <w:szCs w:val="18"/>
          <w:color w:val="auto"/>
        </w:rPr>
        <w:t>” means each element of data Processed that (a) is used or held for use in the Business that is not Personal Data or Company-Licensed Data and (b) the Company Group owns or purports to own.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Owned IP</w:t>
      </w:r>
      <w:r>
        <w:rPr>
          <w:rFonts w:ascii="Arial" w:cs="Arial" w:eastAsia="Arial" w:hAnsi="Arial"/>
          <w:sz w:val="18"/>
          <w:szCs w:val="18"/>
          <w:color w:val="auto"/>
        </w:rPr>
        <w:t>” means any Intellectual Property in which any member of the Company Group has or purports to have an ownership interest (whether solely or jointly with one or more other persons).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Parties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Company Party</w:t>
      </w:r>
      <w:r>
        <w:rPr>
          <w:rFonts w:ascii="Arial" w:cs="Arial" w:eastAsia="Arial" w:hAnsi="Arial"/>
          <w:sz w:val="16"/>
          <w:szCs w:val="16"/>
          <w:color w:val="auto"/>
        </w:rPr>
        <w:t>”) means (i) the Company and Holdco2 as of the Agreement Date until immediately prior to consummation of the Pre-Closing Restructuring and (ii) Holdco2 and GeneDx Delaware LLC following consummation of the Pre-Closing Restructuring.</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Privacy Commitments</w:t>
      </w:r>
      <w:r>
        <w:rPr>
          <w:rFonts w:ascii="Arial" w:cs="Arial" w:eastAsia="Arial" w:hAnsi="Arial"/>
          <w:sz w:val="18"/>
          <w:szCs w:val="18"/>
          <w:color w:val="auto"/>
        </w:rPr>
        <w:t>” means, collectively: (A) the Company Group’s obligations under the Company Privacy Policies, (B) providing adequate notice and obtaining any necessary consents from end users and other natural Persons, as applicable required for the Processing of Personal Data as conducted by or for the Company Group, (C) any notices, consents, authorizations and privacy choices (including opt-in and opt-out preferences, as required) of end users and other natural Persons relating to Personal Data and (D) industry self-regulatory principles and codes of conduct applicable to the protection or Processing of Personal Data, biometrics, internet of things, direct marketing, e-mails, text messages, robocalls, telemarketing or other electronic communications (including the Payment Card Industry Data Security Standards) to which any member of the Company Group is bound or otherwise represents compliance.</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Privacy Policies</w:t>
      </w:r>
      <w:r>
        <w:rPr>
          <w:rFonts w:ascii="Arial" w:cs="Arial" w:eastAsia="Arial" w:hAnsi="Arial"/>
          <w:sz w:val="18"/>
          <w:szCs w:val="18"/>
          <w:color w:val="auto"/>
        </w:rPr>
        <w:t>” means, collectively, any and all (A) of the Company Group’s currently applicable data privacy and security policies, procedures, and notices, whether applicable internally, or published on Company Websites or otherwise made available by the Company Group to any Person, and (B) public representations (including representations on Company Websites), made by or on behalf of the Company Group with regard to Personal Data.</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xml:space="preserve">” means any product or service currently produced, marketed, licensed, sold, distributed or performed by the Company Group and any product or service that is being researched or under development for use in the Business, including those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 xml:space="preserve"> of the Company Disclosure Schedule.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Software</w:t>
      </w:r>
      <w:r>
        <w:rPr>
          <w:rFonts w:ascii="Arial" w:cs="Arial" w:eastAsia="Arial" w:hAnsi="Arial"/>
          <w:sz w:val="18"/>
          <w:szCs w:val="18"/>
          <w:color w:val="auto"/>
        </w:rPr>
        <w:t>” means all Software used or held for use in connection with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Websites</w:t>
      </w:r>
      <w:r>
        <w:rPr>
          <w:rFonts w:ascii="Arial" w:cs="Arial" w:eastAsia="Arial" w:hAnsi="Arial"/>
          <w:sz w:val="18"/>
          <w:szCs w:val="18"/>
          <w:color w:val="auto"/>
        </w:rPr>
        <w:t>” means all websites owned, operated or hosted by the Company Group or through which the Company Group conducts the Business, and the underlying platforms for such websites.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letter agreement between Seller, the Company and Acquirer, dated October 12, 2021.</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means any required consent, waiver or approval of a third party for the consummation of the Transactions or to the Transfer, or amendment of a Contract.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Employees</w:t>
      </w:r>
      <w:r>
        <w:rPr>
          <w:rFonts w:ascii="Arial" w:cs="Arial" w:eastAsia="Arial" w:hAnsi="Arial"/>
          <w:sz w:val="18"/>
          <w:szCs w:val="18"/>
          <w:color w:val="auto"/>
        </w:rPr>
        <w:t>” means all employees of any member of the Company Group immediately prior to the Effective Time.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agreement, understanding, contract, note, bond, deed, mortgage, lease, sublease, license, sublicense or instrument that is legally binding, whether written or oral.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Group Liability</w:t>
      </w:r>
      <w:r>
        <w:rPr>
          <w:rFonts w:ascii="Arial" w:cs="Arial" w:eastAsia="Arial" w:hAnsi="Arial"/>
          <w:sz w:val="18"/>
          <w:szCs w:val="18"/>
          <w:color w:val="auto"/>
        </w:rPr>
        <w:t>” means any and all Liabilities (a) under Title IV of ERISA, (b) under Section 302 of ERISA, (c) under Section 412 and 4971 of the Code, and (d) as a result of a failure to comply with the continuation coverage requirements of Section 601 et seq. of ERISA and Section 4980B of the Code, other than such Liabilities that arise solely out of, or relate to, Company Benefit Plans.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 means all copyrights, whether in published or unpublished works; databases, data collections and rights therein, mask work rights, Software, web site content; rights to compilations, collective works and derivative works of any of the foregoing and moral rights in any of the foregoing; registrations and applications for registration for any of the foregoing and any renewals or extensions thereof.</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the novel coronavirus known as SARS-CoV-2 or COVID-19, and variant thereof.</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Response</w:t>
      </w:r>
      <w:r>
        <w:rPr>
          <w:rFonts w:ascii="Arial" w:cs="Arial" w:eastAsia="Arial" w:hAnsi="Arial"/>
          <w:sz w:val="18"/>
          <w:szCs w:val="18"/>
          <w:color w:val="auto"/>
        </w:rPr>
        <w:t>” means any quarantine, travel restriction, “stay-at-home” orders, social distancing measures or other safety measures, workforce reductions, workplace or worksite shutdowns or slowdowns, factory closures, “shelter in place”, “stay at home”, workforce reduction sequester safety or similar Law, directive or guidelines promulgated by any applicable Governmental Authority or other measures initiated to the extent reasonably necessary to, respond to, or mitigate the effects of, the COVID-19 pandemic, as recommended by any applicable Governmental Authority, including the Centers for Disease Control and Prevention or the World Health Organization, in each case, in connection with or in response to COVID-19, including the Coronavirus Aid, Relief and Economic Security Act, as may be amended, or the Families First Coronavirus Response Act, as may be amended or any other applicable Law.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Data Room</w:t>
      </w:r>
      <w:r>
        <w:rPr>
          <w:rFonts w:ascii="Arial" w:cs="Arial" w:eastAsia="Arial" w:hAnsi="Arial"/>
          <w:sz w:val="17"/>
          <w:szCs w:val="17"/>
          <w:color w:val="auto"/>
        </w:rPr>
        <w:t>” means the virtual data room for the Transactions hosted at securevdr.com, to which Acquirer and its Representatives have access.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(i) any actual breach, violation or default, (ii) the existence of circumstances or the occurrence of an event that, with the passage of time or the giving of notice or both, would constitute a breach, violation or default or (iii) the existence of circumstances or the occurrence of an event that, with or without the passage of time or the giving of notice or both, would give rise to a right of cancellation, termination, modification renegotiation or acceleration.</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Deliver</w:t>
      </w:r>
      <w:r>
        <w:rPr>
          <w:rFonts w:ascii="Arial" w:cs="Arial" w:eastAsia="Arial" w:hAnsi="Arial"/>
          <w:sz w:val="16"/>
          <w:szCs w:val="16"/>
          <w:color w:val="auto"/>
        </w:rPr>
        <w:t>” means (i) providing to Acquirer a copy of any item required to be delivered to Acquirer directly or (ii) including any such item in the Data Room, in each case (clauses (i) and (ii)), not less than one Business Day prior to the Agreement Date (except if a particular date of Delivery is specified).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Detect Genomix</w:t>
      </w:r>
      <w:r>
        <w:rPr>
          <w:rFonts w:ascii="Arial" w:cs="Arial" w:eastAsia="Arial" w:hAnsi="Arial"/>
          <w:sz w:val="18"/>
          <w:szCs w:val="18"/>
          <w:color w:val="auto"/>
        </w:rPr>
        <w:t>” shall mean Detect Genomix, LLC, a Florida limited liability company, with principal office at 1301 Concord Terrace, Sunrise, Florida 33323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means any dispute, controversy or claim (of any and every kind or type, whether based on contract, tort, statute, regulation, or otherwise) arising out of, relating to, or in connection with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negotiation, execution or performance of this Agreement (including any such dispute, controversy or claim based upon, arising out of or related to any representation or warranty made in or in connection with this Agreement or as an inducement to enter into this Agreement) or the Transactions, including any dispute as to the construction, validity, interpretation, enforceability or breach of this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Domain Names</w:t>
      </w:r>
      <w:r>
        <w:rPr>
          <w:rFonts w:ascii="Arial" w:cs="Arial" w:eastAsia="Arial" w:hAnsi="Arial"/>
          <w:sz w:val="18"/>
          <w:szCs w:val="18"/>
          <w:color w:val="auto"/>
        </w:rPr>
        <w:t>” means Internet electronic addresses, uniform resource locators and alphanumeric designations associated therewith registered with or assigned by any domain name registrar, domain name registry or other domain name registration authority as part of an electronic address on the Internet and all applications for any of the foregoing.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EMA</w:t>
      </w:r>
      <w:r>
        <w:rPr>
          <w:rFonts w:ascii="Arial" w:cs="Arial" w:eastAsia="Arial" w:hAnsi="Arial"/>
          <w:sz w:val="18"/>
          <w:szCs w:val="18"/>
          <w:color w:val="auto"/>
        </w:rPr>
        <w:t>” means the European Medicines Agency and any successor agency(ies) or authority having substantially the same function.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charge, claim, mortgage, lien, option, pledge, security interest, right of first refusal, easement, deed of trust or encumbrance.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w:t>
      </w:r>
      <w:r>
        <w:rPr>
          <w:rFonts w:ascii="Arial" w:cs="Arial" w:eastAsia="Arial" w:hAnsi="Arial"/>
          <w:sz w:val="16"/>
          <w:szCs w:val="16"/>
          <w:color w:val="auto"/>
        </w:rPr>
        <w:t>” means all applicable Laws which relate to pollution, the environment, natural resources or human health and safety, including any Laws which relate to (i) the protection, preservation or restoration of the environment (including air, water vapor,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Person which is (or at any relevant time was or will be) a member of a “controlled group of corporations” with, under “common control” with, or a member of an “affiliate service group” with the Company Group as such terms are defined in Sections 414(b), (c), (m) or (o) of the Code.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Account</w:t>
      </w:r>
      <w:r>
        <w:rPr>
          <w:rFonts w:ascii="Arial" w:cs="Arial" w:eastAsia="Arial" w:hAnsi="Arial"/>
          <w:sz w:val="18"/>
          <w:szCs w:val="18"/>
          <w:color w:val="auto"/>
        </w:rPr>
        <w:t>” means the escrow account established by the Escrow Agent to hold the Escrow Amount in trust.</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Amount</w:t>
      </w:r>
      <w:r>
        <w:rPr>
          <w:rFonts w:ascii="Arial" w:cs="Arial" w:eastAsia="Arial" w:hAnsi="Arial"/>
          <w:sz w:val="18"/>
          <w:szCs w:val="18"/>
          <w:color w:val="auto"/>
        </w:rPr>
        <w:t>” means $13,470,000 in cash and 8,314,815 shares of Acquirer Stock. “</w:t>
      </w:r>
      <w:r>
        <w:rPr>
          <w:rFonts w:ascii="Arial" w:cs="Arial" w:eastAsia="Arial" w:hAnsi="Arial"/>
          <w:sz w:val="18"/>
          <w:szCs w:val="18"/>
          <w:b w:val="1"/>
          <w:bCs w:val="1"/>
          <w:i w:val="1"/>
          <w:iCs w:val="1"/>
          <w:color w:val="auto"/>
        </w:rPr>
        <w:t>Escrow Expiration Date</w:t>
      </w:r>
      <w:r>
        <w:rPr>
          <w:rFonts w:ascii="Arial" w:cs="Arial" w:eastAsia="Arial" w:hAnsi="Arial"/>
          <w:sz w:val="18"/>
          <w:szCs w:val="18"/>
          <w:color w:val="auto"/>
        </w:rPr>
        <w:t>” shall mean the 12-month anniversary of the Closing Date. “</w:t>
      </w:r>
      <w:r>
        <w:rPr>
          <w:rFonts w:ascii="Arial" w:cs="Arial" w:eastAsia="Arial" w:hAnsi="Arial"/>
          <w:sz w:val="18"/>
          <w:szCs w:val="18"/>
          <w:b w:val="1"/>
          <w:bCs w:val="1"/>
          <w:i w:val="1"/>
          <w:iCs w:val="1"/>
          <w:color w:val="auto"/>
        </w:rPr>
        <w:t>Estimated Cash Consideration</w:t>
      </w:r>
      <w:r>
        <w:rPr>
          <w:rFonts w:ascii="Arial" w:cs="Arial" w:eastAsia="Arial" w:hAnsi="Arial"/>
          <w:sz w:val="18"/>
          <w:szCs w:val="18"/>
          <w:color w:val="auto"/>
        </w:rPr>
        <w:t>” means the Company’s good faith estimate of the Cash Consideration set forth in the Estimated Closing Statement.</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Estimated Closing Statement</w:t>
      </w:r>
      <w:r>
        <w:rPr>
          <w:rFonts w:ascii="Arial" w:cs="Arial" w:eastAsia="Arial" w:hAnsi="Arial"/>
          <w:sz w:val="17"/>
          <w:szCs w:val="17"/>
          <w:color w:val="auto"/>
        </w:rPr>
        <w:t>” means a statement, setting forth, Seller’s and the Company Parties’ good faith estimates of: (a) the Company Net Working Capital (including (i) the Company Group’s balance sheet as of the Closing Date prepared in accordance with the Accounting Standards, (ii) an itemized list of the Company Group’s consolidated total current assets (in each case as set forth in the Company Net Working Capital Schedule), (iii) an itemized list of the Company Group’s consolidated total current liabilities (in each case as set forth in the Company Net Working Capital Schedule) and (iv) the calculation of the Closing Net Working Capital Shortfall or Closing Net Working Capital Surplus, as applicable); (b) the amount of the Closing Indebtedness (including an itemized list of each item of Company Indebtedness with a description of the nature of such Company Indebtedness and the Person to whom such Company Indebtedness is owed) and the aggregate amount of Seller Debt (including itemized detail reflecting the amount attributable to each month of Company Group operations during the Pre-Closing Period); (c) unpaid Transaction Expenses (including an itemized list of each Transaction Expense with a description of the nature of such expense and the Person to whom such expense is owed); and (d) based on such amounts, the calculation of the Cash Consideration.</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European Union</w:t>
      </w:r>
      <w:r>
        <w:rPr>
          <w:rFonts w:ascii="Arial" w:cs="Arial" w:eastAsia="Arial" w:hAnsi="Arial"/>
          <w:sz w:val="18"/>
          <w:szCs w:val="18"/>
          <w:color w:val="auto"/>
        </w:rPr>
        <w:t>” means the economic, scientific and political organization of member states as it may be constituted from time to time, which as of the Agreement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means the United States Foreign Corrupt Practices Act.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and any successor agency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FDCA</w:t>
      </w:r>
      <w:r>
        <w:rPr>
          <w:rFonts w:ascii="Arial" w:cs="Arial" w:eastAsia="Arial" w:hAnsi="Arial"/>
          <w:sz w:val="18"/>
          <w:szCs w:val="18"/>
          <w:color w:val="auto"/>
        </w:rPr>
        <w:t>” means the United States Federal Food, Drug, and Cosmetic Act, 21 U.S.C. § 301 et seq.</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w:t>
      </w:r>
      <w:r>
        <w:rPr>
          <w:rFonts w:ascii="Arial" w:cs="Arial" w:eastAsia="Arial" w:hAnsi="Arial"/>
          <w:sz w:val="18"/>
          <w:szCs w:val="18"/>
          <w:color w:val="auto"/>
        </w:rPr>
        <w:t>” means common law fraud with the element of scienter, as interpreted under the Laws of the State of Delaware and, for the avoidance of doubt, excluding claims based on negligence or recklessness.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Fundamental Representations</w:t>
      </w:r>
      <w:r>
        <w:rPr>
          <w:rFonts w:ascii="Arial" w:cs="Arial" w:eastAsia="Arial" w:hAnsi="Arial"/>
          <w:sz w:val="16"/>
          <w:szCs w:val="16"/>
          <w:color w:val="auto"/>
        </w:rPr>
        <w:t>” means the Acquirer Fundamental Representations and the Company Fundamental Representations, as applicable.</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Governing Documents</w:t>
      </w:r>
      <w:r>
        <w:rPr>
          <w:rFonts w:ascii="Arial" w:cs="Arial" w:eastAsia="Arial" w:hAnsi="Arial"/>
          <w:sz w:val="16"/>
          <w:szCs w:val="16"/>
          <w:color w:val="auto"/>
        </w:rPr>
        <w:t>” means the legal document(s) by which any Person (other than an individual) establishes its legal existence or other organizational documents of such Person. For example, the “Governing Documents” of a corporation are its certificate or articles of incorporation and by-laws and the “Governing Documents” of a limited liability company are its operating or limited liability company agreement and certificate of formation.</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international, multinational, supra-national, federal, state, local, municipal, foreign or other government, agency or authority; (c) governmental or quasi-governmental authority of any nature (including any governmental division, department, agency, commission, securities exchange or instrumentality and any court or other tribunal) or (d) any bureau, instrumentality or commission or any court, tribunal, judicial or arbitral body, industry or trade or private body exercising any regulatory or quasi regulatory power or authority, including the FDA, European Commission and EMA, and any Institutional Review Board or Ethics Committee.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Program</w:t>
      </w:r>
      <w:r>
        <w:rPr>
          <w:rFonts w:ascii="Arial" w:cs="Arial" w:eastAsia="Arial" w:hAnsi="Arial"/>
          <w:sz w:val="18"/>
          <w:szCs w:val="18"/>
          <w:color w:val="auto"/>
        </w:rPr>
        <w:t>” means all “federal health care programs” (as defined by 42</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U.S.C. § 1320a–7b(f)), including Medicare, Medicaid, TRICARE, Maternal and Child Health Service Block Grant, Children’s Health Insurance Program, and any other similar or successor federal, state or local healthcare payment programs with, or sponsored in whole or in part by, any Governmental Authority or any agent or contractor of a Governmental Authority.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Substances</w:t>
      </w:r>
      <w:r>
        <w:rPr>
          <w:rFonts w:ascii="Arial" w:cs="Arial" w:eastAsia="Arial" w:hAnsi="Arial"/>
          <w:sz w:val="16"/>
          <w:szCs w:val="16"/>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Health Care Laws</w:t>
      </w:r>
      <w:r>
        <w:rPr>
          <w:rFonts w:ascii="Arial" w:cs="Arial" w:eastAsia="Arial" w:hAnsi="Arial"/>
          <w:sz w:val="16"/>
          <w:szCs w:val="16"/>
          <w:color w:val="auto"/>
        </w:rPr>
        <w:t>” means any applicable Law regarding health care products and services applicable to the Company Group or Company Products, including any applicable Law the purpose of which is to ensure the safety, efficacy and quality of genetic testing and diagnostic and similar products by regulating the research, development, manufacturing and distribution of such products, including applicable Law relating to CLIA requirements, record keeping and filing of required reports, and relating to promotion and sales of health care products to providers and facilities that bill or submit claims under government healthcare programs, including (i) CLIA, the PHSA, and applicable FDA Emergency Use Authorization (“</w:t>
      </w:r>
      <w:r>
        <w:rPr>
          <w:rFonts w:ascii="Arial" w:cs="Arial" w:eastAsia="Arial" w:hAnsi="Arial"/>
          <w:sz w:val="16"/>
          <w:szCs w:val="16"/>
          <w:b w:val="1"/>
          <w:bCs w:val="1"/>
          <w:i w:val="1"/>
          <w:iCs w:val="1"/>
          <w:color w:val="auto"/>
        </w:rPr>
        <w:t>EUA</w:t>
      </w:r>
      <w:r>
        <w:rPr>
          <w:rFonts w:ascii="Arial" w:cs="Arial" w:eastAsia="Arial" w:hAnsi="Arial"/>
          <w:sz w:val="16"/>
          <w:szCs w:val="16"/>
          <w:color w:val="auto"/>
        </w:rPr>
        <w:t>” ) requirements(ii) the federal Anti-kickback Statute (42 U.S.C. § 1320a-7b(b)); the Anti-Inducement Law (42 U.S.C. § 1320a-7a(a)(5)); the Stark Law (42 U.S.C. §1395nn et seq); the civil False Claims Act (31 U.S.C. §§ 3729 et seq.); the administrative False Claims Law (42 U.S.C. § 1320a- 7b(a)); the Exclusion Laws and the Civil Monetary Penalties Law (42 U.S.C. § 1320a-7 and 1320a-7a); the Medicare statute (Title XVIII of the Social Security Act), including Social Security Act</w:t>
      </w:r>
    </w:p>
    <w:p>
      <w:pPr>
        <w:spacing w:after="0" w:line="1" w:lineRule="exact"/>
        <w:rPr>
          <w:sz w:val="20"/>
          <w:szCs w:val="20"/>
          <w:color w:val="auto"/>
        </w:rPr>
      </w:pPr>
    </w:p>
    <w:p>
      <w:pPr>
        <w:jc w:val="both"/>
        <w:ind w:firstLine="8"/>
        <w:spacing w:after="0" w:line="255" w:lineRule="auto"/>
        <w:tabs>
          <w:tab w:leader="none" w:pos="24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1860D-1 to 1860D-43 (relating to Medicare Part D and the Medicare Part D Coverage Gap Program); the Medicaid statute (Title XIX of the Social Security Act); the Physician Payments Sunshine Act (42 U.S.C. § 1320a- 7h), and any other similar applicable Law, whether of the United States or any other applicable jurisdiction, (iii) the Clinical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Improvement Amendments of 1988, (iv) the Program Fraud Civil Remedies Act (31 U.S.C. §§ 3801-3812), (v) the Prohibition on Inducement of Beneficiaries Statute (42 U.S.C. § 1320a-7a(a)(5)), (vi) the Federal Health Care Fraud Law (18 U.S.C. § 1347), (vii) the Health Insurance Portability and Accountability Act of 1996, as amended by the Health Information Technology for Economic and Clinical Health Act of 2009 (codified at 42 U.S.C. § 300gg and 29 U.S.C. § 1181 et seq. and 42 USC 1320d et seq.), (viii) Medicare (Title XVIII of the Social Security Act), (ix) Medicaid (Title XIX of the Social Security Act) and (x) all applicable state privacy and confidentiality laws, and state laws, including those related to insurance, balance billing, out-of-network services and the waiver of deductibles, copayments or cost-sharing.</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Holdco2 Common Stock</w:t>
      </w:r>
      <w:r>
        <w:rPr>
          <w:rFonts w:ascii="Arial" w:cs="Arial" w:eastAsia="Arial" w:hAnsi="Arial"/>
          <w:sz w:val="18"/>
          <w:szCs w:val="18"/>
          <w:color w:val="auto"/>
        </w:rPr>
        <w:t>” means the common stock, par value $0.0001 per share, of Holdco2.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(without duplication), as to any Person: (a) all obligations for the payment of principal, interest, penalties, fees or other Liabilities for borrowed money (including notes payable), incurred or assumed (including pursuant to the Paycheck Protection Program of the CARES Act to the extent not forgiven or subject to forgiveness under the CARES Act), including in the case of the Company Group, the Seller Debt, (b) all obligations for the deferred purchase price of property or services including pursuant to any earn-out or similar obligation (other than current trade payables or short-term accruals incurred in the Ordinary Course of Business), (c) any obligations for amounts drawn under any letter of credit, surety bond, debenture, promissory note, performance bond or other similar instrument, (d) all obligations as lessee under leases that are required to be recorded as capital or finance leases under the Accounting Standards (including leases excluded from the balance sheet due to duration of term), (e) (i) all obligations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and (ii) all indebtedness of Third Parties secured by an Encumbrance on any asset or property owned or acquired by such Person (if recourse for such security interest is limited to such asset or property, in an amount equal to the lesser of (x) such indebtedness and (y) the fair market value of such asset or property), (f) any obligation that is required to be reflected as debt on the balance sheet of such Person under the Accounting Standards, (g) all obligations in respect of interest rate and currency swaps, protection agreements, hedges, caps or collar agreements or similar arrangements either generally or under specific contingencies, (h) all obligations in respect of deferred compensation or unfunded or underfunded pension obligations, including any Controlled Group Liability, but excluding accrued but unpaid 401(k) plan employer match contributions under the Seller 401(k) Plan for the portion of the plan year ending on the Closing Date (the “</w:t>
      </w:r>
      <w:r>
        <w:rPr>
          <w:rFonts w:ascii="Arial" w:cs="Arial" w:eastAsia="Arial" w:hAnsi="Arial"/>
          <w:sz w:val="16"/>
          <w:szCs w:val="16"/>
          <w:b w:val="1"/>
          <w:bCs w:val="1"/>
          <w:i w:val="1"/>
          <w:iCs w:val="1"/>
          <w:color w:val="auto"/>
        </w:rPr>
        <w:t>Accrued 2022 401(k) Match</w:t>
      </w:r>
      <w:r>
        <w:rPr>
          <w:rFonts w:ascii="Arial" w:cs="Arial" w:eastAsia="Arial" w:hAnsi="Arial"/>
          <w:sz w:val="16"/>
          <w:szCs w:val="16"/>
          <w:color w:val="auto"/>
        </w:rPr>
        <w:t>” ) (i) any unpaid executive sign-on bonuses or bonuses related to COVID-19, unpaid discretionary annual bonuses for the period ending December 31, 2021 as determined in Seller’s sole discretion and unpaid pro-rated discretionary annual bonuses for the year-ended December 31, 2022 based on actual performance through the Closing Date) (and the employer portion of any payroll Taxes of such member of the Company Group or Acquirer arising from the payment of any such bonuses or payments), (j) any Repayment Obligations, (k) any Pre- Closing Taxes and any other Liabilities of the Company Group for Taxes as of the Closing, whether or not such Liabilities for Taxes would then be due and payable (including, for the avoidance of doubt, employer payroll taxes or other Taxes arising in connection with any payment required pursuant to, or arising as a result of, this Agreement or the Transactions, and including any such taxes that have been deferred pursuant to the CARES Act, and taking into account Transaction Tax Deductions to the extent permitted by applicable Law on a “more likely than not” basis), and (l) all indebtedness of others referred to in clauses (a) through (l) above guaranteed directly or indirectly in any manner by such Person.</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all worldwide intellectual property or industrial property rights protected, created, arising under or recognized by any Laws or Governmental Authority, including (i) Patents; (ii) Trademarks; (iii) Copyrights; (iv) Trade Secrets; (v) all rights to sue and recover damages for past, present and future infringement, misappropriation, dilution or other violation of any of the foregoing;, and (vi) all other rights similar or pertaining to any of the foregoing in anywhere in the world.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IT Assets</w:t>
      </w:r>
      <w:r>
        <w:rPr>
          <w:rFonts w:ascii="Arial" w:cs="Arial" w:eastAsia="Arial" w:hAnsi="Arial"/>
          <w:sz w:val="16"/>
          <w:szCs w:val="16"/>
          <w:color w:val="auto"/>
        </w:rPr>
        <w:t>” means Software, databases, systems, servers, computers, hardware, firmware, middleware, storage media (e.g., backup tapes), networks, data communications lines, routers, hubs, switches, network devices and all other information technology equipment, and all associated documentation.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means Katherine Stueland, Kevin Feeley and Jennifer Brendel.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(i) with respect to the Company, the actual knowledge of the persons listed in Section 1.1 of the Company Disclosure Schedules, including such knowledge that would be acquired by such persons through their reasonable inquiry and (ii) with respect to Acquirer, the actual knowledge of the persons listed on Section 1.1 of the Acquirer Disclosure Schedules, including such knowledge that would be acquired by such persons through their reasonable inquiry.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federal, state, local or other domestic or foreign law (including common law), statute, ordinance, rule, regulation, Order, writ, or other requirement issued, enacted, adopted, promulgated, implemented or otherwise put into effect by or under the authority of any Governmental Authority.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any direct or indirect liability, indebtedness, obligation, commitment, expense, claim, deficiency, guaranty or endorsement of or by any Person of any type, known or unknown, and whether accrued, absolute, contingent, matured, unmatured or other.</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any event, change, condition, circumstance, effect, development, occurrence or state of facts (“</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xml:space="preserve">”) that, individually or in the aggregate with all other Effects, has, or would reasonably be expected to have, a material adverse effect on (i) the condition (financial or otherwise), business, results of operations or assets of the Company Group (taken as a whole) or (ii) the ability of Seller or the Company Parties to perform their respective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Law or Accounting Standards (or, in each case, any interpretation thereof) after the Closing Date, (C) earthquakes, hostilities, acts of war, sabotage or terrorism or military actions, epidemic, public health event or pandemic (including COVID-19 and any worsening thereof (including any COVID-19 Response)), (D) any actions required under this Agreement or otherwise negotiated separately to obtain any approval or authorization under applicable antitrust or competition Laws for the consummation of the transactions contemplated hereby, (E) the announcement or pendency of this Agreement and the consummation of the transactions contemplated hereby (including the effects of such announcement and pendency on relationships with customers, suppliers, Governmental Authorities, employees or other third-party relationships), (F) any actions taken (or omitted to be taken) by or at the written request of the Acquirer or as required by this Agreement, or (G) any failure, in and of itself, of the Company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(A), (B) and (C), to the extent such conditions, changes or events disproportionately affect the Company Group relative to similarly situated industry participants (in which case the incremental disproportionate impact or impacts may be taken into account in determining whether there has been a Material Adverse Effect).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Time</w:t>
      </w:r>
      <w:r>
        <w:rPr>
          <w:rFonts w:ascii="Arial" w:cs="Arial" w:eastAsia="Arial" w:hAnsi="Arial"/>
          <w:sz w:val="18"/>
          <w:szCs w:val="18"/>
          <w:color w:val="auto"/>
        </w:rPr>
        <w:t>” means 11:59 p.m., Eastern Time, on the date immediately preceding the Closing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means the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Stock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Most Recent Balance Sheet</w:t>
      </w:r>
      <w:r>
        <w:rPr>
          <w:rFonts w:ascii="Arial" w:cs="Arial" w:eastAsia="Arial" w:hAnsi="Arial"/>
          <w:sz w:val="18"/>
          <w:szCs w:val="18"/>
          <w:color w:val="auto"/>
        </w:rPr>
        <w:t>” means the balance sheet of the Company as of September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Global Select Market.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writ, judgment, injunction, determination, consent, order, decree, stipulation, award or executive order of or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the ordinary course of business of the Company Group, consistent with past practice.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OPKO Health Inc., a Delaware corporation.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Group</w:t>
      </w:r>
      <w:r>
        <w:rPr>
          <w:rFonts w:ascii="Arial" w:cs="Arial" w:eastAsia="Arial" w:hAnsi="Arial"/>
          <w:sz w:val="18"/>
          <w:szCs w:val="18"/>
          <w:color w:val="auto"/>
        </w:rPr>
        <w:t>” means any consolidated, combined, unitary or other aggregate group of entities for Tax purposes (including Code Section 1504 and similar provisions of state and local Laws) in which Parent is the common parent entity.</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means any and all patents, industrial and utility models, industrial designs, petty patents, design patents, patents of importation, patents of addition, certificates of invention, and other indicia of invention ownership issued or granted by any Governmental Authority; applications for any of the foregoing, including provisional, utility, design, priority, divisional, and continuation (in whole or in part) applications, and all other pre-grant forms of any of the foregoing; extensions, reissues, re- examinations, renewals, or other post-grant forms of any of the foregoing; equivalent or similar rights in inventions and discoveries anywhere in the world; counterparts of any of the foregoing anywhere in the world; and other forms of government issued rights substantially similar to any of the foregoing.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Payor Parties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Payor Party</w:t>
      </w:r>
      <w:r>
        <w:rPr>
          <w:rFonts w:ascii="Arial" w:cs="Arial" w:eastAsia="Arial" w:hAnsi="Arial"/>
          <w:sz w:val="18"/>
          <w:szCs w:val="18"/>
          <w:color w:val="auto"/>
        </w:rPr>
        <w:t>”) means any payors administering Governmental Program benefits or any other healthcare service plan, any health maintenance organizations, any health insurers and any other private and commercial payors.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means all licenses and operating licenses, permits, concessions, franchises, approvals, clearances, registrations, certificates, rights, grants, exceptions, exemptions, qualifications, privileges, exemptions, authorizations (including marketing and testing authorizations), easements, variances, permissions, consents or Orders of, any Governmental Authority, including any marketing authorizations, and any approvals or filings relating to any pre-clinical or clinical development, together with all applications therefor and all renewals, extensions, or modifications thereof and additions thereto.</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(i) Encumbrances for Taxes not yet due and payable and that are reserved for in full on the Most Recent Balance Sheet in accordance with the Accounting Standards, (ii) statutory, mechanics’, laborers’ and materialmen liens arising in the Ordinary Course of Business for sums not yet due and payable and not otherwise in default (or for which the validity or amount of which is being contested in good faith), (iii) zoning, entitlement, conservation restriction and other land use and environmental regulations promulgated by Governmental Authorities, (iv) Encumbrances granted to any lender at the Closing in connection with any financing by the Acquirer, (v) any right, interest, lien, title or other Encumbrance of a lessor or sublessor under any lease or other similar agreement or in the property (other than Intellectual Property) being leased, (vi) restrictions on the transfer of securities arising under federal and state securities laws, (viii) non-exclusive licenses of Intellectual Property granted in the Ordinary Course of Business</w:t>
      </w:r>
    </w:p>
    <w:p>
      <w:pPr>
        <w:spacing w:after="0" w:line="2" w:lineRule="exact"/>
        <w:rPr>
          <w:sz w:val="20"/>
          <w:szCs w:val="20"/>
          <w:color w:val="auto"/>
        </w:rPr>
      </w:pPr>
    </w:p>
    <w:p>
      <w:pPr>
        <w:jc w:val="both"/>
        <w:ind w:firstLine="8"/>
        <w:spacing w:after="0" w:line="302" w:lineRule="auto"/>
        <w:tabs>
          <w:tab w:leader="none" w:pos="3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for the use of results generated by Company Products from a patient sample solely for the clinical care of the patient from which such sample was collected, or (B) for incidental use of trademarks by payors, customers or service providers solely to identify Company Group as the provider of Company Products ((A) and (B) collectively, “</w:t>
      </w:r>
      <w:r>
        <w:rPr>
          <w:rFonts w:ascii="Arial" w:cs="Arial" w:eastAsia="Arial" w:hAnsi="Arial"/>
          <w:sz w:val="16"/>
          <w:szCs w:val="16"/>
          <w:b w:val="1"/>
          <w:bCs w:val="1"/>
          <w:i w:val="1"/>
          <w:iCs w:val="1"/>
          <w:color w:val="auto"/>
        </w:rPr>
        <w:t>Ordinary Course Licenses</w:t>
      </w:r>
      <w:r>
        <w:rPr>
          <w:rFonts w:ascii="Arial" w:cs="Arial" w:eastAsia="Arial" w:hAnsi="Arial"/>
          <w:sz w:val="16"/>
          <w:szCs w:val="16"/>
          <w:color w:val="auto"/>
        </w:rPr>
        <w:t xml:space="preserve">”) and (ix) Encumbrances listed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of the Company Disclosure Schedules.</w:t>
      </w:r>
    </w:p>
    <w:p>
      <w:pPr>
        <w:spacing w:after="0" w:line="1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Data</w:t>
      </w:r>
      <w:r>
        <w:rPr>
          <w:rFonts w:ascii="Arial" w:cs="Arial" w:eastAsia="Arial" w:hAnsi="Arial"/>
          <w:sz w:val="18"/>
          <w:szCs w:val="18"/>
          <w:color w:val="auto"/>
        </w:rPr>
        <w:t>” means all data or information that constitutes personal data, protected health information, individually identifiable health information or personal information under any applicable Law.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PHSA</w:t>
      </w:r>
      <w:r>
        <w:rPr>
          <w:rFonts w:ascii="Arial" w:cs="Arial" w:eastAsia="Arial" w:hAnsi="Arial"/>
          <w:sz w:val="18"/>
          <w:szCs w:val="18"/>
          <w:color w:val="auto"/>
        </w:rPr>
        <w:t>” means the United States Public Health Service Act.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Investment Amount</w:t>
      </w:r>
      <w:r>
        <w:rPr>
          <w:rFonts w:ascii="Arial" w:cs="Arial" w:eastAsia="Arial" w:hAnsi="Arial"/>
          <w:sz w:val="18"/>
          <w:szCs w:val="18"/>
          <w:color w:val="auto"/>
        </w:rPr>
        <w:t>” means the aggregate gross purchase price received by Acquirer prior to or substantially concurrently with Closing for the shares in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Investors</w:t>
      </w:r>
      <w:r>
        <w:rPr>
          <w:rFonts w:ascii="Arial" w:cs="Arial" w:eastAsia="Arial" w:hAnsi="Arial"/>
          <w:sz w:val="18"/>
          <w:szCs w:val="18"/>
          <w:color w:val="auto"/>
        </w:rPr>
        <w:t>” means those certain investors participating in the PIPE Investment pursuant to the Subscription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Tax Period</w:t>
      </w:r>
      <w:r>
        <w:rPr>
          <w:rFonts w:ascii="Arial" w:cs="Arial" w:eastAsia="Arial" w:hAnsi="Arial"/>
          <w:sz w:val="18"/>
          <w:szCs w:val="18"/>
          <w:color w:val="auto"/>
        </w:rPr>
        <w:t>” means any Tax period beginning after the Closing Date and that portion of any Straddle Period beginning after the Closing Date.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means (i) any covered loan under paragraph (36) of Section 7(a) of the Small Business Act (15 U.S.C. 636(a)), as added by Section 1102 of the CARES Act, or (ii) any loan that is an extension or expansion of, or is similar to, any covered loan described in clause (i).</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Budget</w:t>
      </w:r>
      <w:r>
        <w:rPr>
          <w:rFonts w:ascii="Arial" w:cs="Arial" w:eastAsia="Arial" w:hAnsi="Arial"/>
          <w:sz w:val="18"/>
          <w:szCs w:val="18"/>
          <w:color w:val="auto"/>
        </w:rPr>
        <w:t xml:space="preserve">” means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Restructuring</w:t>
      </w:r>
      <w:r>
        <w:rPr>
          <w:rFonts w:ascii="Arial" w:cs="Arial" w:eastAsia="Arial" w:hAnsi="Arial"/>
          <w:sz w:val="18"/>
          <w:szCs w:val="18"/>
          <w:color w:val="auto"/>
        </w:rPr>
        <w:t xml:space="preserve">” has the meaning set forth in the Recitals, as further described on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any Tax period ending on or before the Closing Date and that portion of any Straddle Period ending on and including the Closing Date.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Taxes</w:t>
      </w:r>
      <w:r>
        <w:rPr>
          <w:rFonts w:ascii="Arial" w:cs="Arial" w:eastAsia="Arial" w:hAnsi="Arial"/>
          <w:sz w:val="16"/>
          <w:szCs w:val="16"/>
          <w:color w:val="auto"/>
        </w:rPr>
        <w:t>” means (i) any Liability for any Tax of or owed by the Company Group in respect of any Pre-Closing Tax Period, (ii) any Liability for any Taxes of Seller, (iii) all Taxes imposed in respect of a Pre-Closing Tax Period the payment of which Taxes is deferred to a taxable period (or portion thereof) beginning after the Closing Date, (iv) all Taxes of any member of an affiliated group of corporations, within the meaning of Section 1504 of the Code (or any predecessor provision or comparable provision of state, local or foreign Law) of which any member of the Company Group (or any predecessor of any such member) is or was a member on or prior to the Closing Date, including pursuant to Treasury Regulations Section 1.1502-6 or any analogous or similar U.S. state or local, or non-U.S. Law, (v) Taxes of Seller arising from the Transactions, (vi) any Transfer Taxes for which Seller is liable pursuant to this Agreement or under applicable Law, and (vii) any Taxes of any Person imposed on any member of the Company Group as a transferee or successor, by Contract or pursuant to any Law, which Taxes relate to an event or transaction occurring before the Closing. Notwithstanding the foregoing, Pre-Closing Taxes shall not include Taxes otherwise included in the calculation of the amount of Company Net Working Capital, Closing Indebtedness or the Merger Consideration, Taxes attributable to transactions occurring after the Closing on the Closing Date outside the Ordinary Course of Business, or Taxes attributable to breaches by the Acquirer of its agreements, representations, warrants or covenants under this Agreement.</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means (i) each U.S. federal or state Law applicable to the Company Group with respect to protection or Processing or both of Personal Data, and includes, but is not limited to (A) the Health Insurance Portability and Accountability Act of 1996 as amended by the Health Information Technology for Economic and Clinical Health Act of 2009 as otherwise amended from time to time, and the rules and regulations promulgated thereunder, including the Privacy Standards (45 C.F.R. Parts 160 and 164), the Electronic Transactions Standards (45 C.F.R. Parts 160 and 162), and the Security Standards (45 C.F.R. Parts 160, 162 and 164)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and (B) law, regulations and/or rules relating to the Processing of biometric data, direct marketing, e-mails, text messages, robocalls, telemarketing or other electronic commercial messages and (ii) binding guidance issued by a Governmental Authority that pertains to one of the laws, rules or regulations outlined in clause (i).</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suit, litigation, arbitration, mediation, alternative dispute resolution procedure, claim, action, complaint, proceeding, hearing, or investigation (whether civil or criminal, administrative or judicial, and whether public or private), in each case to, from, by or before any Governmental Authority.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Processed</w:t>
      </w:r>
      <w:r>
        <w:rPr>
          <w:rFonts w:ascii="Arial" w:cs="Arial" w:eastAsia="Arial" w:hAnsi="Arial"/>
          <w:sz w:val="18"/>
          <w:szCs w:val="18"/>
          <w:color w:val="auto"/>
        </w:rPr>
        <w:t>” means, with respect to data, the use, collection, processing, storage, recording, organization, adaption, alteration, transfer, retrieval, consultation, disclosure, dissemination or combination of such data.</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Official</w:t>
      </w:r>
      <w:r>
        <w:rPr>
          <w:rFonts w:ascii="Arial" w:cs="Arial" w:eastAsia="Arial" w:hAnsi="Arial"/>
          <w:sz w:val="18"/>
          <w:szCs w:val="18"/>
          <w:color w:val="auto"/>
        </w:rPr>
        <w:t>” means (a) any Representative of any Governmental Authority, (b) any Representative of any commercial enterprise that is wholly owned or controlled by a Governmental Authority, including any state-owned or controlled medical facility, and (c) any political party, party official or candidate for political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Software</w:t>
      </w:r>
      <w:r>
        <w:rPr>
          <w:rFonts w:ascii="Arial" w:cs="Arial" w:eastAsia="Arial" w:hAnsi="Arial"/>
          <w:sz w:val="17"/>
          <w:szCs w:val="17"/>
          <w:color w:val="auto"/>
        </w:rPr>
        <w:t>” means any Software that is distributed as freeware, shareware, open source Software (e.g., Linux) or similar licensing or distribution models. For the avoidance of doubt, “Public Software” includes Software licensed, distributed under or otherwise subject to any of the following licenses or distribution models (or licenses or distribution models similar thereto): (A) GNU’s General Public License (GPL) or Lesser/Library GPL (LGPL); (B) the GNU Affero GPL license; (C) the Artistic License (e.g., PERL); (D) the Mozilla Public License; (E) the Netscape Public License; (F) the Sun Community Source License (SCSL); (G) the Sun Industry Standards License (SISL); (H) the BSD License; (I) Red Hat Linux; (J) the Apache License; and (K) any other license or distribution model described by the Open Source Initiative as set forth on www.opensource.org, and any other free, open-source, or “copy left” license or terms that requires as a condition of use, modification or distribution that such software or other software combined or distributed with it be (i) disclosed or distributed in source code form; (ii) licensed for the purpose of making derivative works; (iii) redistributable at no charge; or (iv) licensed subject to a patent non-assert or royalty-free patent license.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Registered Company IP</w:t>
      </w:r>
      <w:r>
        <w:rPr>
          <w:rFonts w:ascii="Arial" w:cs="Arial" w:eastAsia="Arial" w:hAnsi="Arial"/>
          <w:sz w:val="18"/>
          <w:szCs w:val="18"/>
          <w:color w:val="auto"/>
        </w:rPr>
        <w:t>” means all Registered IP included in the Company Owned IP. “</w:t>
      </w:r>
      <w:r>
        <w:rPr>
          <w:rFonts w:ascii="Arial" w:cs="Arial" w:eastAsia="Arial" w:hAnsi="Arial"/>
          <w:sz w:val="18"/>
          <w:szCs w:val="18"/>
          <w:b w:val="1"/>
          <w:bCs w:val="1"/>
          <w:i w:val="1"/>
          <w:iCs w:val="1"/>
          <w:color w:val="auto"/>
        </w:rPr>
        <w:t>Registered IP</w:t>
      </w:r>
      <w:r>
        <w:rPr>
          <w:rFonts w:ascii="Arial" w:cs="Arial" w:eastAsia="Arial" w:hAnsi="Arial"/>
          <w:sz w:val="18"/>
          <w:szCs w:val="18"/>
          <w:color w:val="auto"/>
        </w:rPr>
        <w:t>” means all Intellectual Property that is registered, issued, granted by any Governmental Authority (including the United States Patent and Trademark Office or United States Copyright Office), and all applications, registrations and grants for any of the foregoing.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w:t>
      </w:r>
      <w:r>
        <w:rPr>
          <w:rFonts w:ascii="Arial" w:cs="Arial" w:eastAsia="Arial" w:hAnsi="Arial"/>
          <w:sz w:val="18"/>
          <w:szCs w:val="18"/>
          <w:color w:val="auto"/>
        </w:rPr>
        <w:t>” means, with respect to a Company Product in a country, any and all approvals, licenses, registrations or authorizations of any Governmental Authority necessary to commercially distribute, sell or market such Company Product in such country, including, where applicable, pricing or reimbursement approval in such country and (ii) pre- and post-approval marketing authorizations (including any prerequisite manufacturing approval or authorization related thereto).</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applicable Governmental Authority that regulates or otherwise exercises authority with respect to the Exploitation of any Company Product or administers Health Care Laws.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Documentation</w:t>
      </w:r>
      <w:r>
        <w:rPr>
          <w:rFonts w:ascii="Arial" w:cs="Arial" w:eastAsia="Arial" w:hAnsi="Arial"/>
          <w:sz w:val="18"/>
          <w:szCs w:val="18"/>
          <w:color w:val="auto"/>
        </w:rPr>
        <w:t>” means all (i) Regulatory Approvals and Regulatory Permits;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pre-clinical, clinical and other data contained or relied upon in any of the foregoing; in each case (clauses (i), (ii) and (iii)) relating to the Company Products.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Permit</w:t>
      </w:r>
      <w:r>
        <w:rPr>
          <w:rFonts w:ascii="Arial" w:cs="Arial" w:eastAsia="Arial" w:hAnsi="Arial"/>
          <w:sz w:val="18"/>
          <w:szCs w:val="18"/>
          <w:color w:val="auto"/>
        </w:rPr>
        <w:t>” means governmental licenses, franchises, permits, certificates, consents, approvals, registrations, concessions or other authorizations required to have been obtained from, or filings required to have been made with, Governmental Authorities pursuant to a Health Care Law in order to allow the conduct of a regulated activity.</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Seller; (ii) each Person who is, or who was at the time of the entry into this Agreement or the creation of the interest in question an officer or director of any member of the Company Group or Seller, or who, beneficially or of record, held shares or other equity interests in any member of the Company Group, or who served as a an officer or officer of a Person who, beneficially or of record, owned shares or other equity interests in any member of the Company Group; and (iii) each member of the immediate family of each of the Persons referred to in clause (i) or (ii) above. For purposes of this definition, the “immediate family” of an individual means (x) the individual’s spouse and (y) the individual’s parents, brothers, sisters and children.</w:t>
      </w:r>
    </w:p>
    <w:p>
      <w:pPr>
        <w:spacing w:after="0" w:line="13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Obligations</w:t>
      </w:r>
      <w:r>
        <w:rPr>
          <w:rFonts w:ascii="Arial" w:cs="Arial" w:eastAsia="Arial" w:hAnsi="Arial"/>
          <w:sz w:val="18"/>
          <w:szCs w:val="18"/>
          <w:color w:val="auto"/>
        </w:rPr>
        <w:t>” means any repayment obligations of the Company Group arising from or related to services rendered prior to the Closing which are ultimately not paid, or where reimbursement is subsequently refunded to or recouped, in each case in whole or in part, by the applicable Payor Party due to actual or alleged errors or omissions, including improper coding, lack of coverage, lack of medical necessity or non-compliance with other applicable Payor Party requirements.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means, with respect to any Person, any officer, director, principal, attorney, agent, employee or other representative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Financial Statements</w:t>
      </w:r>
      <w:r>
        <w:rPr>
          <w:rFonts w:ascii="Arial" w:cs="Arial" w:eastAsia="Arial" w:hAnsi="Arial"/>
          <w:sz w:val="18"/>
          <w:szCs w:val="18"/>
          <w:color w:val="auto"/>
        </w:rPr>
        <w:t>” means such financial statements of the Company Group as are required by Regulation S-X to be included in the Proxy Statement or Closing 8-K.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U.S. Securities and Exchange Commission.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Debt</w:t>
      </w:r>
      <w:r>
        <w:rPr>
          <w:rFonts w:ascii="Arial" w:cs="Arial" w:eastAsia="Arial" w:hAnsi="Arial"/>
          <w:sz w:val="18"/>
          <w:szCs w:val="18"/>
          <w:color w:val="auto"/>
        </w:rPr>
        <w:t>” means the financing provided by Seller to the Company Group during the Pre-Closing Period in order to fund the Company Group’s operations in accordance with the Pre-Closing Budget and evidenced by an inter-company note bearing interest at the statutory applicable federal annual mid-term rate.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Value</w:t>
      </w:r>
      <w:r>
        <w:rPr>
          <w:rFonts w:ascii="Arial" w:cs="Arial" w:eastAsia="Arial" w:hAnsi="Arial"/>
          <w:sz w:val="18"/>
          <w:szCs w:val="18"/>
          <w:color w:val="auto"/>
        </w:rPr>
        <w:t>” means $4.86.</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Software</w:t>
      </w:r>
      <w:r>
        <w:rPr>
          <w:rFonts w:ascii="Arial" w:cs="Arial" w:eastAsia="Arial" w:hAnsi="Arial"/>
          <w:sz w:val="17"/>
          <w:szCs w:val="17"/>
          <w:color w:val="auto"/>
        </w:rPr>
        <w:t>” means all (i) computer programs, applications, systems and code, including software implementations of algorithms, models and methodologies, and source code and object code, (ii) Internet and intranet websites, databases and compilations, including data and collections of data, whether machine-readable or otherwise, (iii) software development and design tools, library functions and compilers, (iv) technology supporting websites, and the contents and audiovisual displays of websites and (v) documentation, other works of authorship and media, including user manuals and training materials, relating to or embodying any of the foregoing or on which any of the foregoing is recorded.</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Merger Agreement</w:t>
      </w:r>
      <w:r>
        <w:rPr>
          <w:rFonts w:ascii="Arial" w:cs="Arial" w:eastAsia="Arial" w:hAnsi="Arial"/>
          <w:sz w:val="18"/>
          <w:szCs w:val="18"/>
          <w:color w:val="auto"/>
        </w:rPr>
        <w:t>” means that certain Agreement and Plan of Merger, dated February 9, 2021, entered into by and among CM Life Sciences, Inc., S-IV Sub, Inc. and Legacy Sema4, as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Designees</w:t>
      </w:r>
      <w:r>
        <w:rPr>
          <w:rFonts w:ascii="Arial" w:cs="Arial" w:eastAsia="Arial" w:hAnsi="Arial"/>
          <w:sz w:val="18"/>
          <w:szCs w:val="18"/>
          <w:color w:val="auto"/>
        </w:rPr>
        <w:t>” means (i) one (1) individual designated by the Company and (ii) one (1) one individual designated by Seller who is independent from Seller and the Company Group, in each case as mutually agreed with Acquirer.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Consideration</w:t>
      </w:r>
      <w:r>
        <w:rPr>
          <w:rFonts w:ascii="Arial" w:cs="Arial" w:eastAsia="Arial" w:hAnsi="Arial"/>
          <w:sz w:val="18"/>
          <w:szCs w:val="18"/>
          <w:color w:val="auto"/>
        </w:rPr>
        <w:t>” means 80,000,000 shares of Acquirer Stock, as adjusted for any stock split, stock dividend, recapitalization, merger, consolidation or similar event occurring after the Agreement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 period beginning on or before the Closing Date and ending after the Closing Date.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Stueland Employment Agreement</w:t>
      </w:r>
      <w:r>
        <w:rPr>
          <w:rFonts w:ascii="Arial" w:cs="Arial" w:eastAsia="Arial" w:hAnsi="Arial"/>
          <w:sz w:val="18"/>
          <w:szCs w:val="18"/>
          <w:color w:val="auto"/>
        </w:rPr>
        <w:t>” means that certain Employment Agreement, dated as of June 7, 2021, by and among Katherine Stueland, Seller and the Company.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Stueland Employment Agreement Obligations</w:t>
      </w:r>
      <w:r>
        <w:rPr>
          <w:rFonts w:ascii="Arial" w:cs="Arial" w:eastAsia="Arial" w:hAnsi="Arial"/>
          <w:sz w:val="17"/>
          <w:szCs w:val="17"/>
          <w:color w:val="auto"/>
        </w:rPr>
        <w:t xml:space="preserve">” means the sum of (i) the aggregate amount of the Sign On Bonus (within the meaning of the Stueland Employment Agreement) that has not been paid to Katherine Stueland as of the Closing Date, plus (ii) the aggregate fair market value of the Initial Option (within the meaning of the Stueland Employment Agreement), regardless of whether or not the Initial Option is outstanding as of the Closing Date or will remain outstanding as of immediately following the Closing but subject to clause (C) below, and the Additional Option (within the meaning of the Stueland Employment Agreement), with such aggregate fair market value determined based on the closing price of Seller’s common stock as of the trading day immediately preceding the Closing Date minus the applicable exercise price per share (for the avoidance of doubt, if such closing price equals or exceeds the exercise price per share of the Initial Option or the Additional Option, the fair market value of the Initial Option or Additional Option, as applicable, for purposes of this clause (ii) shall be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Closing occurs prior to June 21, 2022 or Katherine Stueland waives her right to receive the Additional Option prior to or in connection with the Closing, then the Additional Option shall be deemed to have a fair market value of $0, (B) if the Closing occurs on or following June 21, 2022, the Additional Option has not been granted as of the trading day immediately preceding the Closing Date, and Katherine Stueland does not waive her right to receive the Additional Option prior to or in connection with the Closing, then the per share exercise price of the Additional Option shall be deemed to equal the closing price of Seller’s common stock as of June 21, 2022 (or if June 21, 2022 is not a trading day, the closing price of Seller’s common stock as of the immediately preceding trading day), and (C) if Katherine Stueland’s employment terminates for any reason prior to the Closing, then (i) any portion of the Initial Option that is forfeited in connection with such termination of employment and (ii)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Initial Option that is not forfeited in connection with such termination of employment and is exercised prior to the Closing, shall in each case be deemed to have a fair market value of $0.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means the subscription agreements pursuant to which the PIPE Investment will be consummated.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when used with respect to any Person, including the Company,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 or by any one or more of its Subsidiaries.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means any and all federal, state, local or non-U.S. taxes and duties and similar governmental charges, assessments, levies, imposts or withholdings, including net income, gross income, capital gains, alternative minimum, base erosion anti-abuse, diverted profits, digital services, value added, goods and services, gross margin, gross receipts, sales, use, ad valorem, transfer, franchise, profits, license, lease, service, service use, withholding, payroll, employment, unemployment, social security, disability, excise, severance, environmental, stamp, occupation, premium, property, unclaimed property, escheat, windfall profits, customs, duties or other actual or estimated taxes, together with any interest, fines, penalties, surcharges and charges in respect of Taxes (including as a result of any failure to timely file a Tax Return) and any additions to tax or additional amounts with respect thereto.</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Authority</w:t>
      </w:r>
      <w:r>
        <w:rPr>
          <w:rFonts w:ascii="Arial" w:cs="Arial" w:eastAsia="Arial" w:hAnsi="Arial"/>
          <w:sz w:val="17"/>
          <w:szCs w:val="17"/>
          <w:color w:val="auto"/>
        </w:rPr>
        <w:t>” means any Governmental Authority responsible for the determination, assessment, collection or administration of Taxes.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report, statement, claim for refund, information statement or other document filed or required to be filed with a Tax Authority in connection with the determination, assessment, collection or administration of Taxes, as well as any schedule, attachment thereto or amendment thereof.</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any Person other than the Company Parties, the Acquirer Parties, Seller and their respective Affiliates (including their respective Subsidiaries).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Merger Consideration</w:t>
      </w:r>
      <w:r>
        <w:rPr>
          <w:rFonts w:ascii="Arial" w:cs="Arial" w:eastAsia="Arial" w:hAnsi="Arial"/>
          <w:sz w:val="18"/>
          <w:szCs w:val="18"/>
          <w:color w:val="auto"/>
        </w:rPr>
        <w:t xml:space="preserve">” means the Merger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Milestone Payments, if and to the extent such amounts become payable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 Secrets</w:t>
      </w:r>
      <w:r>
        <w:rPr>
          <w:rFonts w:ascii="Arial" w:cs="Arial" w:eastAsia="Arial" w:hAnsi="Arial"/>
          <w:sz w:val="16"/>
          <w:szCs w:val="16"/>
          <w:color w:val="auto"/>
        </w:rPr>
        <w:t>” means unpublished inventions (whether patentable or not and whether or not reduced to practice), industrial designs, discoveries, improvements, ideas, designs, models, chemical and biological materials, compounds, formulae, recipes, patterns, compilations, results, data (including pre- clinical and clinical data), databases, data collections and compilations, analyses, diagrams, drawings, blueprints, mask works, devices, methods, compositions, algorithms, techniques, patterns, processes, know- how and other forms of technology (whether or not embodied in any tangible form and including all tangible embodiments of the foregoing, such as laboratory notebooks, studies and summaries), proprietary rights in confidential information of any kind, instructions, configurations, prototypes, samples, formulations, specifications, analytic models, customer lists, source code, development tools,, in each case, to the extent constituting a trade secret as defined under the Uniform Trade Secrets Act or other applicable Laws.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means trademarks, service marks, trade names, service names, brand names, trade dress, logos, as well as Internet domain names, corporate and other business names, other like source or business identifiers and other proprietary rights to any words, names, slogans, symbols, logos, devices or combinations thereof to the extent that they are used and function to identify, distinguish and indicate the source or origin of goods or services, together with the goodwill associated with any of the foregoing; and all registrations and renewals, applications for registration, equivalents or counterparts thereof; and all statutory, federal, common law, and rights provided by international treaties or conventions, in any of the foregoing.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Certificates</w:t>
      </w:r>
      <w:r>
        <w:rPr>
          <w:rFonts w:ascii="Arial" w:cs="Arial" w:eastAsia="Arial" w:hAnsi="Arial"/>
          <w:sz w:val="16"/>
          <w:szCs w:val="16"/>
          <w:color w:val="auto"/>
        </w:rPr>
        <w:t>” means all certificates contemplated by this Agreement to be delivered at Closing by the Parties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this Agreement and the Ancillary Agreements. “</w:t>
      </w:r>
      <w:r>
        <w:rPr>
          <w:rFonts w:ascii="Arial" w:cs="Arial" w:eastAsia="Arial" w:hAnsi="Arial"/>
          <w:sz w:val="16"/>
          <w:szCs w:val="16"/>
          <w:b w:val="1"/>
          <w:bCs w:val="1"/>
          <w:i w:val="1"/>
          <w:iCs w:val="1"/>
          <w:color w:val="auto"/>
        </w:rPr>
        <w:t>Transaction Expenses</w:t>
      </w:r>
      <w:r>
        <w:rPr>
          <w:rFonts w:ascii="Arial" w:cs="Arial" w:eastAsia="Arial" w:hAnsi="Arial"/>
          <w:sz w:val="16"/>
          <w:szCs w:val="16"/>
          <w:color w:val="auto"/>
        </w:rPr>
        <w:t xml:space="preserve">” means (a) any out-of-pocket fees, costs, payments and expenses of the Company Group, including legal and accounting fees, valuation services, investment banking fees, and related disbursements, in each case in connection with (i) the participation in or response to the investigation, review and inquiry conducted by Acquirer and its Representatives with respect to the business of the Company Group (and the furnishing of information to Acquirer and its Representatives in connection with such investigation and review), (ii) the negotiation, preparation, drafting, review, execution, delivery or performance of this Agreement or any Ancillary Agreement or any other document delivered or to be delivered in connection with the Transactions, (iii) the obtaining of any consent, waiver or approval required to be obtained in connection with any of the Transactions; (b) 50% of the out-of-pocket fees, costs, payments and expenses incurred in connection with the preparation and submission of any regulatory filing or notice required to be made or given in connection with any of the Transactions, including pursuant to HSR; (c) any sale bonuses, change in control bonuses, payments in respect of equity awards, retention payments or similar amounts that become payable by any member of the Company Group by reason of, or in connection with, the Closing, other than any such bonus or payment (i) payable pursuant to a Contract entered into by or at the request of the Acquirer or (ii) to the extent that the amount thereof is increased pursuant to the amendment to a Contract undertaken at the request of Acquirer;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amount equal to the Stueland Employment Agreement Obligations shall be treated as a “Transaction Expense,” (d) any severance or similar termination payments payable by any member of the Company Group to any current or former employee, or any current or former director, officer or contractor of any member of the Company Group, by reason of, or in connection with, the Closing, other than any such payment (i) payable pursuant to a Contract entered into at the request of the Acquirer, (ii) to the extent that the amount thereof is increased pursuant to the amendment to a Contract undertaken at the request of Acquirer or (iii) triggered by any action of Acquirer or the Company Group after the Closing; and (e) the employer portion of any payroll Taxes of any member of the Company Group or Acquirer arising from the payment of any amounts described in clauses (c) and (d), in each case ((a) through (e)), to the extent unpaid.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Tax Deductions</w:t>
      </w:r>
      <w:r>
        <w:rPr>
          <w:rFonts w:ascii="Arial" w:cs="Arial" w:eastAsia="Arial" w:hAnsi="Arial"/>
          <w:sz w:val="17"/>
          <w:szCs w:val="17"/>
          <w:color w:val="auto"/>
        </w:rPr>
        <w:t>” means the aggregate amount of any Tax deductions relating to: (A) the payment prior to the Effective Time of any other costs or expenses incurred by any member of the Company Group in connection with the transactions contemplated hereby (including, for the avoidance of doubt, any amounts that would be Transaction Expenses but for the fact that they are not unpaid as of the Effective Time); and (B) any other items deductible for Tax purposes by any member of the Company Group and/or any of Subsidiaries of the Company Group attributable to the transactions contemplated hereby that are economically borne by the Seller; provided, that, with respect to success- based fees, seventy percent (70%) of success fees shall be treated as deductible in accordance with Revenue Procedure 2011-29, to the extent applicable.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the transactions contemplated by the Transaction Documents, including the Pre-Closing Restructuring and the Mergers.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to sell, convey, transfer, assign, novate, deliver, split or add or remove a party thereto.</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xml:space="preserve">” means the Transition Services Agreement to be entered into at the Closing, as may be mutually agreed upon in writing between the Parties pursuant to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Index of Defined Terms.</w:t>
            </w:r>
          </w:p>
        </w:tc>
        <w:tc>
          <w:tcPr>
            <w:tcW w:w="1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3"/>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4"/>
              </w:rPr>
              <w:t>Accounting Standards</w:t>
            </w:r>
          </w:p>
        </w:tc>
        <w:tc>
          <w:tcPr>
            <w:tcW w:w="216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Indemnified Parties</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Accounts Receivable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Party</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Accrued 2022 401(k) Match</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Stockholder Approval</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401(k) Plan</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75</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Stockholders’ Meeting</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Board</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Acquisition Proposal</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Disclosure Schedules</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Affiliate</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Fundamental Representations</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Agreement Date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Privacy Commitments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40" w:right="339" w:bottom="1440" w:gutter="0" w:footer="0" w:header="0"/>
          <w:type w:val="continuous"/>
        </w:sectPr>
      </w:pPr>
    </w:p>
    <w:bookmarkStart w:id="351" w:name="page352"/>
    <w:bookmarkEnd w:id="351"/>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Ancillary Agreements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Privacy Policies</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Antitrust Condition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Product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Antitrust Laws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Software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Applicable Withholding Law</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Websites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Assumed Seller Debt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Company-Licensed Data</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Author</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Company-Owned Data</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Available Insurance Policies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73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Confidential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Bayh-Dole Act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Confidentiality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Benefit Plan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Consent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BioReference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Continuing Claim</w:t>
            </w:r>
          </w:p>
        </w:tc>
        <w:tc>
          <w:tcPr>
            <w:tcW w:w="1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Business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Continuing Employees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Business Day</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Contract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Bylaws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Controlled Group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CARES Act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Copyrights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COVID-19</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Certificate of Incorporation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COVID-19 Response</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Claim Notice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D&amp;O Indemnified Person</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CLIA</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Damages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 Minimis Claims</w:t>
            </w:r>
          </w:p>
        </w:tc>
        <w:tc>
          <w:tcPr>
            <w:tcW w:w="17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8-K</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Deductible</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Indebtedness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Defense Notice</w:t>
            </w: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Shortfall</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Deliver</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Surplus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DGCL</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Target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Statement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 Notice</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CMS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Disputed Item</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COBRA</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DOJ</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Code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Domain Names</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Commercial Software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Effective Time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Balance Sheet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EMA</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Balance Sheet Date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Encumbrance</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Benefit Plan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Enforceability Exceptions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Contracts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Environmental Law</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00"/>
          </w:cols>
          <w:pgMar w:left="340" w:top="1440" w:right="359" w:bottom="0" w:gutter="0" w:footer="0" w:header="0"/>
        </w:sectPr>
      </w:pPr>
    </w:p>
    <w:bookmarkStart w:id="352" w:name="page353"/>
    <w:bookmarkEnd w:id="3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ERISA</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 Agreement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ERISA Affiliate</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Databases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Account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Schedules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Employee</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Fundamental Representations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Amount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Group</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Expiration Date</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Group Revenue</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Estimated Cash Consideration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IP</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Estimated Closing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IP Contracts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EUA</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40" w:top="179" w:right="359" w:bottom="1440" w:gutter="0" w:footer="0" w:header="0"/>
        </w:sectPr>
      </w:pPr>
    </w:p>
    <w:bookmarkStart w:id="353" w:name="page354"/>
    <w:bookmarkEnd w:id="353"/>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IT Assets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European Union</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Licensed IP</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Excess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Net Working Capital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Exchange Act</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Owned IP</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Excluded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Parties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FCPA</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FDA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Consideration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FDCA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Final Cash Consideration</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 II</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Subs</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Certificate of Merger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Mergers</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Merger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Event</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Milestone Period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Fraud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Payment Date</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Unresolved Items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Fundamental Claims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84</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Most Recent Balance Sheet</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Fundamental Representations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Nasdaq</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FY2022 Company Group Revenue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New Litigation Claim</w:t>
            </w: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FY2023 Company Group Revenue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Notice of Objection</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General Claims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Objection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Governing Documents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Order</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 Contract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Ordinary Course of Business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Governmental Authority</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Parent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Governmental Program</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Parent Group</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Hazardous Substances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Parties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Health Care Laws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Party</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HHS Grants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Patents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Payor Parties</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Board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Permits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Board Approval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Permitted Encumbrances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Common Stock</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Person</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Stockholder Approval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Personal Data</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HSR Act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PHSA</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HSR Filings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Investment</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Indebtedness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Investment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Indemnified Parties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Investors</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00"/>
          </w:cols>
          <w:pgMar w:left="340" w:top="1440" w:right="359" w:bottom="0" w:gutter="0" w:footer="0" w:header="0"/>
        </w:sectPr>
      </w:pPr>
    </w:p>
    <w:bookmarkStart w:id="354" w:name="page355"/>
    <w:bookmarkEnd w:id="3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Indemnifying Party</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Post-Closing Tax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Indemnity Agreement</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73</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PPP Loan</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Independent Expert</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Budget</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In-Scope Employees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Intellectual Property</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Restructuring</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Interim Financial Statements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Tax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IP Dispute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Taxes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IRS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Privacy Laws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IT Assets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Proceeding</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Key Employee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79" w:right="359" w:bottom="1440" w:gutter="0" w:footer="0" w:header="0"/>
        </w:sectPr>
      </w:pPr>
    </w:p>
    <w:bookmarkStart w:id="355" w:name="page356"/>
    <w:bookmarkEnd w:id="355"/>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Knowledge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Processed</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Law</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Processing</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Leased Property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Proxy Statement</w:t>
            </w: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Leases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Public Official</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Liability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Public Software</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Lock-Up Agreement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Registered Company IP</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Lock-Up Holders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Registered IP</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Material Adverse Effect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Approval</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Measurement Time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Authority</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Medicare Advance Payment Program</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Documentation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Medicare Advance Payments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Permit</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Related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Stueland Employment Agreement</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Released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Subscription Agreements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Releasing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Subsidiary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Subsidiary Ownership Interests</w:t>
            </w: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Representative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Surviving Corporation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Required Closing Contracts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69</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Surviving Entity</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Required Financial Statements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Resale Registration Documents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Authority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Resolution Period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Proceeding</w:t>
            </w: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Sales Taxes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Return</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Termination Date</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Merger</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Third Party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Merger Effective Time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Third Party Claim</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Milestone Period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Customers</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Securities Act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Payors</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Suppliers</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401(k) Plan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75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Total Merger Consideration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Benefit Plan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Trade Secrets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Benefit Plans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Trademarks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Board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Certificates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Board Approval</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Documents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Contracts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Debt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Tax Deductions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Indemnified Parties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0" w:gutter="0" w:footer="0" w:header="0"/>
        </w:sectPr>
      </w:pPr>
    </w:p>
    <w:bookmarkStart w:id="356" w:name="page357"/>
    <w:bookmarkEnd w:id="35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Seller Revenue Contracts</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Transfer</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Share Value</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Shortfall Amount</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Transition Services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Software</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Unresolved Escrow Amount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Specified Designees</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Unresolved Items</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Stock Consideration</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Valid Pre-Closing Claims</w:t>
            </w: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Straddle Period</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Written Consent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Except where expressly stated otherwise in this Agreement, references: (a) to the Recitals, Articles, Sections, Exhibits or Schedules are to a Recital, Article or Section of, or Exhibit or Schedule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79" w:right="359" w:bottom="1440" w:gutter="0" w:footer="0" w:header="0"/>
        </w:sectPr>
      </w:pPr>
    </w:p>
    <w:bookmarkStart w:id="357" w:name="page358"/>
    <w:bookmarkEnd w:id="357"/>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Agreement; (b) to any agreement (including this Agreement) or Contract are to the agreement or Contract as amended, modified, supplemented or replaced from time to time in accordance with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apply with respect to the representations and warranties of the Company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(c) to any statute, rule or regulation shall be deemed to refer to such statute, rule or regulation as amended from time to time and to any rules or regulations promulgated thereunder; provided that for purposes of any representations and warranties contained in this Agreement 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to that Person or permitted assigns of that Person; and (e) to this Agreement are to this Agreement and the Exhibits and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 sense (and/or). The use of “extent” in the phrase “to the extent” means the degree to which a subject or other thing extends, and such phrase does not mean simply “if.” The terms herein defined in the singular shall have a comparable meaning when used in the plural, and vice versa. References to “day” or “days” refer to calendar days. The masculine, feminine and neuter genders used herein shall include each other gender. The terms “dollars” and “$” means dollars of the United States of America. Any reference to “beneficial ownership”, including “beneficial owner” and “beneficially owns,” shall be determined in accordance with Section 13(d) of the Exchange Act and the rules and regulations promulgated thereunder.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Mergers.</w:t>
      </w:r>
    </w:p>
    <w:p>
      <w:pPr>
        <w:spacing w:after="0" w:line="171" w:lineRule="exact"/>
        <w:rPr>
          <w:sz w:val="20"/>
          <w:szCs w:val="20"/>
          <w:color w:val="auto"/>
        </w:rPr>
      </w:pPr>
    </w:p>
    <w:p>
      <w:pPr>
        <w:ind w:firstLine="656"/>
        <w:spacing w:after="0" w:line="277" w:lineRule="auto"/>
        <w:tabs>
          <w:tab w:leader="none" w:pos="1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At the Effective Time, Merger Sub I shall merge with and into Holdco2. Following the Effective Time, the separate existence of Merger Sub I shall cease and Holdco2 shall continue as the surviving corporation of the First Merger (the “Surviving Corporation”).</w:t>
      </w:r>
    </w:p>
    <w:p>
      <w:pPr>
        <w:spacing w:after="0" w:line="116" w:lineRule="exact"/>
        <w:rPr>
          <w:rFonts w:ascii="Arial" w:cs="Arial" w:eastAsia="Arial" w:hAnsi="Arial"/>
          <w:sz w:val="18"/>
          <w:szCs w:val="18"/>
          <w:color w:val="auto"/>
        </w:rPr>
      </w:pPr>
    </w:p>
    <w:p>
      <w:pPr>
        <w:jc w:val="both"/>
        <w:ind w:firstLine="656"/>
        <w:spacing w:after="0" w:line="275" w:lineRule="auto"/>
        <w:tabs>
          <w:tab w:leader="none" w:pos="129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At the Closing, the Parties shall cause the Certificate of Merger in the form of Exhibit C-1 (the “First Certificate of Merger”) to be properly executed and filed with the Secretary of State of the State of Delaware and shall make all other filings or recordings required under the DGCL in order to give effect to the First Merger. The First Merger shall become effective on the date and time at which the First Certificate of Merger is accepted for filing by the Secretary of State of the State of Delaware on the Closing Date or at such later date or time as is agreed by Acquirer and Holdco2 and specified in the First Certificate of Merger (the time the First Merger becomes effective being referred to herein as the “Effective Time”).</w:t>
      </w:r>
    </w:p>
    <w:p>
      <w:pPr>
        <w:spacing w:after="0" w:line="122" w:lineRule="exact"/>
        <w:rPr>
          <w:rFonts w:ascii="Arial" w:cs="Arial" w:eastAsia="Arial" w:hAnsi="Arial"/>
          <w:sz w:val="17"/>
          <w:szCs w:val="17"/>
          <w:color w:val="auto"/>
        </w:rPr>
      </w:pPr>
    </w:p>
    <w:p>
      <w:pPr>
        <w:jc w:val="both"/>
        <w:ind w:firstLine="656"/>
        <w:spacing w:after="0" w:line="259" w:lineRule="auto"/>
        <w:tabs>
          <w:tab w:leader="none" w:pos="1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First Merger shall have the effects set forth in Section 251 of the DGCL. Without limiting the generality of the foregoing, and subject thereto, at the Effective Time, all of the assets, properties, rights, privileges, powers and franchises Holdco2 and Merger Sub I shall vest in the Surviving Corporation and all Liabilities, obligations and duties of each of Holdco2 and Merger Sub I shall become the Liabilities, obligations and duties of the Surviving Corporation, in each case, in accordance with the DGCL.</w:t>
      </w:r>
    </w:p>
    <w:p>
      <w:pPr>
        <w:spacing w:after="0" w:line="132" w:lineRule="exact"/>
        <w:rPr>
          <w:rFonts w:ascii="Arial" w:cs="Arial" w:eastAsia="Arial" w:hAnsi="Arial"/>
          <w:sz w:val="18"/>
          <w:szCs w:val="18"/>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At the Effective Time:</w:t>
      </w:r>
    </w:p>
    <w:p>
      <w:pPr>
        <w:spacing w:after="0" w:line="171" w:lineRule="exact"/>
        <w:rPr>
          <w:rFonts w:ascii="Arial" w:cs="Arial" w:eastAsia="Arial" w:hAnsi="Arial"/>
          <w:sz w:val="18"/>
          <w:szCs w:val="18"/>
          <w:color w:val="auto"/>
        </w:rPr>
      </w:pPr>
    </w:p>
    <w:p>
      <w:pPr>
        <w:ind w:right="20" w:firstLine="1304"/>
        <w:spacing w:after="0" w:line="277" w:lineRule="auto"/>
        <w:tabs>
          <w:tab w:leader="none" w:pos="193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Governing Documents of Merger Sub I shall be the Governing Documents of the Surviving Corporation, in each case, until thereafter changed or amended as provided therein or by applicable Law; and</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directors and officers of Merger Sub I immediately prior to the Effective Time shall be the initial directors and officers of the Surviving Corporation, each to hold office in accordance with the Governing Documents of the Surviving Corporation until such director’s or officer’s successor is duly elected or appointed and qualified, or until the earlier of their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4" w:lineRule="exact"/>
        <w:rPr>
          <w:sz w:val="20"/>
          <w:szCs w:val="20"/>
          <w:color w:val="auto"/>
        </w:rPr>
      </w:pPr>
    </w:p>
    <w:p>
      <w:pPr>
        <w:jc w:val="both"/>
        <w:ind w:firstLine="656"/>
        <w:spacing w:after="0" w:line="253" w:lineRule="auto"/>
        <w:tabs>
          <w:tab w:leader="none" w:pos="12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Immediately following the First Merger, the Surviving Corporation shall be merged with and into Merger Sub II in accordance with the provisions of the DGCL and the Delaware Limited Liability Company Act. Merger Sub II shall be the surviving company resulting from the Second Merger (the “Surviving Entity”) and shall continue its existence as a limited liability company under the laws of Delaware and succeed to and assume all the rights and obligations of the Surviving Corporation in accordance with the DGCL and the Delaware Limited Liability Company Act. Upon the consummation of the Second Merger, the separate corporate existence of the Surviving Corporation shall terminate. The Second Merger shall (i) be consummated pursuant to the terms of this Agreement and (ii) become effective as of the date and time at which the Certificate of Merger attached hereto as Exhibit C-2 (the “Second Certificate of Merger”) is accepted for filing by the Secretary of State of the State of Delaware on the Closing Date or at such later date or time specified in the Second Certificate of Merger (the time the Second Merger becomes effective being referred to herein as the “Second Merger Effective Time”).</w:t>
      </w:r>
    </w:p>
    <w:p>
      <w:pPr>
        <w:spacing w:after="0" w:line="142" w:lineRule="exact"/>
        <w:rPr>
          <w:rFonts w:ascii="Arial" w:cs="Arial" w:eastAsia="Arial" w:hAnsi="Arial"/>
          <w:sz w:val="18"/>
          <w:szCs w:val="18"/>
          <w:color w:val="auto"/>
        </w:rPr>
      </w:pPr>
    </w:p>
    <w:p>
      <w:pPr>
        <w:ind w:firstLine="656"/>
        <w:spacing w:after="0" w:line="277" w:lineRule="auto"/>
        <w:tabs>
          <w:tab w:leader="none" w:pos="12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the Second Merger Effective Time, the Governing Documents of Merger Sub II shall be the Governing Documents of the Surviving Entity, in each case, until thereafter changed or amended as provided therein or by applicable Law.</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 The consummation of the Mergers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remotely by electronic exchange of documents and signatures at a date and time to be agreed by Acquirer and the Company, which date shall, unless otherwise agreed by Acquirer and the Company, be no later than the third Business Day following the date on which all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have been satisfied or waived (other than those conditions that, by their terms, are intended to be satisfied at the Closing, but subject to the satisfaction or waiver of those conditions. The date on which the Closing occurs is sometimes referred to herein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Deliveries.</w:t>
      </w:r>
    </w:p>
    <w:p>
      <w:pPr>
        <w:spacing w:after="0" w:line="171" w:lineRule="exact"/>
        <w:rPr>
          <w:sz w:val="20"/>
          <w:szCs w:val="20"/>
          <w:color w:val="auto"/>
        </w:rPr>
      </w:pPr>
    </w:p>
    <w:p>
      <w:pPr>
        <w:ind w:right="20" w:firstLine="656"/>
        <w:spacing w:after="0" w:line="277" w:lineRule="auto"/>
        <w:tabs>
          <w:tab w:leader="none" w:pos="12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Certain Deliverables. Not less than five days prior to the Closing Date, the Company shall deliver to Acquirer the Estimated Closing Statement, including supporting calculations and documentation for the estimates set forth therein.</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Company Group Closing Deliveries. At the Closing, the Company Group and Seller, as applicable, shall deliver or cause to be delivered to Acquirer each of the following:</w:t>
      </w:r>
    </w:p>
    <w:p>
      <w:pPr>
        <w:spacing w:after="0" w:line="116" w:lineRule="exact"/>
        <w:rPr>
          <w:rFonts w:ascii="Arial" w:cs="Arial" w:eastAsia="Arial" w:hAnsi="Arial"/>
          <w:sz w:val="18"/>
          <w:szCs w:val="18"/>
          <w:color w:val="auto"/>
        </w:rPr>
      </w:pPr>
    </w:p>
    <w:p>
      <w:pPr>
        <w:ind w:right="20" w:firstLine="1304"/>
        <w:spacing w:after="0" w:line="277" w:lineRule="auto"/>
        <w:tabs>
          <w:tab w:leader="none" w:pos="193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Holdco2 by its Chief Executive Officer, to the effect that each of the conditions set forth in Section 6.3(a) and Section 6.3(d) have been satisfied;</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Holdco2 by its Secretary, certifying (A) the certificate of incorporation of Holdco2 (the “Certificate of Incorporation”) in effect as of the Closing, (B) the bylaws of Holdco2 (the “Bylaws”) in effect as of the Closing, and (C) the resolutions of the Holdco2 Board reflecting the Holdco2 Board Approval;</w:t>
      </w:r>
    </w:p>
    <w:p>
      <w:pPr>
        <w:spacing w:after="0" w:line="129" w:lineRule="exact"/>
        <w:rPr>
          <w:rFonts w:ascii="Arial" w:cs="Arial" w:eastAsia="Arial" w:hAnsi="Arial"/>
          <w:sz w:val="18"/>
          <w:szCs w:val="18"/>
          <w:color w:val="auto"/>
        </w:rPr>
      </w:pPr>
    </w:p>
    <w:p>
      <w:pPr>
        <w:jc w:val="both"/>
        <w:ind w:firstLine="1304"/>
        <w:spacing w:after="0" w:line="272" w:lineRule="auto"/>
        <w:tabs>
          <w:tab w:leader="none" w:pos="1944" w:val="left"/>
        </w:tabs>
        <w:numPr>
          <w:ilvl w:val="1"/>
          <w:numId w:val="201"/>
        </w:numPr>
        <w:rPr>
          <w:rFonts w:ascii="Arial" w:cs="Arial" w:eastAsia="Arial" w:hAnsi="Arial"/>
          <w:sz w:val="17"/>
          <w:szCs w:val="17"/>
          <w:color w:val="auto"/>
        </w:rPr>
      </w:pPr>
      <w:r>
        <w:rPr>
          <w:rFonts w:ascii="Arial" w:cs="Arial" w:eastAsia="Arial" w:hAnsi="Arial"/>
          <w:sz w:val="17"/>
          <w:szCs w:val="17"/>
          <w:color w:val="auto"/>
        </w:rPr>
        <w:t>payoff letters or similar instruments in form and substance reasonably satisfactory to Acquirer with respect to all Closing Indebtedness for borrowed money (including, for the avoidance of doubt,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which letters provide for the release of all Encumbrances relating to such Closing Indebtedness following satisfaction of the terms contained in such payoff letters (including the payment in full and discharge of all principal and accrued but unpaid interest and any premiums or other fees payable in connection with such Closing Indebtedness);</w:t>
      </w:r>
    </w:p>
    <w:p>
      <w:pPr>
        <w:spacing w:after="0" w:line="123" w:lineRule="exact"/>
        <w:rPr>
          <w:rFonts w:ascii="Arial" w:cs="Arial" w:eastAsia="Arial" w:hAnsi="Arial"/>
          <w:sz w:val="17"/>
          <w:szCs w:val="17"/>
          <w:color w:val="auto"/>
        </w:rPr>
      </w:pPr>
    </w:p>
    <w:p>
      <w:pPr>
        <w:ind w:right="20" w:firstLine="1304"/>
        <w:spacing w:after="0" w:line="277" w:lineRule="auto"/>
        <w:tabs>
          <w:tab w:leader="none" w:pos="193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invoices from each Person that is entitled to any Transaction Expenses at Closing reflecting the total amount of Transaction Expenses that has been incurred and remains payable to such Person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4" w:lineRule="exact"/>
        <w:rPr>
          <w:sz w:val="20"/>
          <w:szCs w:val="20"/>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Written Consent and Shareholder Agreement, in each case executed by Seller;</w:t>
      </w:r>
    </w:p>
    <w:p>
      <w:pPr>
        <w:spacing w:after="0" w:line="171" w:lineRule="exact"/>
        <w:rPr>
          <w:rFonts w:ascii="Arial" w:cs="Arial" w:eastAsia="Arial" w:hAnsi="Arial"/>
          <w:sz w:val="18"/>
          <w:szCs w:val="18"/>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Shareholder Agreement executed by each of the Lock-Up Holders;</w:t>
      </w:r>
    </w:p>
    <w:p>
      <w:pPr>
        <w:spacing w:after="0" w:line="171" w:lineRule="exact"/>
        <w:rPr>
          <w:rFonts w:ascii="Arial" w:cs="Arial" w:eastAsia="Arial" w:hAnsi="Arial"/>
          <w:sz w:val="18"/>
          <w:szCs w:val="18"/>
          <w:color w:val="auto"/>
        </w:rPr>
      </w:pPr>
    </w:p>
    <w:p>
      <w:pPr>
        <w:ind w:left="1620" w:hanging="656"/>
        <w:spacing w:after="0"/>
        <w:tabs>
          <w:tab w:leader="none" w:pos="16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Escrow Agreement, executed by Seller;</w:t>
      </w:r>
    </w:p>
    <w:p>
      <w:pPr>
        <w:spacing w:after="0" w:line="171" w:lineRule="exact"/>
        <w:rPr>
          <w:rFonts w:ascii="Arial" w:cs="Arial" w:eastAsia="Arial" w:hAnsi="Arial"/>
          <w:sz w:val="18"/>
          <w:szCs w:val="18"/>
          <w:color w:val="auto"/>
        </w:rPr>
      </w:pPr>
    </w:p>
    <w:p>
      <w:pPr>
        <w:jc w:val="both"/>
        <w:ind w:left="-340" w:firstLine="1304"/>
        <w:spacing w:after="0" w:line="263" w:lineRule="auto"/>
        <w:tabs>
          <w:tab w:leader="none" w:pos="159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unless Acquirer provides written notice to Holdco2 no later than three Business Days prior to the Closing Date to the contrary, a resignation letter reasonably satisfactory to Acquirer executed by each director and officer of each member of the Company Group in office immediately prior to the Closing, in each case, effective as of, and contingent upon, the Effective Time;</w:t>
      </w:r>
    </w:p>
    <w:p>
      <w:pPr>
        <w:spacing w:after="0" w:line="129" w:lineRule="exact"/>
        <w:rPr>
          <w:rFonts w:ascii="Arial" w:cs="Arial" w:eastAsia="Arial" w:hAnsi="Arial"/>
          <w:sz w:val="18"/>
          <w:szCs w:val="18"/>
          <w:color w:val="auto"/>
        </w:rPr>
      </w:pPr>
    </w:p>
    <w:p>
      <w:pPr>
        <w:jc w:val="both"/>
        <w:ind w:left="-340" w:firstLine="1304"/>
        <w:spacing w:after="0" w:line="259" w:lineRule="auto"/>
        <w:tabs>
          <w:tab w:leader="none" w:pos="15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certificate from the Secretary of State of the States of Delaware and each other state or other jurisdiction in which any member of the Company Group is organized, dated within three Business Days prior to the Closing Date, certifying that such member of the Company Group is in good standing and that all applicable franchise and similar Taxes and fees of the Company and each applicable Subsidiary of the Company through and including the Closing Date have been paid;</w:t>
      </w:r>
    </w:p>
    <w:p>
      <w:pPr>
        <w:spacing w:after="0" w:line="132" w:lineRule="exact"/>
        <w:rPr>
          <w:rFonts w:ascii="Arial" w:cs="Arial" w:eastAsia="Arial" w:hAnsi="Arial"/>
          <w:sz w:val="18"/>
          <w:szCs w:val="18"/>
          <w:color w:val="auto"/>
        </w:rPr>
      </w:pPr>
    </w:p>
    <w:p>
      <w:pPr>
        <w:ind w:left="-340" w:firstLine="1304"/>
        <w:spacing w:after="0" w:line="308" w:lineRule="auto"/>
        <w:tabs>
          <w:tab w:leader="none" w:pos="159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 IRS Form W-9 (Request for Taxpayer Number and Certification), duly executed by Seller (provided, that, if Seller to provide such form, Acquirer’s only recourse shall be to withhold applicable Taxes with respect to Seller’s proceeds in accordance with Section 2.8;</w:t>
      </w:r>
    </w:p>
    <w:p>
      <w:pPr>
        <w:spacing w:after="0" w:line="92" w:lineRule="exact"/>
        <w:rPr>
          <w:rFonts w:ascii="Arial" w:cs="Arial" w:eastAsia="Arial" w:hAnsi="Arial"/>
          <w:sz w:val="17"/>
          <w:szCs w:val="17"/>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First Certificate of Merger, executed by Holdco2;</w:t>
      </w:r>
    </w:p>
    <w:p>
      <w:pPr>
        <w:spacing w:after="0" w:line="171" w:lineRule="exact"/>
        <w:rPr>
          <w:rFonts w:ascii="Arial" w:cs="Arial" w:eastAsia="Arial" w:hAnsi="Arial"/>
          <w:sz w:val="18"/>
          <w:szCs w:val="18"/>
          <w:color w:val="auto"/>
        </w:rPr>
      </w:pPr>
    </w:p>
    <w:p>
      <w:pPr>
        <w:ind w:left="-340" w:firstLine="1304"/>
        <w:spacing w:after="0" w:line="277" w:lineRule="auto"/>
        <w:tabs>
          <w:tab w:leader="none" w:pos="16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evidence reasonably satisfactory to Acquirer of receipt of all consents, approvals, novations, amendments and terminations set forth on Schedule 2.3(b)(xiv); and</w:t>
      </w:r>
    </w:p>
    <w:p>
      <w:pPr>
        <w:spacing w:after="0" w:line="116" w:lineRule="exact"/>
        <w:rPr>
          <w:rFonts w:ascii="Arial" w:cs="Arial" w:eastAsia="Arial" w:hAnsi="Arial"/>
          <w:sz w:val="18"/>
          <w:szCs w:val="18"/>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USB drive (or similar device) containing a copy of the contents of the Data Room.</w:t>
      </w:r>
    </w:p>
    <w:p>
      <w:pPr>
        <w:spacing w:after="0" w:line="171" w:lineRule="exact"/>
        <w:rPr>
          <w:rFonts w:ascii="Arial" w:cs="Arial" w:eastAsia="Arial" w:hAnsi="Arial"/>
          <w:sz w:val="18"/>
          <w:szCs w:val="18"/>
          <w:color w:val="auto"/>
        </w:rPr>
      </w:pPr>
    </w:p>
    <w:p>
      <w:pPr>
        <w:ind w:left="960" w:hanging="644"/>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Acquirer Closing Deliveries. At the Closing, Acquirer shall deliver or cause to be delivered to Seller each of the following:</w:t>
      </w:r>
    </w:p>
    <w:p>
      <w:pPr>
        <w:spacing w:after="0" w:line="171" w:lineRule="exact"/>
        <w:rPr>
          <w:rFonts w:ascii="Arial" w:cs="Arial" w:eastAsia="Arial" w:hAnsi="Arial"/>
          <w:sz w:val="18"/>
          <w:szCs w:val="18"/>
          <w:color w:val="auto"/>
        </w:rPr>
      </w:pPr>
    </w:p>
    <w:p>
      <w:pPr>
        <w:ind w:left="-340" w:firstLine="1304"/>
        <w:spacing w:after="0" w:line="277" w:lineRule="auto"/>
        <w:tabs>
          <w:tab w:leader="none" w:pos="15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Acquirer by its Chief Executive Officer, to the effect that each of the conditions set forth in Section 6.2(a) and Section 6.2(c) have been satisfied;</w:t>
      </w:r>
    </w:p>
    <w:p>
      <w:pPr>
        <w:spacing w:after="0" w:line="116" w:lineRule="exact"/>
        <w:rPr>
          <w:rFonts w:ascii="Arial" w:cs="Arial" w:eastAsia="Arial" w:hAnsi="Arial"/>
          <w:sz w:val="18"/>
          <w:szCs w:val="18"/>
          <w:color w:val="auto"/>
        </w:rPr>
      </w:pPr>
    </w:p>
    <w:p>
      <w:pPr>
        <w:jc w:val="both"/>
        <w:ind w:left="-340" w:right="20" w:firstLine="1304"/>
        <w:spacing w:after="0" w:line="263" w:lineRule="auto"/>
        <w:tabs>
          <w:tab w:leader="none" w:pos="159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Acquirer by its Secretary, certifying (A) the certificate of incorporation of Acquirer in effect as of the Closing, (B) the bylaws of Acquirer in effect as of the Closing, and (C) the resolutions of the Acquirer Board approving the Transactions;</w:t>
      </w:r>
    </w:p>
    <w:p>
      <w:pPr>
        <w:spacing w:after="0" w:line="129" w:lineRule="exact"/>
        <w:rPr>
          <w:rFonts w:ascii="Arial" w:cs="Arial" w:eastAsia="Arial" w:hAnsi="Arial"/>
          <w:sz w:val="18"/>
          <w:szCs w:val="18"/>
          <w:color w:val="auto"/>
        </w:rPr>
      </w:pPr>
    </w:p>
    <w:p>
      <w:pPr>
        <w:ind w:left="-340" w:right="20" w:firstLine="1304"/>
        <w:spacing w:after="0" w:line="277" w:lineRule="auto"/>
        <w:tabs>
          <w:tab w:leader="none" w:pos="160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each Ancillary Agreement to which any Acquirer Party is a party that has not previously been delivered to the Holdco2 and Seller, executed and delivered by each Acquirer Party that is a party thereto; and</w:t>
      </w:r>
    </w:p>
    <w:p>
      <w:pPr>
        <w:spacing w:after="0" w:line="116" w:lineRule="exact"/>
        <w:rPr>
          <w:rFonts w:ascii="Arial" w:cs="Arial" w:eastAsia="Arial" w:hAnsi="Arial"/>
          <w:sz w:val="18"/>
          <w:szCs w:val="18"/>
          <w:color w:val="auto"/>
        </w:rPr>
      </w:pPr>
    </w:p>
    <w:p>
      <w:pPr>
        <w:ind w:left="1600" w:hanging="636"/>
        <w:spacing w:after="0"/>
        <w:tabs>
          <w:tab w:leader="none" w:pos="16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Merger Consideration, as set forth in and in accordance with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2.5(a)(i)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on Holdco2 Common Stock</w:t>
      </w:r>
      <w:r>
        <w:rPr>
          <w:rFonts w:ascii="Arial" w:cs="Arial" w:eastAsia="Arial" w:hAnsi="Arial"/>
          <w:sz w:val="18"/>
          <w:szCs w:val="18"/>
          <w:color w:val="auto"/>
        </w:rPr>
        <w:t>.</w:t>
      </w:r>
    </w:p>
    <w:p>
      <w:pPr>
        <w:spacing w:after="0" w:line="171" w:lineRule="exact"/>
        <w:rPr>
          <w:sz w:val="20"/>
          <w:szCs w:val="20"/>
          <w:color w:val="auto"/>
        </w:rPr>
      </w:pPr>
    </w:p>
    <w:p>
      <w:pPr>
        <w:jc w:val="both"/>
        <w:ind w:left="-340" w:firstLine="656"/>
        <w:spacing w:after="0" w:line="257" w:lineRule="auto"/>
        <w:tabs>
          <w:tab w:leader="none" w:pos="9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Treatment of Holdco2 Common Stock. Upon the terms and subject to the conditions set forth herein, including Section 2.5(b), Section 2.6, Section 2.7, Section 2.8 and Article 8, at the Effective Time, by virtue of the First Merger and without any action on the part of any Party or any other Person, the shares of Holdco2 Common Stock issued and outstanding immediately prior to the Effective Time (other than Excluded Shares) shall be automatically converted into the right of Seller to receive: (A) the Merger Consideration and (B) if and only to the extent payable pursuant to Section 2.7, the Milestone Payments.</w:t>
      </w:r>
    </w:p>
    <w:p>
      <w:pPr>
        <w:spacing w:after="0" w:line="133" w:lineRule="exact"/>
        <w:rPr>
          <w:rFonts w:ascii="Arial" w:cs="Arial" w:eastAsia="Arial" w:hAnsi="Arial"/>
          <w:sz w:val="18"/>
          <w:szCs w:val="18"/>
          <w:color w:val="auto"/>
        </w:rPr>
      </w:pPr>
    </w:p>
    <w:p>
      <w:pPr>
        <w:ind w:left="-340" w:right="20" w:firstLine="656"/>
        <w:spacing w:after="0" w:line="277" w:lineRule="auto"/>
        <w:tabs>
          <w:tab w:leader="none" w:pos="95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Treasury Shares. At the Effective Time, all shares of Holdco2 Common Stock that are owned by the Company as treasury stock immediately prior to the Effective Time (“Excluded Shares”) shall be cancelled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660" w:top="1440" w:right="339" w:bottom="1440" w:gutter="0" w:footer="0" w:header="0"/>
        </w:sectPr>
      </w:pPr>
    </w:p>
    <w:bookmarkStart w:id="360" w:name="page361"/>
    <w:bookmarkEnd w:id="36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extinguished without any conversion thereof or payment of any cash or other property or consideration therefor and shall cease to exist.</w:t>
      </w:r>
    </w:p>
    <w:p>
      <w:pPr>
        <w:spacing w:after="0" w:line="171" w:lineRule="exact"/>
        <w:rPr>
          <w:sz w:val="20"/>
          <w:szCs w:val="20"/>
          <w:color w:val="auto"/>
        </w:rPr>
      </w:pPr>
    </w:p>
    <w:p>
      <w:pPr>
        <w:jc w:val="both"/>
        <w:ind w:firstLine="656"/>
        <w:spacing w:after="0" w:line="273" w:lineRule="auto"/>
        <w:tabs>
          <w:tab w:leader="none" w:pos="129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Treatment of Merger Sub I Capital Stock. At the Effective Time, by virtue of the First Merger and without any action on the part of Acquirer, Merger Sub I or any other Person, each share of capital stock of Merger Sub I that is issued and outstanding immediately prior to the Effective Time shall be converted into and become one share of common stock of the Surviving Corporation (and the shares of the Surviving Corporation into which the shares of Merger Sub I capital stock are so converted shall be the only shares of the Surviving Corporation’s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Surviving Corporation.</w:t>
      </w:r>
    </w:p>
    <w:p>
      <w:pPr>
        <w:spacing w:after="0" w:line="123"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Treatment of Merger Sub II Membership Interests. At the Second Merger Effective Time, by virtue of the Second Merger and without any action on the part of Acquirer, Merger Sub II or any other Person, each share of common stock of the Surviving Corporation that is issued and outstanding immediately prior to the Second Merger Effective Time shall be cancelled and extinguished without any conversion thereof. At the Second Merger Effective Time, each membership interest of Merger Sub II that is issued and outstanding immediately prior to the Second Merger Effective Time will constitute a membership interest of the Surviving Entity (and the membership interests of the Surviving Entity shall be the only membership interests of the Surviving Entity issued and outstanding immediately after the Second Merger Effective Time).</w:t>
      </w:r>
    </w:p>
    <w:p>
      <w:pPr>
        <w:spacing w:after="0" w:line="123" w:lineRule="exact"/>
        <w:rPr>
          <w:rFonts w:ascii="Arial" w:cs="Arial" w:eastAsia="Arial" w:hAnsi="Arial"/>
          <w:sz w:val="17"/>
          <w:szCs w:val="17"/>
          <w:color w:val="auto"/>
        </w:rPr>
      </w:pPr>
    </w:p>
    <w:p>
      <w:pPr>
        <w:jc w:val="both"/>
        <w:ind w:firstLine="656"/>
        <w:spacing w:after="0" w:line="273" w:lineRule="auto"/>
        <w:tabs>
          <w:tab w:leader="none" w:pos="129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Adjustments. In the event of any stock split, reverse stock split, stock dividend (including any dividend or distribution of securities convertible into capital stock), reorganization, reclassification, combination, recapitalization or other like change with respect to the Holdco2 Common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23" w:lineRule="exact"/>
        <w:rPr>
          <w:rFonts w:ascii="Arial" w:cs="Arial" w:eastAsia="Arial" w:hAnsi="Arial"/>
          <w:sz w:val="17"/>
          <w:szCs w:val="17"/>
          <w:color w:val="auto"/>
        </w:rPr>
      </w:pPr>
    </w:p>
    <w:p>
      <w:pPr>
        <w:jc w:val="both"/>
        <w:ind w:firstLine="656"/>
        <w:spacing w:after="0" w:line="263" w:lineRule="auto"/>
        <w:tabs>
          <w:tab w:leader="none" w:pos="12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Fractional Shares. No fraction of a share of Acquirer Stock will be issued in connection with the Transactions and in lieu thereof Seller will receive from Acquirer, an amount of cash equal to the product (rounded upwards to the nearest whole cent) of such fraction of a share Seller would otherwise receive and the Share Value.</w:t>
      </w:r>
    </w:p>
    <w:p>
      <w:pPr>
        <w:spacing w:after="0" w:line="129"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Interest. Notwithstanding anything to the contrary contained herein, no interest shall accumulate on any cash payable in connection with the consummation of the Transactions.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Payment Procedures.</w:t>
      </w:r>
    </w:p>
    <w:p>
      <w:pPr>
        <w:spacing w:after="0" w:line="171"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Payment; Release of Claims.</w:t>
      </w:r>
    </w:p>
    <w:p>
      <w:pPr>
        <w:spacing w:after="0" w:line="171" w:lineRule="exact"/>
        <w:rPr>
          <w:rFonts w:ascii="Arial" w:cs="Arial" w:eastAsia="Arial" w:hAnsi="Arial"/>
          <w:sz w:val="18"/>
          <w:szCs w:val="18"/>
          <w:color w:val="auto"/>
        </w:rPr>
      </w:pPr>
    </w:p>
    <w:p>
      <w:pPr>
        <w:jc w:val="both"/>
        <w:ind w:firstLine="1304"/>
        <w:spacing w:after="0" w:line="257" w:lineRule="auto"/>
        <w:tabs>
          <w:tab w:leader="none" w:pos="193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On the Closing Date, Acquirer shall pay and issue, as applicable, the Merger Consideration to Seller, in accordance with the wire and delivery instructions delivered in writing to Acquirer by Seller no less than three (3) Business Days prior to the Closing, less the Escrow Amount. Notwithstanding anything herein to the contrary, (A) all cash payments made under this Agreement in respect of the Total Merger Consideration shall be made in U.S. dollars and (B) any shares of Acquirer Stock issued by Acquirer in respect of the Total Merger Consideration shall be issued in the name of Seller.</w:t>
      </w:r>
    </w:p>
    <w:p>
      <w:pPr>
        <w:spacing w:after="0" w:line="133" w:lineRule="exact"/>
        <w:rPr>
          <w:rFonts w:ascii="Arial" w:cs="Arial" w:eastAsia="Arial" w:hAnsi="Arial"/>
          <w:sz w:val="18"/>
          <w:szCs w:val="18"/>
          <w:color w:val="auto"/>
        </w:rPr>
      </w:pPr>
    </w:p>
    <w:p>
      <w:pPr>
        <w:jc w:val="both"/>
        <w:ind w:firstLine="1304"/>
        <w:spacing w:after="0" w:line="273" w:lineRule="auto"/>
        <w:tabs>
          <w:tab w:leader="none" w:pos="1934" w:val="left"/>
        </w:tabs>
        <w:numPr>
          <w:ilvl w:val="1"/>
          <w:numId w:val="206"/>
        </w:numPr>
        <w:rPr>
          <w:rFonts w:ascii="Arial" w:cs="Arial" w:eastAsia="Arial" w:hAnsi="Arial"/>
          <w:sz w:val="17"/>
          <w:szCs w:val="17"/>
          <w:color w:val="auto"/>
        </w:rPr>
      </w:pPr>
      <w:r>
        <w:rPr>
          <w:rFonts w:ascii="Arial" w:cs="Arial" w:eastAsia="Arial" w:hAnsi="Arial"/>
          <w:sz w:val="17"/>
          <w:szCs w:val="17"/>
          <w:color w:val="auto"/>
        </w:rPr>
        <w:t>Effective upon and only upon the consummation of the Closing, notwithstanding anything contained herein to the contrary, in consideration of the execution, delivery and performance by Acquirer, Merger Sub I and Merger Sub II of this Agreement, as of the Closing, Seller, on behalf of itself and its Affiliates (each, a “Releasing Party”) hereby RELEASES, WAIVES, ACQUITS AND FOREVER DISCHARGES the Company Parties (each, a “Released Party”), from any and all Damages, liabilities, costs, expenses, claims, damages, actions, causes of action, or suits in law or equity, of whatever kind or nature that any Releasing Party ever had or may now have against any Released Party relating to the Company or its business and that have accrued or arisen prior to the Closing, including those based on any fact or circumstance arising from Seller’s past or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ownership or alleged ownership, as applicable, of any Holdco2 Common Stock (including any claims relating to actual or alleged breaches of fiduciary or other duties by the Company’s directors, officers or stockholders), whether based on Contract or any applicable Law (including tort, statute, local ordinance, regulation or any comparable law) in any jurisdiction, including under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provided that nothing in the foregoing release shall or be deemed to release any rights or obligations of any Released Party or Releasing Party (i) for indemnification or contribution, in any Releasing Party’s capacity as an officer or director of the Company, under the DGCL, Section 5.12(b) any indemnification agreements to which the Releasing Party and the Company are parties that have been Delivered to Acquirer prior to the Agreement Date or the Company’s Governing Documents; (ii) for amounts owed pursuant to, or other rights and obligations set forth in, this Agreement and any Ancillary Agreement; or (iii) any claim based on fraud or any other matter that cannot be released as a matter of law.</w:t>
      </w:r>
    </w:p>
    <w:p>
      <w:pPr>
        <w:spacing w:after="0" w:line="138" w:lineRule="exact"/>
        <w:rPr>
          <w:sz w:val="20"/>
          <w:szCs w:val="20"/>
          <w:color w:val="auto"/>
        </w:rPr>
      </w:pPr>
    </w:p>
    <w:p>
      <w:pPr>
        <w:jc w:val="both"/>
        <w:ind w:firstLine="656"/>
        <w:spacing w:after="0" w:line="270" w:lineRule="auto"/>
        <w:tabs>
          <w:tab w:leader="none" w:pos="129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Escrow Account. Notwithstanding anything to the contrary in the other provisions of this Article 2, at Closing, Acquirer shall withhold the Escrow Amount from the Merger Consideration payable to Seller pursuant to Section 2.4(a) and Section 2.5. On the Closing Date, Acquirer shall deposit the Escrow Amount with PNC Bank, National Association, a national banking association (or, if PNC Bank is unable or unwilling to act, another comparable escrow agent (the “Escrow Agent”), to be held in the Escrow Account, which shall be governed by this Agreement and the escrow agreement in customary form to be mutually agreed by the Parties acting reasonably prior to the Closing (the “Escrow Agreement”). Neither the Escrow Account (including any portion thereof) nor any beneficial interest therein may be pledged, subjected to any Encumbrance, sold, assigned or transferred by Seller or be taken or reached by any legal or equitable process in satisfaction of any debt or other Liability of Seller, in each case prior to the distribution of the Escrow Account to Seller in accordance with the applicable terms of this Agreement, except that Seller shall be entitled to assign Seller’s rights to amounts held in the Escrow Account by operation of law.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Post-Closing Adjustment.</w:t>
      </w:r>
    </w:p>
    <w:p>
      <w:pPr>
        <w:spacing w:after="0" w:line="171" w:lineRule="exact"/>
        <w:rPr>
          <w:sz w:val="20"/>
          <w:szCs w:val="20"/>
          <w:color w:val="auto"/>
        </w:rPr>
      </w:pPr>
    </w:p>
    <w:p>
      <w:pPr>
        <w:jc w:val="both"/>
        <w:ind w:firstLine="656"/>
        <w:spacing w:after="0" w:line="284" w:lineRule="auto"/>
        <w:tabs>
          <w:tab w:leader="none" w:pos="1293" w:val="left"/>
        </w:tabs>
        <w:numPr>
          <w:ilvl w:val="1"/>
          <w:numId w:val="208"/>
        </w:numPr>
        <w:rPr>
          <w:rFonts w:ascii="Arial" w:cs="Arial" w:eastAsia="Arial" w:hAnsi="Arial"/>
          <w:sz w:val="16"/>
          <w:szCs w:val="16"/>
          <w:color w:val="auto"/>
        </w:rPr>
      </w:pPr>
      <w:r>
        <w:rPr>
          <w:rFonts w:ascii="Arial" w:cs="Arial" w:eastAsia="Arial" w:hAnsi="Arial"/>
          <w:sz w:val="16"/>
          <w:szCs w:val="16"/>
          <w:color w:val="auto"/>
        </w:rPr>
        <w:t>Within 90 days after the Closing Date, Acquirer shall prepare and deliver, or cause to be prepared and delivered, to Seller a statement (the “Closing Statement”), setting forth its determination of the amount of Company Net Working Capital, prepared in accordance with the Company Net Working Capital Schedule (and any corresponding Closing Net Working Capital Shortfall or Closing Net Working Capital Surplus), Closing Indebtedness and Transaction Expenses that remained unpaid as of immediately prior to the Closing, and, based on the foregoing, its determination of the Cash Consideration, and the adjustment (if any) necessary to reconcile the amounts set forth in the Estimated Closing Statement to the Closing Statement in accordance with the terms and conditions of this Agreement. The Closing Statement shall be prepared in accordance with (i) the Accounting Standards and</w:t>
      </w:r>
    </w:p>
    <w:p>
      <w:pPr>
        <w:spacing w:after="0" w:line="4" w:lineRule="exact"/>
        <w:rPr>
          <w:rFonts w:ascii="Arial" w:cs="Arial" w:eastAsia="Arial" w:hAnsi="Arial"/>
          <w:sz w:val="16"/>
          <w:szCs w:val="16"/>
          <w:color w:val="auto"/>
        </w:rPr>
      </w:pPr>
    </w:p>
    <w:p>
      <w:pPr>
        <w:jc w:val="both"/>
        <w:ind w:firstLine="8"/>
        <w:spacing w:after="0" w:line="252" w:lineRule="auto"/>
        <w:tabs>
          <w:tab w:leader="none" w:pos="26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shall be based exclusively on the facts and circumstances as they shall have existed at the Measurement Time and shall exclude the effects of any event, act, information, decision, change in circumstances or similar development arising or occurring on (except with respect to Transaction Expenses) or after the Closing Date. The post-Closing purchase price adjustment as set forth in this Section 2.6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the Accounting Standards.</w:t>
      </w:r>
    </w:p>
    <w:p>
      <w:pPr>
        <w:spacing w:after="0" w:line="139" w:lineRule="exact"/>
        <w:rPr>
          <w:rFonts w:ascii="Arial" w:cs="Arial" w:eastAsia="Arial" w:hAnsi="Arial"/>
          <w:sz w:val="18"/>
          <w:szCs w:val="18"/>
          <w:color w:val="auto"/>
        </w:rPr>
      </w:pPr>
    </w:p>
    <w:p>
      <w:pPr>
        <w:jc w:val="both"/>
        <w:ind w:firstLine="656"/>
        <w:spacing w:after="0" w:line="254" w:lineRule="auto"/>
        <w:tabs>
          <w:tab w:leader="none" w:pos="12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Unless Seller notifies Acquirer in writing (a “Notice of Objection”) within 45 days after Acquirer’s delivery of the Closing Statement (such 45-day period, the “Objection Period”) that Seller disagrees with the Closing Statement, specifying the nature and amount of any dispute as to Company Net Working Capital (and any corresponding Closing Net Working Capital Shortfall or Closing Net Working Capital Surplus), Closing Indebtedness and Transaction Expenses that remained unpaid as of immediately prior to the Closing, in each case as set forth in the Closing Statement (each, a “Disputed Item”), the Closing Statement and the determinations set forth therein shall be final, binding and conclusive on the Parties. Following the delivery of the Closing Statement and for purposes of Seller’s review of the Closing Statement and preparation of any Notice of Objection, Acquirer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afford Seller and its Representatives with reasonable access, during normal business hours and upon reasonable prior notice, to the personnel, properties, books and records of Acquirer and the Surviving Entity and to any other information reasonably requested for purposes of preparing and reviewing the calculations contemplated by this Section 2.6. Acquirer shall authorize its and the Surviving Entity’s outside accountants to disclose to Seller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Any Notice of Objection shall specify the basis for the objections set forth therein. Seller shall be deemed to have agreed with those items and amounts contained in the Closing Statement not disputed by Seller in a Notice of Objection.</w:t>
      </w:r>
    </w:p>
    <w:p>
      <w:pPr>
        <w:spacing w:after="0" w:line="123" w:lineRule="exact"/>
        <w:rPr>
          <w:sz w:val="20"/>
          <w:szCs w:val="20"/>
          <w:color w:val="auto"/>
        </w:rPr>
      </w:pPr>
    </w:p>
    <w:p>
      <w:pPr>
        <w:jc w:val="both"/>
        <w:ind w:firstLine="656"/>
        <w:spacing w:after="0" w:line="284" w:lineRule="auto"/>
        <w:tabs>
          <w:tab w:leader="none" w:pos="129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Seller provides the Notice of Objection to Acquirer within the Objection Period, Seller and Acquirer shall, during the 30-day period following Acquirer’s receipt of the Notice of Objection (such 30-day period, the “Resolution Period”), attempt in good faith to resolve each Disputed Item. During the Resolution Period, Seller shall afford Acquirer and its Representatives with reasonable access, during normal business hours and upon reasonable prior notice, to the personnel, properties, books and records of Seller and to any other information reasonably requested for purposes of preparing and reviewing the calculations contemplated by this Section 2.6. Seller shall authorize its outside accountants to disclose to Acquirer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If Seller and Acquirer are unable to resolve all of the Disputed Items within the Resolution Period (the “Unresolved Items”), the Unresolved Items shall be submitted to a nationally recognized independent valuation, accounting or specialty firm to be mutually agreed upon by Seller and Acquirer, which accounting firm shall not have worked with Seller, the Company or Acquirer or any of their respective Affiliates in the preceding 12 months (such agreed firm being the “Independent Expert”). The Independent Expert shall be engaged pursuant to an engagement letter among Seller, Acquirer and the Independent Expert on terms and conditions consistent with this Section 2.6(c). The Independent Expert shall be instructed, pursuant to such engagement letter, to act as an expert and not as an arbitrator and to resolve only the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Unresolved Item, such decision shall be made based on the terms and conditions of this Agreement and shall not be in excess of the higher, nor less than the lower, of the amounts advocated by Acquirer in the Closing Statement or Seller in the Notice of Objection with respect to such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 For example, if Acquirer’s calculations would have resulted in a $1,000,000 net payment to Acquirer, and Seller’s calculations would have resulted in a $1,000,000 net payment to Seller and the Independent Expert’s final determination as adopted pursuant to this Section 2.6(c) results in an aggregate net payment of $500,000 to Seller, then Acquirer, on the one hand, and Seller, on the other hand, shall pay 75% and 25%, respectively, of such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4" w:lineRule="exact"/>
        <w:rPr>
          <w:sz w:val="20"/>
          <w:szCs w:val="20"/>
          <w:color w:val="auto"/>
        </w:rPr>
      </w:pPr>
    </w:p>
    <w:p>
      <w:pPr>
        <w:jc w:val="both"/>
        <w:ind w:left="-340" w:firstLine="656"/>
        <w:spacing w:after="0" w:line="263" w:lineRule="auto"/>
        <w:tabs>
          <w:tab w:leader="none" w:pos="95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After the Cash Consideration has been finally determined in accordance with this Section 2.6 (the Cash Consideration as so determined being referred to herein as the “Final Cash Consideration”), the following payments shall be made on or prior to the third (3rd) Business Day immediately following such determination:</w:t>
      </w:r>
    </w:p>
    <w:p>
      <w:pPr>
        <w:spacing w:after="0" w:line="129" w:lineRule="exact"/>
        <w:rPr>
          <w:rFonts w:ascii="Arial" w:cs="Arial" w:eastAsia="Arial" w:hAnsi="Arial"/>
          <w:sz w:val="18"/>
          <w:szCs w:val="18"/>
          <w:color w:val="auto"/>
        </w:rPr>
      </w:pPr>
    </w:p>
    <w:p>
      <w:pPr>
        <w:jc w:val="both"/>
        <w:ind w:left="-340" w:firstLine="1304"/>
        <w:spacing w:after="0" w:line="263" w:lineRule="auto"/>
        <w:tabs>
          <w:tab w:leader="none" w:pos="159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Final Cash Consideration exceeds the Estimated Cash Consideration (the “Excess Amount”), then Acquirer shall pay, or cause to be paid, an amount in cash equal to the Excess Amount to Seller by wire transfer of immediately available funds to an account specified in writing by Seller; or</w:t>
      </w:r>
    </w:p>
    <w:p>
      <w:pPr>
        <w:spacing w:after="0" w:line="129" w:lineRule="exact"/>
        <w:rPr>
          <w:rFonts w:ascii="Arial" w:cs="Arial" w:eastAsia="Arial" w:hAnsi="Arial"/>
          <w:sz w:val="18"/>
          <w:szCs w:val="18"/>
          <w:color w:val="auto"/>
        </w:rPr>
      </w:pPr>
    </w:p>
    <w:p>
      <w:pPr>
        <w:jc w:val="both"/>
        <w:ind w:left="-340" w:firstLine="1304"/>
        <w:spacing w:after="0" w:line="259" w:lineRule="auto"/>
        <w:tabs>
          <w:tab w:leader="none" w:pos="159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Estimated Cash Consideration exceeds the Final Cash Consideration (such excess, the “Shortfall Amount”), then Acquirer and Seller shall deliver joint written instructions to the Escrow Agent instructing the Escrow Agent to disburse to Acquirer, from the Escrow Account an amount in cash equal to the Shortfall Amount; provided, that, if the Shortfall Amount exceeds $2,500,000, then Acquirer may elect in writing to require that Seller pay, or cause to be paid, an amount in cash equal to the Shortfall Amount to Acquirer.</w:t>
      </w:r>
    </w:p>
    <w:p>
      <w:pPr>
        <w:spacing w:after="0" w:line="132" w:lineRule="exact"/>
        <w:rPr>
          <w:rFonts w:ascii="Arial" w:cs="Arial" w:eastAsia="Arial" w:hAnsi="Arial"/>
          <w:sz w:val="18"/>
          <w:szCs w:val="18"/>
          <w:color w:val="auto"/>
        </w:rPr>
      </w:pPr>
    </w:p>
    <w:p>
      <w:pPr>
        <w:ind w:left="960" w:hanging="644"/>
        <w:spacing w:after="0"/>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Tax purposes, any payments under this Section 2.6 shall be treated as an adjustment to the Merger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171" w:lineRule="exact"/>
        <w:rPr>
          <w:sz w:val="20"/>
          <w:szCs w:val="20"/>
          <w:color w:val="auto"/>
        </w:rPr>
      </w:pPr>
    </w:p>
    <w:p>
      <w:pPr>
        <w:ind w:left="960" w:hanging="64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71" w:lineRule="exact"/>
        <w:rPr>
          <w:rFonts w:ascii="Arial" w:cs="Arial" w:eastAsia="Arial" w:hAnsi="Arial"/>
          <w:sz w:val="18"/>
          <w:szCs w:val="18"/>
          <w:color w:val="auto"/>
        </w:rPr>
      </w:pPr>
    </w:p>
    <w:p>
      <w:pPr>
        <w:ind w:left="-340" w:right="20" w:firstLine="1304"/>
        <w:spacing w:after="0" w:line="308" w:lineRule="auto"/>
        <w:tabs>
          <w:tab w:leader="none" w:pos="159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“Acquirer Capital Stock” means any and all shares, interests (including partnership interests), rights to purchase, warrants, options, participations or other equivalents of or interest in (however designated) equity of Acquirer, including Acquirer Stock and any preferred stock.</w:t>
      </w:r>
    </w:p>
    <w:p>
      <w:pPr>
        <w:spacing w:after="0" w:line="92" w:lineRule="exact"/>
        <w:rPr>
          <w:rFonts w:ascii="Arial" w:cs="Arial" w:eastAsia="Arial" w:hAnsi="Arial"/>
          <w:sz w:val="17"/>
          <w:szCs w:val="17"/>
          <w:color w:val="auto"/>
        </w:rPr>
      </w:pPr>
    </w:p>
    <w:p>
      <w:pPr>
        <w:ind w:left="1600" w:hanging="636"/>
        <w:spacing w:after="0"/>
        <w:tabs>
          <w:tab w:leader="none" w:pos="1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“Acquirer Change in Control” means the occurrence of any of the following events:</w:t>
      </w:r>
    </w:p>
    <w:p>
      <w:pPr>
        <w:spacing w:after="0" w:line="171" w:lineRule="exact"/>
        <w:rPr>
          <w:rFonts w:ascii="Arial" w:cs="Arial" w:eastAsia="Arial" w:hAnsi="Arial"/>
          <w:sz w:val="18"/>
          <w:szCs w:val="18"/>
          <w:color w:val="auto"/>
        </w:rPr>
      </w:pPr>
    </w:p>
    <w:p>
      <w:pPr>
        <w:jc w:val="both"/>
        <w:ind w:left="-340" w:firstLine="1952"/>
        <w:spacing w:after="0" w:line="254" w:lineRule="auto"/>
        <w:tabs>
          <w:tab w:leader="none" w:pos="224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any “person” (as such term is used in Sections 13(d)(3) of the Exchange Act), becomes the “beneficial owner” (as defined in Rules 13d 3 and 13d 5 under the Exchange Act), directly or indirectly, of more than 50% of the total voting power of the Acquirer Voting Stock ; provided that the consummation of any such transaction resulting in such person owning more than 50% of the total voting power of the Acquirer Voting Stock shall not be considered a Change of Control if (a) the Company becomes a direct or indirect wholly owned subsidiary of a holding company and (b) immediately following such transaction, (x) the direct or indirect holders of the Acquirer Voting Stock of the holding company are substantially the same as the holders of the Acquirer Voting Stock immediately prior to such transaction or (y) no person is the beneficial owner, directly or indirectly, of more than 50% of the Voting Stock of such holding company;</w:t>
      </w:r>
    </w:p>
    <w:p>
      <w:pPr>
        <w:spacing w:after="0" w:line="140" w:lineRule="exact"/>
        <w:rPr>
          <w:rFonts w:ascii="Arial" w:cs="Arial" w:eastAsia="Arial" w:hAnsi="Arial"/>
          <w:sz w:val="18"/>
          <w:szCs w:val="18"/>
          <w:color w:val="auto"/>
        </w:rPr>
      </w:pPr>
    </w:p>
    <w:p>
      <w:pPr>
        <w:ind w:left="2260" w:hanging="648"/>
        <w:spacing w:after="0"/>
        <w:tabs>
          <w:tab w:leader="none" w:pos="226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 adoption by the Board of Directors of a plan relating to the liquidation or dissolution of Acquirer; or</w:t>
      </w:r>
    </w:p>
    <w:p>
      <w:pPr>
        <w:spacing w:after="0" w:line="171" w:lineRule="exact"/>
        <w:rPr>
          <w:rFonts w:ascii="Arial" w:cs="Arial" w:eastAsia="Arial" w:hAnsi="Arial"/>
          <w:sz w:val="18"/>
          <w:szCs w:val="18"/>
          <w:color w:val="auto"/>
        </w:rPr>
      </w:pPr>
    </w:p>
    <w:p>
      <w:pPr>
        <w:jc w:val="both"/>
        <w:ind w:left="-340" w:firstLine="1952"/>
        <w:spacing w:after="0" w:line="255" w:lineRule="auto"/>
        <w:tabs>
          <w:tab w:leader="none" w:pos="2252"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 merger or consolidation of Acquirer with or into another Person or the merger of another Person with or into Acquirer, or the sale of all or substantially all the assets of Acquirer (determined on a consolidated basis) to another Person other than a transaction following which beneficial owners of securities that represented 100% of the Acquirer Voting Stock immediately prior to such transaction (or other securities into which such securities are converted as part of such merger or consolidation transaction) beneficially own directly or indirectly at least a majority of the voting power of the Voting Stock of the surviving Person or any direct or indirect parent company of the surviving Person in such merger or consolidation transaction immediately after such transaction.</w:t>
      </w:r>
    </w:p>
    <w:p>
      <w:pPr>
        <w:spacing w:after="0" w:line="138" w:lineRule="exact"/>
        <w:rPr>
          <w:rFonts w:ascii="Arial" w:cs="Arial" w:eastAsia="Arial" w:hAnsi="Arial"/>
          <w:sz w:val="18"/>
          <w:szCs w:val="18"/>
          <w:color w:val="auto"/>
        </w:rPr>
      </w:pPr>
    </w:p>
    <w:p>
      <w:pPr>
        <w:ind w:left="-340" w:right="20" w:firstLine="1304"/>
        <w:spacing w:after="0" w:line="277" w:lineRule="auto"/>
        <w:tabs>
          <w:tab w:leader="none" w:pos="1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“Acquirer Voting Stock” means all classes of Acquirer Capital Stock then outstanding and normally entitled (without regard to the occurrence of any contingency) to vote in the election of directors, managers or trustees thereof.</w:t>
      </w:r>
    </w:p>
    <w:p>
      <w:pPr>
        <w:spacing w:after="0" w:line="116" w:lineRule="exact"/>
        <w:rPr>
          <w:rFonts w:ascii="Arial" w:cs="Arial" w:eastAsia="Arial" w:hAnsi="Arial"/>
          <w:sz w:val="18"/>
          <w:szCs w:val="18"/>
          <w:color w:val="auto"/>
        </w:rPr>
      </w:pPr>
    </w:p>
    <w:p>
      <w:pPr>
        <w:jc w:val="both"/>
        <w:ind w:left="-340" w:firstLine="1304"/>
        <w:spacing w:after="0" w:line="286" w:lineRule="auto"/>
        <w:tabs>
          <w:tab w:leader="none" w:pos="159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“Company Group Revenue” means the Business’ recorded net revenue related to laboratory services performed or test results reported in the applicable period (including international and decentralized net revenue), plus the Business’ recorded net biopharma revenue generated from the Company Databases, calculated in accordance with the Accounting Standards utilized in the Financial Statements (consistently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660" w:top="1440" w:right="339" w:bottom="1440" w:gutter="0" w:footer="0" w:header="0"/>
        </w:sectPr>
      </w:pPr>
    </w:p>
    <w:bookmarkStart w:id="364" w:name="page365"/>
    <w:bookmarkEnd w:id="364"/>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applied throughout the applicable period) and as set forth on the Milestone Financial Statements for such period, provided that Company Group Revenue shall be subject to adjustment based on information available following the expiration of the applicable period through the delivery of a Milestone Event Notice for the applicable period, including as applicable to the reconciliation of cash collected to revenue recognized.</w:t>
      </w:r>
    </w:p>
    <w:p>
      <w:pPr>
        <w:spacing w:after="0" w:line="111" w:lineRule="exact"/>
        <w:rPr>
          <w:sz w:val="20"/>
          <w:szCs w:val="20"/>
          <w:color w:val="auto"/>
        </w:rPr>
      </w:pPr>
    </w:p>
    <w:p>
      <w:pPr>
        <w:ind w:left="1940" w:hanging="636"/>
        <w:spacing w:after="0"/>
        <w:tabs>
          <w:tab w:leader="none" w:pos="19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“First Milestone Period” means the period of time commencing on January 1, 2022 and ending at 11:59 p.m. Eastern time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2022.</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“FY2022 Company Group Revenue” means the Company Group Revenue for the First Milestone Period.</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“FY2023 Company Group Revenue” means the Company Group Revenue for the Second Milestone Period.</w:t>
      </w:r>
    </w:p>
    <w:p>
      <w:pPr>
        <w:spacing w:after="0" w:line="171" w:lineRule="exact"/>
        <w:rPr>
          <w:rFonts w:ascii="Arial" w:cs="Arial" w:eastAsia="Arial" w:hAnsi="Arial"/>
          <w:sz w:val="18"/>
          <w:szCs w:val="18"/>
          <w:color w:val="auto"/>
        </w:rPr>
      </w:pPr>
    </w:p>
    <w:p>
      <w:pPr>
        <w:ind w:right="20" w:firstLine="1304"/>
        <w:spacing w:after="0" w:line="277" w:lineRule="auto"/>
        <w:tabs>
          <w:tab w:leader="none" w:pos="193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“Milestone Financial Statements” means a report prepared by Acquirer reflecting the Company Group Revenue during the First Milestone Period and the Second Milestone Period, as applicable.</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“Second Milestone Period” means the period of time commencing on January 1, 2023 and ending at 11:59 p.m. Eastern time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2023.</w:t>
      </w:r>
    </w:p>
    <w:p>
      <w:pPr>
        <w:spacing w:after="0" w:line="156" w:lineRule="exact"/>
        <w:rPr>
          <w:rFonts w:ascii="Arial" w:cs="Arial" w:eastAsia="Arial" w:hAnsi="Arial"/>
          <w:sz w:val="16"/>
          <w:szCs w:val="16"/>
          <w:color w:val="auto"/>
        </w:rPr>
      </w:pPr>
    </w:p>
    <w:p>
      <w:pPr>
        <w:jc w:val="both"/>
        <w:ind w:right="20" w:firstLine="656"/>
        <w:spacing w:after="0" w:line="263" w:lineRule="auto"/>
        <w:tabs>
          <w:tab w:leader="none" w:pos="129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Milestone Events. With respect to each milestone event set forth in the table below (each, a “Milestone Event”), Acquirer shall pay the corresponding milestone payment set forth in the table below (each, a “Milestone Payment”) following the first achievement of such milestone event by the Business, in each case subject to the terms and conditions set forth in this Section 2.7:</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860" w:type="dxa"/>
            <w:vAlign w:val="bottom"/>
            <w:tcBorders>
              <w:top w:val="single" w:sz="8" w:color="auto"/>
              <w:bottom w:val="single" w:sz="8" w:color="auto"/>
              <w:right w:val="single" w:sz="8" w:color="auto"/>
            </w:tcBorders>
          </w:tcPr>
          <w:p>
            <w:pPr>
              <w:ind w:left="3420"/>
              <w:spacing w:after="0"/>
              <w:rPr>
                <w:sz w:val="20"/>
                <w:szCs w:val="20"/>
                <w:color w:val="auto"/>
              </w:rPr>
            </w:pPr>
            <w:r>
              <w:rPr>
                <w:rFonts w:ascii="Arial" w:cs="Arial" w:eastAsia="Arial" w:hAnsi="Arial"/>
                <w:sz w:val="14"/>
                <w:szCs w:val="14"/>
                <w:b w:val="1"/>
                <w:bCs w:val="1"/>
                <w:color w:val="auto"/>
              </w:rPr>
              <w:t>Milestone Event</w:t>
            </w:r>
          </w:p>
        </w:tc>
        <w:tc>
          <w:tcPr>
            <w:tcW w:w="27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Milestone Payment</w:t>
            </w:r>
          </w:p>
        </w:tc>
      </w:tr>
      <w:tr>
        <w:trPr>
          <w:trHeight w:val="224"/>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FY2022 Company Group Revenue equal to or above $163 million</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$112.5 million</w:t>
            </w:r>
          </w:p>
        </w:tc>
      </w:tr>
      <w:tr>
        <w:trPr>
          <w:trHeight w:val="223"/>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FY2023 Company Group Revenue equal to or above $219 million</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$37.5 million</w:t>
            </w:r>
          </w:p>
        </w:tc>
      </w:tr>
    </w:tbl>
    <w:p>
      <w:pPr>
        <w:spacing w:after="0" w:line="24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Notwithstanding anything herein to the contrary, 80% of the Milestone Payment for the First Milestone Period or the Second Milestone Period, as applicable, shall become payable in respect of such period if the Company Group achieves 90% of the applicable Milestone Event revenue target for such period set forth in the table above, which amount will scale on a linear basis up to 100% of the applicable Milestone Payment at 100% of the applicable revenue target set forth in the table above. Solely for purposes of illustration: if the Business achieves Company Group Revenue of $154.85 million for the First Milestone Period (i.e. 95% of target), then Acquirer shall pay to Seller a Milestone Payment equal to $101.25 million (i.e. 90% of the target Milestone Payment).</w:t>
      </w:r>
    </w:p>
    <w:p>
      <w:pPr>
        <w:spacing w:after="0" w:line="138" w:lineRule="exact"/>
        <w:rPr>
          <w:sz w:val="20"/>
          <w:szCs w:val="20"/>
          <w:color w:val="auto"/>
        </w:rPr>
      </w:pPr>
    </w:p>
    <w:p>
      <w:pPr>
        <w:jc w:val="both"/>
        <w:ind w:right="20" w:firstLine="656"/>
        <w:spacing w:after="0" w:line="268" w:lineRule="auto"/>
        <w:tabs>
          <w:tab w:leader="none" w:pos="129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Payment of Milestone Payments. On or prior to the later of (x) the thirtieth (30th) day immediately following Acquirer’s receipt of its executed audit report from its independent registered public company accounting firm (or, if Acquirer is then not subject to the reporting requirements under Section 13(a) or 15(d) of the Exchange Act, its independent auditor) and (y) April 30th, for each of the fiscal years ending December 31, 2022 and December 31, 2023, Acquirer shall deliver to Seller a notice (a “Milestone Event Notice”), containing (i) the Milestone Financial Statements for the applicable period, (ii) a statement whether and to what extent a Milestone Event was achieved during such fiscal year, (iii) if greater than zero but less than the full amount of the Milestone Payment is payable in respect of the applicable period, Acquirer’s calculation (in accordance with this Agreement) of the Milestone Payment due, (iv) the payment date for the applicable Milestone Payment, which will be within five (5) days of the date of such Milestone Event Notice (such date, the “Milestone Payment Date”) and (v) the specific amounts of cash and shares of Acquirer Stock to be paid and issued, respectively, to Seller (in each case in accordance with the immediately succeeding sentence). Each Milestone Payment shall be satisfied through the payment and issuance of a combination of cash and shares of Acquirer Stock (valued at the Share Value), with such mix to be determined in Acquirer’s sole discretion; provided that such allocation shall be determined such that the aggregate amount of cash included in the Total Merger Consideration remains consistent with the Intended Tax Treatment. The maximum aggregate amount of Milestone Payments that may become due and payable by Acquirer pursuant to this Section 2.7 will in no event exceed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1440" w:right="319" w:bottom="1440" w:gutter="0" w:footer="0" w:header="0"/>
        </w:sectPr>
      </w:pPr>
    </w:p>
    <w:bookmarkStart w:id="365" w:name="page366"/>
    <w:bookmarkEnd w:id="365"/>
    <w:p>
      <w:pPr>
        <w:spacing w:after="0" w:line="144" w:lineRule="exact"/>
        <w:rPr>
          <w:sz w:val="20"/>
          <w:szCs w:val="20"/>
          <w:color w:val="auto"/>
        </w:rPr>
      </w:pPr>
    </w:p>
    <w:p>
      <w:pPr>
        <w:jc w:val="both"/>
        <w:ind w:firstLine="656"/>
        <w:spacing w:after="0" w:line="286" w:lineRule="auto"/>
        <w:tabs>
          <w:tab w:leader="none" w:pos="129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Acknowledgments. Seller acknowledges and agrees that the Company Group Revenue levels for the Milestone Events shall not be construed as representing an estimate or projection of anticipated results or sales of any Company Products and that such Milestone Events are merely intended to define Acquirer’s Milestone Payment obligations if such revenue levels are achieved. Seller further acknowledges and agrees that (i) nothing in this Section 2.7(d) is intended, or shall be construed, to require Acquirer to develop, commercialize or otherwise exploit a specific Company Product and</w:t>
      </w:r>
    </w:p>
    <w:p>
      <w:pPr>
        <w:spacing w:after="0" w:line="1" w:lineRule="exact"/>
        <w:rPr>
          <w:rFonts w:ascii="Arial" w:cs="Arial" w:eastAsia="Arial" w:hAnsi="Arial"/>
          <w:sz w:val="16"/>
          <w:szCs w:val="16"/>
          <w:color w:val="auto"/>
        </w:rPr>
      </w:pPr>
    </w:p>
    <w:p>
      <w:pPr>
        <w:jc w:val="both"/>
        <w:ind w:firstLine="8"/>
        <w:spacing w:after="0" w:line="271" w:lineRule="auto"/>
        <w:tabs>
          <w:tab w:leader="none" w:pos="26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nothing in this Section 2.7(d) is intended, or shall be construed, as restricting such business or imposing on Acquirer the duty to develop, commercialize or otherwise exploit any Company Product for which Milestone Payments are payable hereunder to the exclusion of, or in preference to, any other product or in any way other than in accordance with its normal commercial practices; provided that Acquirer will not, and cause its Subsidiaries not to, take any action in bad faith the purpose of which is to reduce or avoid payment of any Milestone Payment. Except as set forth in this Section 2.7(d), Acquirer shall have no other diligence obligations, express or implied, with respect to the Company Products.</w:t>
      </w:r>
    </w:p>
    <w:p>
      <w:pPr>
        <w:spacing w:after="0" w:line="124" w:lineRule="exact"/>
        <w:rPr>
          <w:rFonts w:ascii="Arial" w:cs="Arial" w:eastAsia="Arial" w:hAnsi="Arial"/>
          <w:sz w:val="17"/>
          <w:szCs w:val="17"/>
          <w:color w:val="auto"/>
        </w:rPr>
      </w:pPr>
    </w:p>
    <w:p>
      <w:pPr>
        <w:jc w:val="both"/>
        <w:ind w:firstLine="656"/>
        <w:spacing w:after="0" w:line="259" w:lineRule="auto"/>
        <w:tabs>
          <w:tab w:leader="none" w:pos="129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Milestone Payments Not a Security. The Parties acknowledge and agree, and acknowledge and agree, that (i) the right to receive any Milestone Payments is solely a contractual right and does not, in and of itself, constitute an equity ownership interest in Acquirer or any other Person, (ii) Seller has no rights as a security holder of Acquirer or any other Person merely as a result of their right to receive the Milestone Payments and (iii) no interest is payable as additional consideration with respect to any Milestone Payment.</w:t>
      </w:r>
    </w:p>
    <w:p>
      <w:pPr>
        <w:spacing w:after="0" w:line="132" w:lineRule="exact"/>
        <w:rPr>
          <w:rFonts w:ascii="Arial" w:cs="Arial" w:eastAsia="Arial" w:hAnsi="Arial"/>
          <w:sz w:val="18"/>
          <w:szCs w:val="18"/>
          <w:color w:val="auto"/>
        </w:rPr>
      </w:pPr>
    </w:p>
    <w:p>
      <w:pPr>
        <w:jc w:val="both"/>
        <w:ind w:firstLine="656"/>
        <w:spacing w:after="0" w:line="279" w:lineRule="auto"/>
        <w:tabs>
          <w:tab w:leader="none" w:pos="1287" w:val="left"/>
        </w:tabs>
        <w:numPr>
          <w:ilvl w:val="1"/>
          <w:numId w:val="217"/>
        </w:numPr>
        <w:rPr>
          <w:rFonts w:ascii="Arial" w:cs="Arial" w:eastAsia="Arial" w:hAnsi="Arial"/>
          <w:sz w:val="17"/>
          <w:szCs w:val="17"/>
          <w:color w:val="auto"/>
        </w:rPr>
      </w:pPr>
      <w:r>
        <w:rPr>
          <w:rFonts w:ascii="Arial" w:cs="Arial" w:eastAsia="Arial" w:hAnsi="Arial"/>
          <w:sz w:val="17"/>
          <w:szCs w:val="17"/>
          <w:color w:val="auto"/>
        </w:rPr>
        <w:t>Acknowledgment. Each of the Company Parties and Seller acknowledges that the Milestone Payments are subject to numerous factors outside the control of Acquirer, (ii) there is no assurance that any Milestone Event will be achieved, (iii) neither Acquirer nor its Affiliates owe, by virtue of their obligations under this Section 2.7, a fiduciary duty or any implied duties to Seller and (iv) the parties intend that the express provisions of this Agreement shall set forth the only obligations that apply to their relationship with respect to the Milestone Payments.</w:t>
      </w:r>
    </w:p>
    <w:p>
      <w:pPr>
        <w:spacing w:after="0" w:line="117" w:lineRule="exact"/>
        <w:rPr>
          <w:rFonts w:ascii="Arial" w:cs="Arial" w:eastAsia="Arial" w:hAnsi="Arial"/>
          <w:sz w:val="17"/>
          <w:szCs w:val="17"/>
          <w:color w:val="auto"/>
        </w:rPr>
      </w:pPr>
    </w:p>
    <w:p>
      <w:pPr>
        <w:jc w:val="both"/>
        <w:ind w:firstLine="656"/>
        <w:spacing w:after="0" w:line="272" w:lineRule="auto"/>
        <w:tabs>
          <w:tab w:leader="none" w:pos="129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Operation of the Company Group Following Closing Date. Following the Closing Date and through the end of the Second Milestone Period, Acquirer shall use its Commercially Reasonable Efforts to operate the Business in the Ordinary Course of Business and otherwise in accordance with the business plan and presumptions underlying the Pre-Closing Budget and provide the Business with capital to continue operations in the Ordinary Course of Business in order to achieve the Milestone Events. Acquirer shall not take any action in bad faith the purpose of which is to reduce or avoid payment of any Milestone Payment. As used in this Section 2.7(g), “Commercially Reasonable Efforts” means carrying out those obligations and tasks that comprise a commercially reasonable level of effort and expenditure of capital and resources (including appropriate allocation of resources) that Acquirer in good faith in the exercise of its reasonable business judgment.</w:t>
      </w:r>
    </w:p>
    <w:p>
      <w:pPr>
        <w:spacing w:after="0" w:line="123" w:lineRule="exact"/>
        <w:rPr>
          <w:rFonts w:ascii="Arial" w:cs="Arial" w:eastAsia="Arial" w:hAnsi="Arial"/>
          <w:sz w:val="17"/>
          <w:szCs w:val="17"/>
          <w:color w:val="auto"/>
        </w:rPr>
      </w:pPr>
    </w:p>
    <w:p>
      <w:pPr>
        <w:jc w:val="both"/>
        <w:ind w:firstLine="656"/>
        <w:spacing w:after="0" w:line="285" w:lineRule="auto"/>
        <w:tabs>
          <w:tab w:leader="none" w:pos="129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Acceleration of Milestone Payment. Notwithstanding anything to the contrary contained herein: if both (x) an Acquirer Change in Control shall have occurred at any time on or prior to the end of the Second Milestone Period and (y) FY2022 Company Group Revenue is equal to or above $163 million, such that the full $112.5 million Milestone Payment is earned in respect of Milestone Event #1, then Milestone Event #2 shall automatically be deemed to have been achieved and Acquirer shall pay, or shall cause to be paid, to Seller the full $37.5 million Milestone Payment owing in respect of Milestone Event #2 on or prior to the later of (A) the third (3rd) Business Day immediately following such Acquirer Change in Control and</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(B) the Milestone Payment Date for Milestone Event #1. Upon such accelerated payment of the $37.5 million Milestone Payment owing in respect of Milestone Event #2 in accordance with this Section 2.7(h), Acquirer shall have no further obligations under this Section 2.7.</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Withholding Rights</w:t>
      </w:r>
      <w:r>
        <w:rPr>
          <w:rFonts w:ascii="Arial" w:cs="Arial" w:eastAsia="Arial" w:hAnsi="Arial"/>
          <w:sz w:val="17"/>
          <w:szCs w:val="17"/>
          <w:color w:val="auto"/>
        </w:rPr>
        <w:t>. Notwithstanding anything herein to the contrary, each of Acquirer, Holdco2, the Company, the Surviving Entity and their respective agents shall be entitled to deduct and withhold from any consideration otherwise payable pursuant to this Agreement any amounts required to be deducted and withheld therefrom under applicable Law on account of Taxes (“</w:t>
      </w:r>
      <w:r>
        <w:rPr>
          <w:rFonts w:ascii="Arial" w:cs="Arial" w:eastAsia="Arial" w:hAnsi="Arial"/>
          <w:sz w:val="17"/>
          <w:szCs w:val="17"/>
          <w:b w:val="1"/>
          <w:bCs w:val="1"/>
          <w:i w:val="1"/>
          <w:iCs w:val="1"/>
          <w:color w:val="auto"/>
        </w:rPr>
        <w:t>Applicable Withholding Law</w:t>
      </w:r>
      <w:r>
        <w:rPr>
          <w:rFonts w:ascii="Arial" w:cs="Arial" w:eastAsia="Arial" w:hAnsi="Arial"/>
          <w:sz w:val="17"/>
          <w:szCs w:val="17"/>
          <w:color w:val="auto"/>
        </w:rPr>
        <w:t>”). Notwithstanding the foregoing, if a party paying consideration determines that an amount is required to be deducted and withheld with respect to any amounts payable, at least five (5) days prior to the date the applicable payment is scheduled to be made, the party making the payment shall provide the recipient with written notice of its intent to deduct and withhold, which notice shall include a copy of the calculation of the amount to be deducted and withheld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reference to the applicable provision of Law pursuant to which such deduction and withholding is required, and the party making the payment shall reasonably cooperate with the recipient to eliminate or reduce the basis for and amount of such deduction or withholding (including providing the recipient with a reasonable opportunity to provide forms or other evidence that would exempt such amounts. from withholding). Amounts so deducted or withheld shall be treated for all purposes of this Agreement as having been paid hereunder to the Person in respect of which such withholding was made. Acquirer, Holdco2, the Company, the Surviving Entity or their respective paying agent, as applicable, shall timely remit any amounts withheld or deducted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to the applicable Tax Authority.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2.9 Dispute Resolution.</w:t>
      </w:r>
    </w:p>
    <w:p>
      <w:pPr>
        <w:spacing w:after="0" w:line="171" w:lineRule="exact"/>
        <w:rPr>
          <w:sz w:val="20"/>
          <w:szCs w:val="20"/>
          <w:color w:val="auto"/>
        </w:rPr>
      </w:pPr>
    </w:p>
    <w:p>
      <w:pPr>
        <w:jc w:val="both"/>
        <w:ind w:firstLine="656"/>
        <w:spacing w:after="0" w:line="311"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that Seller disputes (i) the purported occurrence or non-occurrence of any Milestone Event, (ii) the payment of any Milestone Payment, or (iii) any indemnification claim or setoff under Article 8 then Seller shall provide written notice to Acquirer (the “Dispute Notice”) specifying the amount disputed and the basis for the dispute. Acquirer and Seller shall thereafter attempt to resolve the dispute as set forth in this Section 2.9(a).</w:t>
      </w:r>
    </w:p>
    <w:p>
      <w:pPr>
        <w:spacing w:after="0" w:line="94" w:lineRule="exact"/>
        <w:rPr>
          <w:rFonts w:ascii="Arial" w:cs="Arial" w:eastAsia="Arial" w:hAnsi="Arial"/>
          <w:sz w:val="16"/>
          <w:szCs w:val="16"/>
          <w:color w:val="auto"/>
        </w:rPr>
      </w:pPr>
    </w:p>
    <w:p>
      <w:pPr>
        <w:jc w:val="both"/>
        <w:ind w:firstLine="656"/>
        <w:spacing w:after="0" w:line="254"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Seller and Acquirer shall attempt to resolve any dispute set forth in a Dispute Notice promptly by negotiation in good faith between an officer of Seller, on the one hand, and an officer of Acquirer, on the other, in each case who has authority to settle the dispute (subject to any limitations set by the board of directors or other governing body to which such officer reports). Each Party shall give the other Party involved written notice of any dispute not so resolved within thirty (30) days following Seller’s delivery of the Dispute Notice. Within ten (10) Business Days following delivery of such notice, the Party receiving notice shall submit to the other a written response thereto. The notice and the response shall include: (i) a statement of each Party’s position(s) regarding the matter(s) in dispute, and (ii) the name and title of the officer who will represent Seller and Acquirer and any other Person who will accompany that officer.</w:t>
      </w:r>
    </w:p>
    <w:p>
      <w:pPr>
        <w:spacing w:after="0" w:line="140" w:lineRule="exact"/>
        <w:rPr>
          <w:rFonts w:ascii="Arial" w:cs="Arial" w:eastAsia="Arial" w:hAnsi="Arial"/>
          <w:sz w:val="18"/>
          <w:szCs w:val="18"/>
          <w:color w:val="auto"/>
        </w:rPr>
      </w:pPr>
    </w:p>
    <w:p>
      <w:pPr>
        <w:jc w:val="both"/>
        <w:ind w:firstLine="656"/>
        <w:spacing w:after="0" w:line="301"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Within ten (10) Business Days following delivery of a Dispute Notice, the designated officers of Acquirer and Seller shall meet at a mutually agreed time and place, and thereafter, as often as they reasonably deem necessary, to attempt to resolve the dispute. All negotiations conducted pursuant to this Section 2.9(a) (and any of the Parties’ submissions in contemplation hereof) shall be kept confidential by the Parties and shall be treated by the Parties and their representatives as compromise and settlement negotiations under the Federal Rules of Evidence and any similar state rules.</w:t>
      </w:r>
    </w:p>
    <w:p>
      <w:pPr>
        <w:spacing w:after="0" w:line="103"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Seller and Acquirer are unable to resolve any dispute arising out of this Agreement in accordance with provisions (a), (b) and (c) of this Section 2.9 within thirty (30) days after delivery of any Dispute Notice, then, subject to Section 2.9(e), Acquirer and Seller shall be entitled to submit such dispute for final adjudication to the applicable court sitting in the State of Delaware in accordance with Section 9.4.</w:t>
      </w:r>
    </w:p>
    <w:p>
      <w:pPr>
        <w:spacing w:after="0" w:line="129" w:lineRule="exact"/>
        <w:rPr>
          <w:rFonts w:ascii="Arial" w:cs="Arial" w:eastAsia="Arial" w:hAnsi="Arial"/>
          <w:sz w:val="18"/>
          <w:szCs w:val="18"/>
          <w:color w:val="auto"/>
        </w:rPr>
      </w:pPr>
    </w:p>
    <w:p>
      <w:pPr>
        <w:jc w:val="both"/>
        <w:ind w:firstLine="656"/>
        <w:spacing w:after="0" w:line="286"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Section 2.9(d), any dispute with respect to (i) the purported occurrence or non-occurrence of any Milestone Event or (ii) the payment of any Milestone Payment that shall not have been resolved by Seller and Acquirer in accordance with provisions (a), (b) and (c) of this Section 2.9 within thirty (30) days after delivery of any Dispute Notice shall be submitted to the Independent Expert. The Independent Expert shall be engaged pursuant to an engagement letter among Seller, Acquirer and the Independent Expert on terms and conditions consistent with this Section 2.9(e). The Independent Expert shall be instructed, pursuant to such engagement letter, to act as an expert and not as an arbitrator and to resolve only the items contained in the applicable Dispute Notice that shall not have been resolved between Seller and the Acquirer (the “Milestone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Milestone Unresolved Item, such decision shall be made based on the terms and conditions of this Agreement and shall not be in excess of the higher, nor less than the lower, of the amounts advocated by Acquirer in the Milestone Event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Seller in the Dispute Notice with respect to such Milestone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Milestone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 PARTIES AND SELLER</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Each of the Company Parties and Seller hereby represents and warrants to the Acquirer Parties as follows, with each such representation and warranty subject to the exceptions set forth in the Company Disclosure Schedules (it being understood that the Company Disclosure Schedules shall be arranged in sections corresponding to the sections and subsections contained in this </w:t>
      </w:r>
      <w:r>
        <w:rPr>
          <w:rFonts w:ascii="Arial" w:cs="Arial" w:eastAsia="Arial" w:hAnsi="Arial"/>
          <w:sz w:val="17"/>
          <w:szCs w:val="17"/>
          <w:u w:val="single" w:color="auto"/>
          <w:color w:val="auto"/>
        </w:rPr>
        <w:t>Article 3</w:t>
      </w:r>
      <w:r>
        <w:rPr>
          <w:rFonts w:ascii="Arial" w:cs="Arial" w:eastAsia="Arial" w:hAnsi="Arial"/>
          <w:sz w:val="17"/>
          <w:szCs w:val="17"/>
          <w:color w:val="auto"/>
        </w:rPr>
        <w:t>, and no disclosure made in any particular section of the Company Disclosure Schedules shall be deemed to be made in any other section of the Company Disclosure Schedules unless expressly made therein (by cross-reference or otherwise) or to the extent it is reasonably apparent from a reading of the text of the disclosure that such disclosure is applicable to such other sections and subsections of the Company Disclosure Schedules).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of Seller and the Company Group</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129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Company Party is an entity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of the Company Parties is duly qualified to do business as a foreign entity and is duly qualified to do 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Other than in connection with the Pre-Closing Restructuring, neither Seller nor any of the Company Parties has ever approved or commenced any Proceeding or made any election contemplating the dissolution or liquidation of any of the Company Parties or the winding up or cessation of the business or affairs of any of the Company Parties. Other than in connection with the Pre-Closing Restructuring, there are no entities that have been merged into or that otherwise are predecessors to any of the Company Parties. True, complete and correct copies of the Governing Documents of each of the Company Parties, as amended and in effect as of the Agreement Date, have been Delivered to Acquirer. No Company Party is in violation of its Governing Documents.</w:t>
      </w:r>
    </w:p>
    <w:p>
      <w:pPr>
        <w:spacing w:after="0" w:line="117" w:lineRule="exact"/>
        <w:rPr>
          <w:rFonts w:ascii="Arial" w:cs="Arial" w:eastAsia="Arial" w:hAnsi="Arial"/>
          <w:sz w:val="16"/>
          <w:szCs w:val="16"/>
          <w:color w:val="auto"/>
        </w:rPr>
      </w:pPr>
    </w:p>
    <w:p>
      <w:pPr>
        <w:jc w:val="both"/>
        <w:ind w:firstLine="656"/>
        <w:spacing w:after="0" w:line="257" w:lineRule="auto"/>
        <w:tabs>
          <w:tab w:leader="none" w:pos="12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Holdco2 has been organized solely for the purpose of entering into the Transaction Documents and the Ancillary Agreements to which it is a party and consummating the Pre-Closing Restructuring, the Mergers and the other Transactions, and has not engaged in any activities or business, other than those incident or related to or incurred in connection with its formation, the Pre-Closing Restructuring or the negotiation, preparation or execution of the Transaction Documents, the performance of its covenants or agreements in the Transaction Documents to which it is a party or any Ancillary Agreement or the consummation of the Transactions.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Subsidiaries.</w:t>
      </w:r>
    </w:p>
    <w:p>
      <w:pPr>
        <w:spacing w:after="0" w:line="171" w:lineRule="exact"/>
        <w:rPr>
          <w:sz w:val="20"/>
          <w:szCs w:val="20"/>
          <w:color w:val="auto"/>
        </w:rPr>
      </w:pPr>
    </w:p>
    <w:p>
      <w:pPr>
        <w:jc w:val="both"/>
        <w:ind w:firstLine="656"/>
        <w:spacing w:after="0" w:line="255" w:lineRule="auto"/>
        <w:tabs>
          <w:tab w:leader="none" w:pos="129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Subsidiary of Holdco2 and the Company is either a corporation or limited liability company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Subsidiary of Holdco2 and the Company is duly qualified to do business as a foreign corporation and is duly qualified to do business and in good standing (if such concept is applicable in the relevant jurisdiction) in each jurisdiction where the character of its assets and properties owned, leased or operated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nature of its activities make such qualification necessary, except where the failure to be so qualified or in good standing would not have a Material Adverse Effect.</w:t>
      </w:r>
    </w:p>
    <w:p>
      <w:pPr>
        <w:spacing w:after="0" w:line="116" w:lineRule="exact"/>
        <w:rPr>
          <w:sz w:val="20"/>
          <w:szCs w:val="20"/>
          <w:color w:val="auto"/>
        </w:rPr>
      </w:pPr>
    </w:p>
    <w:p>
      <w:pPr>
        <w:jc w:val="both"/>
        <w:ind w:firstLine="656"/>
        <w:spacing w:after="0" w:line="289" w:lineRule="auto"/>
        <w:tabs>
          <w:tab w:leader="none" w:pos="129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Section 3.2(b) of the Company Disclosure Schedule accurately lists the equity interests, whether direct or indirect, held by each of Holdco2 and the Company in each of its Subsidiaries, including such ownership after giving effect to the Pre-Closing Restructuring (collectively, the “Subsidiary Ownership Interests”), as well as the names of any other Persons who hold equity interests in such Subsidiaries and the ownership interests held by any such Persons, including such ownership after giving effect to the Pre-Closing Restructuring. The Subsidiary Ownership Interests are (or will be at Closing) duly authorized, validly issued, fully paid and non-assessable and are free of any Encumbrances, outstanding subscriptions, preemptive rights or “put” or “call” rights created by statute, the Governing Documents of any Subsidiary of Holdco2 or the Company or any Contract to which any Subsidiary of Holdco2 or the Company is a party or by which such Subsidiary or any of its assets is bound. Other than the Subsidiary Ownership Interests, there are no options, warrants or rights of any kind to acquire securities or other ownership interests in any of the Subsidiaries of Holdco2 or the Company, or any interest convertible into or exchangeable or exercisable for, any equity or similar interest in, any of the Subsidiaries of Holdco2 or the Company.</w:t>
      </w:r>
    </w:p>
    <w:p>
      <w:pPr>
        <w:spacing w:after="0" w:line="112" w:lineRule="exact"/>
        <w:rPr>
          <w:rFonts w:ascii="Arial" w:cs="Arial" w:eastAsia="Arial" w:hAnsi="Arial"/>
          <w:sz w:val="16"/>
          <w:szCs w:val="16"/>
          <w:color w:val="auto"/>
        </w:rPr>
      </w:pPr>
    </w:p>
    <w:p>
      <w:pPr>
        <w:jc w:val="both"/>
        <w:ind w:firstLine="656"/>
        <w:spacing w:after="0" w:line="263" w:lineRule="auto"/>
        <w:tabs>
          <w:tab w:leader="none" w:pos="129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True, complete and correct copies of the Governing Documents of each Subsidiary of Holdco2 and the Company (as of the Agreement Date), as amended and in effect as of the Agreement Date, have been Delivered to Acquirer. No such Subsidiary of Holdco2 or the Company is in violation of its Governing Documents.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1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Section 3.2(d) of the Company Disclosure Schedule sets forth a true and complete list of all Contracts (x) to which Detect Genomix, Seller or any member of the Company Group is a party or by which any such party, or any of their respective assets, is bound and (y) that pertain to Detect Genomix and the operation of its business. Detect Genomix has not engaged in any activities or business, other than those incident or related to or incurred in connection with its formation or the negotiation, preparation or execution of the Contracts set forth on Section 3.2(c) of the Company Disclosure Schedule.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w:t>
      </w:r>
    </w:p>
    <w:p>
      <w:pPr>
        <w:spacing w:after="0" w:line="171" w:lineRule="exact"/>
        <w:rPr>
          <w:sz w:val="20"/>
          <w:szCs w:val="20"/>
          <w:color w:val="auto"/>
        </w:rPr>
      </w:pPr>
    </w:p>
    <w:p>
      <w:pPr>
        <w:jc w:val="both"/>
        <w:ind w:firstLine="656"/>
        <w:spacing w:after="0" w:line="283" w:lineRule="auto"/>
        <w:tabs>
          <w:tab w:leader="none" w:pos="129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Each of the Company Parties and Seller has all requisite corporate power and authority, and has taken all corporate action necessary, to execute, deliver and perform its obligations under the Transaction Documents and to consummate the Transactions. Each of the Seller Board and the Holdco2 Board, at a meeting duly called and held at which all directors were present, duly and unanimously adopted resolutions (i) approving and declaring advisable this Agreement, the Ancillary Agreements, the Mergers and the other transactions contemplated hereby and thereby, (ii) determining that the Merger Consideration is fair to the sole stockholder of Holdco2 and declaring that this Agreement, the Ancillary Agreements, the Merger and the other Transactions are in the best interests of Holdco2’s stockholder, (iii) adopting this Agreement and the Ancillary Agreements, (iv) authorizing Seller and Holdco2 to enter into this Agreement and to consummate the Mergers and the other Transactions, on the terms and subject to the conditions set forth in this Agreement and the Ancillary Agreements, (v) in the case of the Holdco2 Board, (A) directing that the Mergers and this Agreement and the Ancillary Agreements be submitted to the stockholder of Holdco2 for a vote for adopting this Agreement and the Ancillary Agreements and approving the Mergers and (B) recommending that the Holdco2 stockholder votes to approve and adopt this Agreement and the Ancillary Agreements and approve the Merger and</w:t>
      </w:r>
    </w:p>
    <w:p>
      <w:pPr>
        <w:spacing w:after="0" w:line="4" w:lineRule="exact"/>
        <w:rPr>
          <w:rFonts w:ascii="Arial" w:cs="Arial" w:eastAsia="Arial" w:hAnsi="Arial"/>
          <w:sz w:val="16"/>
          <w:szCs w:val="16"/>
          <w:color w:val="auto"/>
        </w:rPr>
      </w:pPr>
    </w:p>
    <w:p>
      <w:pPr>
        <w:jc w:val="both"/>
        <w:ind w:firstLine="8"/>
        <w:spacing w:after="0" w:line="251" w:lineRule="auto"/>
        <w:tabs>
          <w:tab w:leader="none" w:pos="3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case of the Seller Board, authorizing Seller as the sole stockholder of Holdco2 to vote for the adoption of this Agreement and the Ancillary Agreements and approval of the Mergers (the “Holdco2 Board Approval” and the “Seller Board Approval”). No Takeover Statute or similar statute or regulation applies or purports to apply to the Company with respect to the Mergers, this Agreement or any other Transaction. This Agreement and the Ancillary Agreements to which the Company Parties or Seller is a party have been duly executed and delivered by the Company Parties and Seller, as applicable, and, assuming the due authorization, execution and delivery hereof and thereof by the other parties hereto and thereto, constitute the legal, valid and binding obligations of the Company Parties and Seller, as applicable, enforceable against the Company Parties and Seller, as applicable, in accordance with their respective terms, except as enforcement may be limited by applicable bankruptcy, insolvency, reorganization, moratorium and other laws affecting creditors’ rights generally and by general principles of equity, regardless of whether enforcement is sought in a Proceeding at law or in equity (the “Enforceability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44" w:lineRule="exact"/>
        <w:rPr>
          <w:sz w:val="20"/>
          <w:szCs w:val="20"/>
          <w:color w:val="auto"/>
        </w:rPr>
      </w:pPr>
    </w:p>
    <w:p>
      <w:pPr>
        <w:jc w:val="both"/>
        <w:ind w:left="-340" w:firstLine="656"/>
        <w:spacing w:after="0" w:line="259" w:lineRule="auto"/>
        <w:tabs>
          <w:tab w:leader="none" w:pos="95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only vote of holders of any class or series of Holdco2 Common Stock or other equity securities necessary to approve and adopt this Agreement, the Ancillary Agreements, the Merger and the other transactions contemplated hereby and thereby is the affirmative vote of Seller (the “Holdco2 Stockholder Approval”). No vote of the holders of any class or series of capital stock of Seller is necessary to approve and adopt this Agreement, the Ancillary Agreements, the Merger and the other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Capitalization.</w:t>
      </w:r>
    </w:p>
    <w:p>
      <w:pPr>
        <w:spacing w:after="0" w:line="171" w:lineRule="exact"/>
        <w:rPr>
          <w:sz w:val="20"/>
          <w:szCs w:val="20"/>
          <w:color w:val="auto"/>
        </w:rPr>
      </w:pPr>
    </w:p>
    <w:p>
      <w:pPr>
        <w:jc w:val="both"/>
        <w:ind w:left="-340" w:firstLine="656"/>
        <w:spacing w:after="0" w:line="291" w:lineRule="auto"/>
        <w:tabs>
          <w:tab w:leader="none" w:pos="95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total number of authorized, issued and outstanding shares of capital stock of Holdco2 consists of 1,000 shares of Holdco2 Common Stock, all of which are issued and outstanding as of the Agreement Date. The total number of authorized, issued and outstanding shares of capital stock of the Company consists of 100 shares of common stock, par value $0.01, of the Company, all of which are issued and outstanding as of the Agreement Date. As of the Agreement Date, BioReference owns all right, title and interest in and to, all of the shares of outstanding capital stock of the Company free and clear of all Encumbrances. As of the Closing, Holdco2 will own all right, title and interest in and to, all of the shares of outstanding capital stock or other equity interests of the Company free and clear of all Encumbrances. There are no other issued and outstanding shares of capital stock or other securities of Holdco2 and no outstanding commitments or Contracts to issue any shares of capital stock or other securities of Holdco2.</w:t>
      </w:r>
    </w:p>
    <w:p>
      <w:pPr>
        <w:spacing w:after="0" w:line="112" w:lineRule="exact"/>
        <w:rPr>
          <w:rFonts w:ascii="Arial" w:cs="Arial" w:eastAsia="Arial" w:hAnsi="Arial"/>
          <w:sz w:val="16"/>
          <w:szCs w:val="16"/>
          <w:color w:val="auto"/>
        </w:rPr>
      </w:pPr>
    </w:p>
    <w:p>
      <w:pPr>
        <w:jc w:val="both"/>
        <w:ind w:left="-340" w:firstLine="656"/>
        <w:spacing w:after="0" w:line="296" w:lineRule="auto"/>
        <w:tabs>
          <w:tab w:leader="none" w:pos="95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 There are no preemptive or other outstanding rights, options, warrants, conversion rights, stock appreciation rights, redemption rights, repurchase rights, Contracts or securities under which Seller or Holdco2 is or may become obligated to issue or sell, or giving any Person a right to subscribe for or acquire any shares of the capital stock or other voting securities of Holdco2 or the Company and (ii) the outstanding capital stock or other voting securities of each of Holdco2 and the Company is not subject to any voting trust agreement or other Contract restricting the voting, dividend rights or disposition of such capital stock or other voting securities of Holdco2 or the Company, as applicable, except in each case as set forth in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Title to and Sufficiency of Real and Tangible Properties and Assets.</w:t>
      </w:r>
    </w:p>
    <w:p>
      <w:pPr>
        <w:spacing w:after="0" w:line="171" w:lineRule="exact"/>
        <w:rPr>
          <w:sz w:val="20"/>
          <w:szCs w:val="20"/>
          <w:color w:val="auto"/>
        </w:rPr>
      </w:pPr>
    </w:p>
    <w:p>
      <w:pPr>
        <w:jc w:val="both"/>
        <w:ind w:left="-340" w:firstLine="656"/>
        <w:spacing w:after="0" w:line="296" w:lineRule="auto"/>
        <w:tabs>
          <w:tab w:leader="none" w:pos="95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member of the Company Group has good, valid and marketable title to or, in the case of leased tangible property assets and tangible properties or assets held under license, a good and valid leasehold or license interest in, all of their respective material tangible properties and assets. Each member of the Company Group holds title to all material tangible property and assets which it purports to own, free and clear of any Encumbrances other than Permitted Encumbrances. The tangible assets and personal property owned or leased by the Company Group and currently being used in the Business are, in all material respects, in good operating condition and repair, normal wear and tear excepted, and are useable in the Ordinary Course of Business.</w:t>
      </w:r>
    </w:p>
    <w:p>
      <w:pPr>
        <w:spacing w:after="0" w:line="107" w:lineRule="exact"/>
        <w:rPr>
          <w:rFonts w:ascii="Arial" w:cs="Arial" w:eastAsia="Arial" w:hAnsi="Arial"/>
          <w:sz w:val="16"/>
          <w:szCs w:val="16"/>
          <w:color w:val="auto"/>
        </w:rPr>
      </w:pPr>
    </w:p>
    <w:p>
      <w:pPr>
        <w:jc w:val="both"/>
        <w:ind w:left="-340" w:firstLine="656"/>
        <w:spacing w:after="0" w:line="270" w:lineRule="auto"/>
        <w:tabs>
          <w:tab w:leader="none" w:pos="95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tangible assets and properties owned by or licenses entered into by the Company Group for same constitute all of the tangible assets and properties that are necessary to conduct and operate the Business as currently conducted by the Company Group as of the Agreement Date, without the material breach or violation of any Contracts. Except as set forth on Section 3.5(b) of the Company Disclosure Schedules, neither Seller nor its Affiliates (but excluding the members of the Company Group) own or license to the Company Group any tangible property that are necessary for the Company Group to conduct, operate or continue the conduct and operation of the Business. Except as set forth on Section 3.5(b) of the Company Disclosure Schedules, there are no Contracts to which members of the Company Group are not the sole counterparties (other than Third Parties) (i) from which the Business or any member of the Company Group generates any revenue, (ii) that are material to the Business, or (iii) that are primarily used by the Company Group or in the conduct of the Business (the Contracts under clause (i), “Seller Revenue Contracts” and the Contracts under clauses (i), (ii) or (iii), collectively, “Seller Contracts”).</w:t>
      </w:r>
    </w:p>
    <w:p>
      <w:pPr>
        <w:spacing w:after="0" w:line="126" w:lineRule="exact"/>
        <w:rPr>
          <w:rFonts w:ascii="Arial" w:cs="Arial" w:eastAsia="Arial" w:hAnsi="Arial"/>
          <w:sz w:val="17"/>
          <w:szCs w:val="17"/>
          <w:color w:val="auto"/>
        </w:rPr>
      </w:pPr>
    </w:p>
    <w:p>
      <w:pPr>
        <w:jc w:val="both"/>
        <w:ind w:left="-340" w:firstLine="656"/>
        <w:spacing w:after="0" w:line="257" w:lineRule="auto"/>
        <w:tabs>
          <w:tab w:leader="none" w:pos="9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set forth in Section 3.5 of the Company Disclosure Schedules, no member of the Company Group owns or has ever owned, any real property or interest in real property. Section 3.5 of the Company Disclosure Schedules lists all interests in real property leased, subleased or otherwise used or occupied by a member of the Company Group (each, a “Leased Property”), including the address of the property and the name and address of the landlord. Holdco2 has Delivered complete copies of all documents in Holdco2’s possession relating to the use or occupancy of such Leased Property, including all leases, subleases, offers to lease or agreements to lease,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660" w:top="1440" w:right="339" w:bottom="1440" w:gutter="0" w:footer="0" w:header="0"/>
        </w:sectPr>
      </w:pPr>
    </w:p>
    <w:bookmarkStart w:id="370" w:name="page371"/>
    <w:bookmarkEnd w:id="370"/>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guarantees, tenant estoppels, subordinations, non-disturbance, operating agreements and attornment agreements (with any amendments or modifications related thereto, collectively, the “Leases”). With respect to the Leased Property, the applicable member of the Company Group has a valid leasehold interest in the leasehold estate relating thereto, free and clear of any Encumbrance, easement, covenant or other restriction applicable to such Leased Property which would reasonably be expected to materially impair the current uses or the occupancy by the applicable member of the Company Group of such Leased Property. No member of the Company Group has received written notice that it is in default of any of the Leases, nor has any member of the Company Group sent written notice to any other party to any of the Leases that such other party is in default thereof, in each case, except as would not reasonably be likely to result in material liability to such member of the Company Group.</w:t>
      </w:r>
    </w:p>
    <w:p>
      <w:pPr>
        <w:spacing w:after="0" w:line="12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Environmental Laws and Regulations</w:t>
      </w:r>
      <w:r>
        <w:rPr>
          <w:rFonts w:ascii="Arial" w:cs="Arial" w:eastAsia="Arial" w:hAnsi="Arial"/>
          <w:sz w:val="16"/>
          <w:szCs w:val="16"/>
          <w:color w:val="auto"/>
        </w:rPr>
        <w:t>. The Company Group and all facilities or real property currently owned, leased or operated by the Company Group, are now and, since such time as the Company Group has owned, leased or operated the facilities or real property, have been in compliance in all material respects with all applicable Environmental Laws. No member of the Company Group has, since the Company Group has owned, leased or operated the facilities or real property, received from any Governmental Authority any notice or demand letter alleging that any member of the Company Group is in violation of any Environmental Law, and no member of the Company Group is subject to any Order of any Governmental Authority imposing liability or obligations relating to any Environmental Law. There has been no release by any member of the Company Group, or for which any member of the Company Group would reasonably be expected to be liable by Contract or by operation of Law, of any Hazardous Substance at, under, from or to any facility or real property currently or formerly owned, leased or operated by any member of the Company Group. No member of the Company Group has assumed, undertaken or otherwise become subject to any liability of another Person relating to Environmental Laws.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Absence of Certain Activities or Changes</w:t>
      </w:r>
      <w:r>
        <w:rPr>
          <w:rFonts w:ascii="Arial" w:cs="Arial" w:eastAsia="Arial" w:hAnsi="Arial"/>
          <w:sz w:val="17"/>
          <w:szCs w:val="17"/>
          <w:color w:val="auto"/>
        </w:rPr>
        <w:t xml:space="preserve">. Since June 30, 2021, (a) the Company Group has conducted its operations in the Ordinary Course of Business (except as required by any COVID-19 Response), (b) there has been no Material Adverse Effect, and (c) no member of the Company Group has taken any action which would require the consent of Acquirer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if taken during the Pre-Closing Period.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Company Contracts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12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3.8(a) of the Company Disclosure Schedules sets forth, as of the Agreement Date, a complete and correct list of each of the following Contracts: (x) which are Seller Contracts, (y) to which any member of the Company Group is a party or (z) by which any member of the Company Group’s properties or assets are bound as of the Agreement Date:</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customer, supplier or payor Contract under which a member of the Company Group has made or received payments in any calendar year period since January 1, 2019 that are material in amount, which for purposes of this subsection shall be supplier Contracts in an amount of $500,000 or more per year, customer Contracts in an amount of $400,000 or more per year or payer Contracts in an amount of $100,000 or more per year, which shall include the contracts identified in Section 3.8(a)(ii);</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Contract with a (A) Top Customer, (B) Top Supplier or (C) Top Payor;</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distributor, referral or similar agreement;</w:t>
      </w:r>
    </w:p>
    <w:p>
      <w:pPr>
        <w:spacing w:after="0" w:line="171" w:lineRule="exact"/>
        <w:rPr>
          <w:rFonts w:ascii="Arial" w:cs="Arial" w:eastAsia="Arial" w:hAnsi="Arial"/>
          <w:sz w:val="18"/>
          <w:szCs w:val="18"/>
          <w:color w:val="auto"/>
        </w:rPr>
      </w:pPr>
    </w:p>
    <w:p>
      <w:pPr>
        <w:jc w:val="both"/>
        <w:ind w:firstLine="1304"/>
        <w:spacing w:after="0" w:line="279" w:lineRule="auto"/>
        <w:tabs>
          <w:tab w:leader="none" w:pos="1934"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 any joint venture, partnership or limited liability company Contract, (B) any Contract that involves a sharing of revenues, profits, cash flows, expenses or losses with other Persons, (C) any Contract that involves the payment by any member of the Company Group of royalties to any other Person and (D) any Contracts providing for payment of amounts calculated based upon the revenues or income of any member of the Company Group, earnouts, milestones, royalties or contingent payments (I) by or (II) to any member of the Company Group;</w:t>
      </w:r>
    </w:p>
    <w:p>
      <w:pPr>
        <w:spacing w:after="0" w:line="117" w:lineRule="exact"/>
        <w:rPr>
          <w:rFonts w:ascii="Arial" w:cs="Arial" w:eastAsia="Arial" w:hAnsi="Arial"/>
          <w:sz w:val="17"/>
          <w:szCs w:val="17"/>
          <w:color w:val="auto"/>
        </w:rPr>
      </w:pPr>
    </w:p>
    <w:p>
      <w:pPr>
        <w:ind w:firstLine="1304"/>
        <w:spacing w:after="0" w:line="277" w:lineRule="auto"/>
        <w:tabs>
          <w:tab w:leader="none" w:pos="19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material Contracts that relate to research, development, manufacturing and/or commercialization of Company Products other than Contracts with suppliers, payers, customers and distributors or referral or similar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jc w:val="both"/>
        <w:ind w:left="-340" w:firstLine="1304"/>
        <w:spacing w:after="0" w:line="263" w:lineRule="auto"/>
        <w:tabs>
          <w:tab w:leader="none" w:pos="159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agreement or Contract providing for the payment of compensation or benefits (including any accelerated vesting) upon any termination of employment or service, or in connection with the Transactions, with any current or former employees under which any member of the Company Group has any actual or potential Liability;</w:t>
      </w:r>
    </w:p>
    <w:p>
      <w:pPr>
        <w:spacing w:after="0" w:line="129" w:lineRule="exact"/>
        <w:rPr>
          <w:rFonts w:ascii="Arial" w:cs="Arial" w:eastAsia="Arial" w:hAnsi="Arial"/>
          <w:sz w:val="18"/>
          <w:szCs w:val="18"/>
          <w:color w:val="auto"/>
        </w:rPr>
      </w:pPr>
    </w:p>
    <w:p>
      <w:pPr>
        <w:jc w:val="both"/>
        <w:ind w:left="-340" w:firstLine="1304"/>
        <w:spacing w:after="0" w:line="269" w:lineRule="auto"/>
        <w:tabs>
          <w:tab w:leader="none" w:pos="160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Contract (A) pursuant to which any other Person is granted exclusive rights or that requires any member of the Company Group to deal exclusively with any Persons, (B) containing a “most-favored-party,” best pricing or other term or provision by which any Person is, or could become, entitled to any benefit, right or privilege which, under the terms of such Contract, must be at least as favorable to such Person as those offered to another Person, (C) that limits or would limit the freedom of any member of the Company Group or any of their successors or assigns or their respective Affiliates (including Acquirer, the Surviving Entity and their respective Affiliates after Closing) to engage or participate, or compete with any other Person, in any line of business, market or geographic area, or to make use of any Intellectual Property, (D) containing any “take or pay,” minimum commitments or similar provisions or provisions to purchase goods or services from a sole source other than reagent agreements entered into in the Ordinary Course of Business that include minimum purchase obligations solely as a condition to maintaining preferential pricing conditions for such reagent, (E) in which the any member of the Company Group grants rights of first refusal or first offer, right of negotiation or similar preferential rights to, any Person, or (F) that would, by its terms apply, or purport to apply, to the business of any acquirer of any member of the Company Group or the business of Acquirer following the Closing;</w:t>
      </w:r>
    </w:p>
    <w:p>
      <w:pPr>
        <w:spacing w:after="0" w:line="127" w:lineRule="exact"/>
        <w:rPr>
          <w:rFonts w:ascii="Arial" w:cs="Arial" w:eastAsia="Arial" w:hAnsi="Arial"/>
          <w:sz w:val="17"/>
          <w:szCs w:val="17"/>
          <w:color w:val="auto"/>
        </w:rPr>
      </w:pPr>
    </w:p>
    <w:p>
      <w:pPr>
        <w:jc w:val="both"/>
        <w:ind w:left="-340" w:firstLine="1304"/>
        <w:spacing w:after="0" w:line="259" w:lineRule="auto"/>
        <w:tabs>
          <w:tab w:leader="none" w:pos="15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Company IP Contracts (other than employee invention assignments on Company’s form, Contracts that are Company IP Contracts solely because they contain licenses of Commercial Software, confidentiality obligations, licenses for feedback or incidental non-exclusive trademark licenses limited solely for the purpose of identifying the Company, any of its Subsidiaries or any counterparty as a participant in a health insurance program, a participating health insurer or service provider);</w:t>
      </w:r>
    </w:p>
    <w:p>
      <w:pPr>
        <w:spacing w:after="0" w:line="132" w:lineRule="exact"/>
        <w:rPr>
          <w:rFonts w:ascii="Arial" w:cs="Arial" w:eastAsia="Arial" w:hAnsi="Arial"/>
          <w:sz w:val="18"/>
          <w:szCs w:val="18"/>
          <w:color w:val="auto"/>
        </w:rPr>
      </w:pPr>
    </w:p>
    <w:p>
      <w:pPr>
        <w:jc w:val="both"/>
        <w:ind w:left="-340" w:firstLine="1304"/>
        <w:spacing w:after="0" w:line="291" w:lineRule="auto"/>
        <w:tabs>
          <w:tab w:leader="none" w:pos="159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and all Seller Contracts concerning Intellectual Property or IT Assets to which a member of the Company Group is a beneficiary or by which such member, or any of its properties or assets, may be bound, including, as applicable, all (i) licenses of Intellectual Property to any third party, licenses of Intellectual Property by any third party, (iii) other Seller Contracts relating to the transfer, development, maintenance or use of Intellectual Property, including data, or IT Assets and (iv) consents, settlements, and Orders governing the use, validity or enforceability of Intellectual Property or IT Assets (“Seller IP Contracts”), other than Contracts that are Seller IP Contracts solely because they contain licenses of Commercial Software, confidentiality obligations, licenses for feedback, incidental non- exclusive trademark licenses solely for the purpose of identifying a member of the Company Group or any counterparty as a participant in a health insurance program, a participating health insurer or service provider;</w:t>
      </w:r>
    </w:p>
    <w:p>
      <w:pPr>
        <w:spacing w:after="0" w:line="112" w:lineRule="exact"/>
        <w:rPr>
          <w:rFonts w:ascii="Arial" w:cs="Arial" w:eastAsia="Arial" w:hAnsi="Arial"/>
          <w:sz w:val="16"/>
          <w:szCs w:val="16"/>
          <w:color w:val="auto"/>
        </w:rPr>
      </w:pPr>
    </w:p>
    <w:p>
      <w:pPr>
        <w:jc w:val="both"/>
        <w:ind w:left="-340" w:firstLine="1304"/>
        <w:spacing w:after="0" w:line="311" w:lineRule="auto"/>
        <w:tabs>
          <w:tab w:leader="none" w:pos="159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Contract providing for the development of any software, technology or Intellectual Property, independently or jointly, either by or for a member of the Company Group (other than employee invention assignment agreements with employees of a member of the Company Group on the Company’s or any Subsidiary of the Company’s respective standard form of agreement, copies of which have been Delivered to Acquirer);</w:t>
      </w:r>
    </w:p>
    <w:p>
      <w:pPr>
        <w:spacing w:after="0" w:line="94" w:lineRule="exact"/>
        <w:rPr>
          <w:rFonts w:ascii="Arial" w:cs="Arial" w:eastAsia="Arial" w:hAnsi="Arial"/>
          <w:sz w:val="16"/>
          <w:szCs w:val="16"/>
          <w:color w:val="auto"/>
        </w:rPr>
      </w:pPr>
    </w:p>
    <w:p>
      <w:pPr>
        <w:ind w:left="-340" w:right="20" w:firstLine="1304"/>
        <w:spacing w:after="0" w:line="277" w:lineRule="auto"/>
        <w:tabs>
          <w:tab w:leader="none" w:pos="159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confidentiality, secrecy or non-disclosure Contract other than any such Contract entered into by a member of the Company Group in the Ordinary Course of Business;</w:t>
      </w:r>
    </w:p>
    <w:p>
      <w:pPr>
        <w:spacing w:after="0" w:line="116" w:lineRule="exact"/>
        <w:rPr>
          <w:rFonts w:ascii="Arial" w:cs="Arial" w:eastAsia="Arial" w:hAnsi="Arial"/>
          <w:sz w:val="18"/>
          <w:szCs w:val="18"/>
          <w:color w:val="auto"/>
        </w:rPr>
      </w:pPr>
    </w:p>
    <w:p>
      <w:pPr>
        <w:jc w:val="both"/>
        <w:ind w:left="-340" w:firstLine="1304"/>
        <w:spacing w:after="0" w:line="263" w:lineRule="auto"/>
        <w:tabs>
          <w:tab w:leader="none" w:pos="16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any settlement agreement with respect to any Proceeding, (B) any settlement or similar Contract restricting in any respect the operations or conduct of the Business, as currently conducted or as proposed to be conducted, of a member of the Company Group (or the Acquirer or its Affiliates after the Closing), and (C) any settlement or similar Contract with a Governmental Authority;</w:t>
      </w:r>
    </w:p>
    <w:p>
      <w:pPr>
        <w:spacing w:after="0" w:line="129" w:lineRule="exact"/>
        <w:rPr>
          <w:rFonts w:ascii="Arial" w:cs="Arial" w:eastAsia="Arial" w:hAnsi="Arial"/>
          <w:sz w:val="18"/>
          <w:szCs w:val="18"/>
          <w:color w:val="auto"/>
        </w:rPr>
      </w:pPr>
    </w:p>
    <w:p>
      <w:pPr>
        <w:ind w:left="-340" w:right="20" w:firstLine="1304"/>
        <w:spacing w:after="0" w:line="277" w:lineRule="auto"/>
        <w:tabs>
          <w:tab w:leader="none" w:pos="15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Contract to which a member of the Company Group is a party or by which it or any of its properties or assets is bound as of the Agreement Date with any labor union or any collective bargaining agreement or similar Contract with its employees;</w:t>
      </w:r>
    </w:p>
    <w:p>
      <w:pPr>
        <w:spacing w:after="0" w:line="116" w:lineRule="exact"/>
        <w:rPr>
          <w:rFonts w:ascii="Arial" w:cs="Arial" w:eastAsia="Arial" w:hAnsi="Arial"/>
          <w:sz w:val="18"/>
          <w:szCs w:val="18"/>
          <w:color w:val="auto"/>
        </w:rPr>
      </w:pPr>
    </w:p>
    <w:p>
      <w:pPr>
        <w:ind w:left="1620" w:hanging="656"/>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Contract related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660" w:top="1440" w:right="339" w:bottom="1440" w:gutter="0" w:footer="0" w:header="0"/>
        </w:sectPr>
      </w:pPr>
    </w:p>
    <w:bookmarkStart w:id="372" w:name="page373"/>
    <w:bookmarkEnd w:id="372"/>
    <w:p>
      <w:pPr>
        <w:spacing w:after="0" w:line="144" w:lineRule="exact"/>
        <w:rPr>
          <w:sz w:val="20"/>
          <w:szCs w:val="20"/>
          <w:color w:val="auto"/>
        </w:rPr>
      </w:pPr>
    </w:p>
    <w:p>
      <w:pPr>
        <w:ind w:firstLine="1304"/>
        <w:spacing w:after="0" w:line="277" w:lineRule="auto"/>
        <w:tabs>
          <w:tab w:leader="none" w:pos="193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to which a member of the Company Group is a party or by which it or any of its properties or assets is bound as of the Agreement Date for capital expenditures in excess of $150,000 individually or in the aggregate;</w:t>
      </w:r>
    </w:p>
    <w:p>
      <w:pPr>
        <w:spacing w:after="0" w:line="116" w:lineRule="exact"/>
        <w:rPr>
          <w:rFonts w:ascii="Arial" w:cs="Arial" w:eastAsia="Arial" w:hAnsi="Arial"/>
          <w:sz w:val="18"/>
          <w:szCs w:val="18"/>
          <w:color w:val="auto"/>
        </w:rPr>
      </w:pPr>
    </w:p>
    <w:p>
      <w:pPr>
        <w:ind w:firstLine="1304"/>
        <w:spacing w:after="0" w:line="277" w:lineRule="auto"/>
        <w:tabs>
          <w:tab w:leader="none" w:pos="194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pursuant to which a member of the Company Group is a lessor or lessee of any machinery, equipment, motor vehicles, office furniture, fixtures or other personal property involving expenditures in excess of $500,000 in any calendar year;</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pursuant to which a member of the Company Group has acquired a business or entity, or substantially all of the assets of a business or entity, whether by way of merger, consolidation, purchase of stock, purchase of assets, license or otherwise, or any Contract pursuant to which it has any equity or equity-linked interest or other material ownership interest in any other Person;</w:t>
      </w:r>
    </w:p>
    <w:p>
      <w:pPr>
        <w:spacing w:after="0" w:line="129" w:lineRule="exact"/>
        <w:rPr>
          <w:rFonts w:ascii="Arial" w:cs="Arial" w:eastAsia="Arial" w:hAnsi="Arial"/>
          <w:sz w:val="18"/>
          <w:szCs w:val="18"/>
          <w:color w:val="auto"/>
        </w:rPr>
      </w:pPr>
    </w:p>
    <w:p>
      <w:pPr>
        <w:jc w:val="both"/>
        <w:ind w:firstLine="1304"/>
        <w:spacing w:after="0" w:line="273" w:lineRule="auto"/>
        <w:tabs>
          <w:tab w:leader="none" w:pos="193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all Contracts (i) that would require consent, (ii) that would require or permit a member of the Company Group (or any successor) or an acquirer of any member of the Company Group to make any payment to another Person, (iii) that would be subject to modification or termination that contain any clause that would trigger adverse consequences for Acquirer, (v) pursuant to which rights of any third party would be triggered or become exercisable, (vi) under which any other consequence, result or effect arises, in each case, by virtue of the change in control resulting from the completion of the Transactions, including the Pre-Closing Restructuring, or in connection with or as a result of the execution of this Agreement or the consummation of the Transactions, including the Pre-Closing Restructuring, either alone or in combination with any other event;</w:t>
      </w:r>
    </w:p>
    <w:p>
      <w:pPr>
        <w:spacing w:after="0" w:line="123" w:lineRule="exact"/>
        <w:rPr>
          <w:rFonts w:ascii="Arial" w:cs="Arial" w:eastAsia="Arial" w:hAnsi="Arial"/>
          <w:sz w:val="17"/>
          <w:szCs w:val="17"/>
          <w:color w:val="auto"/>
        </w:rPr>
      </w:pPr>
    </w:p>
    <w:p>
      <w:pPr>
        <w:jc w:val="both"/>
        <w:ind w:firstLine="1304"/>
        <w:spacing w:after="0" w:line="275" w:lineRule="auto"/>
        <w:tabs>
          <w:tab w:leader="none" w:pos="1943"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 any Contract to which a member of the Company Group is a party or by which it or any of its properties or assets is bound as of the Agreement Date with a Related Party, (B) any Contract for or relating to the employment or service of any member of the Company Group’s employees with the title of Senior Director or any more senior title which is not terminable by the Company Group on less than 30 days’ notice and without severance and (C) any other type of Contract with any member of the Company Group’s employees with the title of Senior Director or any more senior title, except for Company Benefit Plans or Seller Benefit Plans applicable to Company Group employees;</w:t>
      </w:r>
    </w:p>
    <w:p>
      <w:pPr>
        <w:spacing w:after="0" w:line="122" w:lineRule="exact"/>
        <w:rPr>
          <w:rFonts w:ascii="Arial" w:cs="Arial" w:eastAsia="Arial" w:hAnsi="Arial"/>
          <w:sz w:val="17"/>
          <w:szCs w:val="17"/>
          <w:color w:val="auto"/>
        </w:rPr>
      </w:pPr>
    </w:p>
    <w:p>
      <w:pPr>
        <w:ind w:left="1940" w:hanging="636"/>
        <w:spacing w:after="0"/>
        <w:tabs>
          <w:tab w:leader="none" w:pos="19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any Contract providing for indemnification to any director, officer, member, manager, employee, trustee or fiduciary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Group;</w:t>
      </w:r>
    </w:p>
    <w:p>
      <w:pPr>
        <w:spacing w:after="0" w:line="156" w:lineRule="exact"/>
        <w:rPr>
          <w:rFonts w:ascii="Arial" w:cs="Arial" w:eastAsia="Arial" w:hAnsi="Arial"/>
          <w:sz w:val="17"/>
          <w:szCs w:val="17"/>
          <w:color w:val="auto"/>
        </w:rPr>
      </w:pPr>
    </w:p>
    <w:p>
      <w:pPr>
        <w:jc w:val="both"/>
        <w:ind w:firstLine="1304"/>
        <w:spacing w:after="0" w:line="257" w:lineRule="auto"/>
        <w:tabs>
          <w:tab w:leader="none" w:pos="194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with any Governmental Authority, including any Contract relating to the grant, incentive, benefit, qualification or subsidy from any Governmental Authority, any Permit that is required for the conduct of the Business as currently conducted and as proposed to be conducted, or for a member of the Company Group holding of its assets, or any Contract with a government prime contractor, or higher-tier government subcontractor, including any indefinite delivery/indefinite quantity contract, firm-fixed-price contract, schedule contract, blanket purchase agreement, or task or delivery order (a “Government Contract”);</w:t>
      </w:r>
    </w:p>
    <w:p>
      <w:pPr>
        <w:spacing w:after="0" w:line="133" w:lineRule="exact"/>
        <w:rPr>
          <w:rFonts w:ascii="Arial" w:cs="Arial" w:eastAsia="Arial" w:hAnsi="Arial"/>
          <w:sz w:val="18"/>
          <w:szCs w:val="18"/>
          <w:color w:val="auto"/>
        </w:rPr>
      </w:pPr>
    </w:p>
    <w:p>
      <w:pPr>
        <w:ind w:left="1940" w:hanging="636"/>
        <w:spacing w:after="0"/>
        <w:tabs>
          <w:tab w:leader="none" w:pos="19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Contract between any member of the Company Group on the one side and any of Seller or its Affiliates on the other side;</w:t>
      </w:r>
    </w:p>
    <w:p>
      <w:pPr>
        <w:spacing w:after="0" w:line="194" w:lineRule="exact"/>
        <w:rPr>
          <w:rFonts w:ascii="Arial" w:cs="Arial" w:eastAsia="Arial" w:hAnsi="Arial"/>
          <w:sz w:val="16"/>
          <w:szCs w:val="16"/>
          <w:color w:val="auto"/>
        </w:rPr>
      </w:pPr>
    </w:p>
    <w:p>
      <w:pPr>
        <w:ind w:left="1940" w:hanging="636"/>
        <w:spacing w:after="0"/>
        <w:tabs>
          <w:tab w:leader="none" w:pos="19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all Contracts with non-employee health care professionals who provide services to or on behalf of a member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 and</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Company Data Agreements.</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Contracts required to be listed in Section 3.8(a) of the Company Disclosure Schedules are referred to as the “Company Contracts.” True, complete and correct copies of all written Company Contracts and summaries of all material oral Contracts that constitute Company Contracts, in each case, including all amendments thereto and waivers thereunder, have been Delivered to Acquirer.</w:t>
      </w:r>
    </w:p>
    <w:p>
      <w:pPr>
        <w:spacing w:after="0" w:line="129" w:lineRule="exact"/>
        <w:rPr>
          <w:rFonts w:ascii="Arial" w:cs="Arial" w:eastAsia="Arial" w:hAnsi="Arial"/>
          <w:sz w:val="18"/>
          <w:szCs w:val="18"/>
          <w:color w:val="auto"/>
        </w:rPr>
      </w:pPr>
    </w:p>
    <w:p>
      <w:pPr>
        <w:jc w:val="both"/>
        <w:ind w:right="20" w:firstLine="656"/>
        <w:spacing w:after="0" w:line="263" w:lineRule="auto"/>
        <w:tabs>
          <w:tab w:leader="none" w:pos="12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Company Contract is existing, in full force and effect and is legal, valid, binding and enforceable against the applicable member of the Company Group and, to the Knowledge of the Company, each other party thereto, in accordance with their respective terms except as enforcement may be limited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Enforceability Exceptions. No member of the Company Group, and in the case of Seller Contracts, neither the Seller nor any of its Affiliates, shall be, as a result of the execution and delivery or effectiveness of this Agreement or the performance of Holdco2’s obligations under this Agreement (including the Merger), and Company Group, in the case of Seller Contracts, Seller and its Affiliates, and, to the Knowledge of the Company, no other party is, in material Default under any Company Contract. No written notice of any claim of material Default under, or termination of, a Company Contract has been made or received by a member of the Company Group, Seller or Seller Affiliate. No member of the Company Group, and in the case of Seller Contracts, neither the Seller nor any of its Affiliates, have waived any of its material rights under any Company Contract.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Noncontravention; Restrictions on Business.</w:t>
      </w:r>
    </w:p>
    <w:p>
      <w:pPr>
        <w:spacing w:after="0" w:line="171" w:lineRule="exact"/>
        <w:rPr>
          <w:sz w:val="20"/>
          <w:szCs w:val="20"/>
          <w:color w:val="auto"/>
        </w:rPr>
      </w:pPr>
    </w:p>
    <w:p>
      <w:pPr>
        <w:jc w:val="both"/>
        <w:ind w:firstLine="656"/>
        <w:spacing w:after="0" w:line="293" w:lineRule="auto"/>
        <w:tabs>
          <w:tab w:leader="none" w:pos="129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and the Company’s compliance with this Agreement and consummation by the Company of the Transactions do not and will not (i) violate the Governing Documents of any member of the Company Group, (ii) assuming any consents and approvals referred to in Section 3.9(b) are duly obtained, conflict with or constitute a material Default under any Laws, Orders or Permits applicable to a member of the Company Group or (iii) conflict with, give rise to or result in a material Default under any material Company Contract, other than those Contracts listed in Section 3.9(a) of the Company Disclosure Schedules, or result in the creation of any Encumbrance (other than a Permitted Encumbrance) on any of the properties, assets, Holdco2 Common Stock or other equity securities of the Company.</w:t>
      </w:r>
    </w:p>
    <w:p>
      <w:pPr>
        <w:spacing w:after="0" w:line="110" w:lineRule="exact"/>
        <w:rPr>
          <w:rFonts w:ascii="Arial" w:cs="Arial" w:eastAsia="Arial" w:hAnsi="Arial"/>
          <w:sz w:val="16"/>
          <w:szCs w:val="16"/>
          <w:color w:val="auto"/>
        </w:rPr>
      </w:pPr>
    </w:p>
    <w:p>
      <w:pPr>
        <w:jc w:val="both"/>
        <w:ind w:firstLine="656"/>
        <w:spacing w:after="0" w:line="254" w:lineRule="auto"/>
        <w:tabs>
          <w:tab w:leader="none" w:pos="129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Other than (x) the filing of the First Certificate of Merger and Second Certificate of Merger and (y) such filings and notifications as may be required to be made by the Company Group in connection with the Transactions under the HSR Act and other applicable Antitrust Laws and the expiration or early termination of the applicable waiting period under the HSR Act and other applicable Antitrust Laws, no consent, approval, Order or authorization of, or registration, declaration or filing with, any Governmental Authority or any other Person (including any Institutional Review Board, Privacy Board or Ethics Committee for any clinical trial being conducted by or on behalf of a member of the Company Group) is required to be made, obtained or given by a member of the Company Group in connection with the execution, delivery and performance by the Company of this Agreement or the consummation by the Company of the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Financial Statements and Operating Budget.</w:t>
      </w:r>
    </w:p>
    <w:p>
      <w:pPr>
        <w:spacing w:after="0" w:line="171" w:lineRule="exact"/>
        <w:rPr>
          <w:sz w:val="20"/>
          <w:szCs w:val="20"/>
          <w:color w:val="auto"/>
        </w:rPr>
      </w:pPr>
    </w:p>
    <w:p>
      <w:pPr>
        <w:jc w:val="both"/>
        <w:ind w:firstLine="656"/>
        <w:spacing w:after="0" w:line="269" w:lineRule="auto"/>
        <w:tabs>
          <w:tab w:leader="none" w:pos="129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Seller has Delivered to Acquirer the unaudited consolidated financial statements of the Company for the fiscal years ended December 31, 2019 and 2020 (including, in each case, consolidated balance sheets, statements of operations and statements of cash flows, collectively, the “Financial Statements”), which are included on Section 3.10(a) of the Company Disclosure Schedules. The Financial Statements (i) are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were prepared in accordance with the Accounting Standards applied on a consistent basis throughout the periods involved. When delivered to Acquirer, the Required Financial Statements (i) will be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will be prepared in accordance with the Accounting Standards applied on a consistent basis throughout the periods involved, except, in the case of any unaudited interim financial statements, for the omission of footnotes and normal, immaterial year-end adjustments.</w:t>
      </w:r>
    </w:p>
    <w:p>
      <w:pPr>
        <w:spacing w:after="0" w:line="127" w:lineRule="exact"/>
        <w:rPr>
          <w:rFonts w:ascii="Arial" w:cs="Arial" w:eastAsia="Arial" w:hAnsi="Arial"/>
          <w:sz w:val="17"/>
          <w:szCs w:val="17"/>
          <w:color w:val="auto"/>
        </w:rPr>
      </w:pPr>
    </w:p>
    <w:p>
      <w:pPr>
        <w:ind w:right="20" w:firstLine="656"/>
        <w:spacing w:after="0" w:line="277" w:lineRule="auto"/>
        <w:tabs>
          <w:tab w:leader="none" w:pos="129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set forth in Section 3.10(b) of the Company Disclosure Schedules, no member of the Company Group has applied for or accepted any loan or other benefit made available by the CARES Act.</w:t>
      </w:r>
    </w:p>
    <w:p>
      <w:pPr>
        <w:spacing w:after="0" w:line="116" w:lineRule="exact"/>
        <w:rPr>
          <w:rFonts w:ascii="Arial" w:cs="Arial" w:eastAsia="Arial" w:hAnsi="Arial"/>
          <w:sz w:val="18"/>
          <w:szCs w:val="18"/>
          <w:color w:val="auto"/>
        </w:rPr>
      </w:pPr>
    </w:p>
    <w:p>
      <w:pPr>
        <w:jc w:val="both"/>
        <w:ind w:firstLine="656"/>
        <w:spacing w:after="0" w:line="311" w:lineRule="auto"/>
        <w:tabs>
          <w:tab w:leader="none" w:pos="129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Section 3.10(c) of the Company Disclosure Schedules sets forth a true, correct and complete list of all Indebtedness for borrowed money of the Company Group as of the Agreement Date, including, for each such item, the Contract governing such item and the interest rate, maturity date, any assets securing such instrument and any prepayment or other penalties payable in connection with the repayment of such instrument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44" w:lineRule="exact"/>
        <w:rPr>
          <w:sz w:val="20"/>
          <w:szCs w:val="20"/>
          <w:color w:val="auto"/>
        </w:rPr>
      </w:pPr>
    </w:p>
    <w:p>
      <w:pPr>
        <w:jc w:val="both"/>
        <w:ind w:firstLine="656"/>
        <w:spacing w:after="0" w:line="286" w:lineRule="auto"/>
        <w:tabs>
          <w:tab w:leader="none" w:pos="129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Company Group has established and maintain a system of internal accounting controls sufficient to provide reasonable assurances (i) that transactions, receipts and expenditures of the Company Group are being executed and made only in accordance with appropriate authorizations of management and the applicable board of directors and (ii) that transactions are recorded as necessary to permit preparation of financial statements in conformity with the Accounting Standards. No member of the Company Group or, to the Knowledge of the Company, its independent auditors or any current employee, consultant or director of a member of the Company Group has identified or been made aware of any fraud, whether or not material, that involves a member of the Company Group’s management or other current or former employees, consultants or directors of any member of the Company Group who have a role in the preparation of financial statements or the internal accounting controls utilized by the Company Group, or any claim or allegation regarding any of the foregoing. No member of the Company Group has received and the Company has no Knowledge of any material written complaint, allegation, assertion or claim, in each case, regarding deficient accounting or auditing practices, procedures, methodologies or methods of the Company Group or its internal accounting controls or any material inaccuracy in the financial statements of the Company Group. There are no significant deficiencies or material weaknesses in the design or operation of the Company Group’s internal controls that would reasonably be expected to adversely affect the Company Group’s ability to record, process, summarize and report financial data. There has been no change in the Company Group’s accounting policies since January 1, 2017, except as described in the Financial Statements.</w:t>
      </w:r>
    </w:p>
    <w:p>
      <w:pPr>
        <w:spacing w:after="0" w:line="119" w:lineRule="exact"/>
        <w:rPr>
          <w:rFonts w:ascii="Arial" w:cs="Arial" w:eastAsia="Arial" w:hAnsi="Arial"/>
          <w:sz w:val="16"/>
          <w:szCs w:val="16"/>
          <w:color w:val="auto"/>
        </w:rPr>
      </w:pPr>
    </w:p>
    <w:p>
      <w:pPr>
        <w:jc w:val="both"/>
        <w:ind w:firstLine="656"/>
        <w:spacing w:after="0" w:line="253" w:lineRule="auto"/>
        <w:tabs>
          <w:tab w:leader="none" w:pos="129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Except as set forth in Section 3.10(e) of the Company Disclosure Schedules, the accounts receivable of the Company Group (collectively, the “Accounts Receivable”) as reflected on the Company Balance Sheet and as will be reflected in the Estimated Closing Statement arose in the Ordinary Course of Business and represent bona fide claims against debtors for sales and other charges, and have been collected or are collectible in the book amounts thereof within one-hundred and fifty (150) days following the applicable invoice date, less an amount not in excess of the allowance for doubtful accounts provided for in the Company Balance Sheet or in the Estimated Closing Statement, as the case may be. Allowances for doubtful accounts have been prepared in accordance with Accounting Standards consistently applied. To the Knowledge of the Company, none of the Accounts Receivable is subject to any claim of offset, recoupment, set-off or counter-claim. Except as set forth in Section 3.10(e) of the Company Disclosure Schedules, no Person has any Encumbrance on any Accounts Receivable, and no agreement for deduction or discount has been made with respect to any such Accounts Receivable. Section 3.10(e) of the Company Disclosure Schedule sets forth, as of the Agreement Date, an aging of the Accounts Receivable in the aggregate.</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Liabilities</w:t>
      </w:r>
      <w:r>
        <w:rPr>
          <w:rFonts w:ascii="Arial" w:cs="Arial" w:eastAsia="Arial" w:hAnsi="Arial"/>
          <w:sz w:val="17"/>
          <w:szCs w:val="17"/>
          <w:color w:val="auto"/>
        </w:rPr>
        <w:t>. The Company Group does not have any Liabilities of any nature other than (a) those set forth or adequately provided for in the balance sheet included in the Financial Statements as of September 30, 2021 (such date, the “Company Balance Sheet Date” and such balance sheet, the “Company Balance Sheet”), (b) those incurred in the conduct of the Company’s business since the Company Balance Sheet Date in the Ordinary Course of Business and do not result from any material breach of Contract or violation of Law and (c) those incurred by the Company Group in connection with the execution of this Agreement. Except for Liabilities reflected in the Financial Statements, no member of the Company Group has any material off-balance sheet Liability of any nature to any Third Parties or entities, the purpose or effect of which is to defer, postpone, reduce or otherwise avoid or adjust the recording of expenses incurred by the Company Group. All reserves that are set forth in or reflected in the Company Balance Sheet have been established in accordance with the Accounting Standards consistently applied. Without limiting the generality of the foregoing, no member of the Company Group currently guarantees any debt or other obligation of any other Person.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of the Company Disclosure Schedules:</w:t>
      </w:r>
    </w:p>
    <w:p>
      <w:pPr>
        <w:spacing w:after="0" w:line="171" w:lineRule="exact"/>
        <w:rPr>
          <w:sz w:val="20"/>
          <w:szCs w:val="20"/>
          <w:color w:val="auto"/>
        </w:rPr>
      </w:pPr>
    </w:p>
    <w:p>
      <w:pPr>
        <w:jc w:val="both"/>
        <w:ind w:firstLine="656"/>
        <w:spacing w:after="0" w:line="286" w:lineRule="auto"/>
        <w:tabs>
          <w:tab w:leader="none" w:pos="129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Each member of the Company Group, and any consolidated, combined, unitary or aggregate group composed of members of the Company Group for Tax purposes, has timely filed all federal income Tax Returns and other material Tax Returns it is required to have filed. All Tax Returns filed by or with respect to any member of the Company Group are accurate, complete and correct in all material respects.</w:t>
      </w:r>
    </w:p>
    <w:p>
      <w:pPr>
        <w:spacing w:after="0" w:line="111"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member of the Company Group has paid in full all material Taxes required to have been paid. All Taxes due in connection with the operations of each member of the Company Group until the Closing Date have been paid in full. No member of the Company Group has any Liability for Taxes in excess of the amounts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paid, except for Taxes which are not yet due and payable or Taxes of other members of the Parent Group which shall be paid by other members of the Parent Group.</w:t>
      </w:r>
    </w:p>
    <w:p>
      <w:pPr>
        <w:spacing w:after="0" w:line="116" w:lineRule="exact"/>
        <w:rPr>
          <w:sz w:val="20"/>
          <w:szCs w:val="20"/>
          <w:color w:val="auto"/>
        </w:rPr>
      </w:pPr>
    </w:p>
    <w:p>
      <w:pPr>
        <w:jc w:val="both"/>
        <w:ind w:firstLine="656"/>
        <w:spacing w:after="0" w:line="273" w:lineRule="auto"/>
        <w:tabs>
          <w:tab w:leader="none" w:pos="129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Company Balance Sheet reflects all Liabilities for unpaid Taxes of the Company Group for periods (or portions of periods) through the Company Balance Sheet Date, except for Taxes of other members of the Parent Group which shall be paid by other members of the Parent Group. The Company Group does not have any Liability for unpaid Taxes accruing after the Company Balance Sheet Date except for Taxes arising in the Ordinary Course of Business subsequent to the Company Balance Sheet Date and Taxes of other members of the Parent Group which shall be paid by other members of the Parent Group. The Company Group has no Liability for Pre-Closing Taxes that is not included in the calculation of Closing Indebtedness except for Taxes of other members of the Parent Group which shall be paid by other members of the Parent Group.</w:t>
      </w:r>
    </w:p>
    <w:p>
      <w:pPr>
        <w:spacing w:after="0" w:line="123" w:lineRule="exact"/>
        <w:rPr>
          <w:rFonts w:ascii="Arial" w:cs="Arial" w:eastAsia="Arial" w:hAnsi="Arial"/>
          <w:sz w:val="17"/>
          <w:szCs w:val="17"/>
          <w:color w:val="auto"/>
        </w:rPr>
      </w:pPr>
    </w:p>
    <w:p>
      <w:pPr>
        <w:ind w:right="20"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Within the last five (5) years, no claim has been made by any Governmental Authority in any jurisdiction where a member of the Company Group does not file Tax Returns that such member is or may be subject to Tax by that jurisdiction.</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Section 3.12(e) of the Company Disclosure Schedules sets forth a complete and accurate listing of (i) all types of Taxes paid, and all types of Tax Returns filed, by or on behalf of each member of the Company Group and (ii) all of the jurisdictions in which each member of the Company Group files such Tax Returns.</w:t>
      </w:r>
    </w:p>
    <w:p>
      <w:pPr>
        <w:spacing w:after="0" w:line="129" w:lineRule="exact"/>
        <w:rPr>
          <w:rFonts w:ascii="Arial" w:cs="Arial" w:eastAsia="Arial" w:hAnsi="Arial"/>
          <w:sz w:val="18"/>
          <w:szCs w:val="18"/>
          <w:color w:val="auto"/>
        </w:rPr>
      </w:pPr>
    </w:p>
    <w:p>
      <w:pPr>
        <w:ind w:right="20" w:firstLine="656"/>
        <w:spacing w:after="0" w:line="277" w:lineRule="auto"/>
        <w:tabs>
          <w:tab w:leader="none" w:pos="12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with respect to the Tax Returns have been given by or requested from the Company or any of its Subsidiaries (except for extensions to file Tax Returns that are granted automatically under applicable Law).</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There is (i) no past or pending audit of, or Tax controversy associated with, any Tax Return of a member of the Company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9" w:lineRule="exact"/>
        <w:rPr>
          <w:rFonts w:ascii="Arial" w:cs="Arial" w:eastAsia="Arial" w:hAnsi="Arial"/>
          <w:sz w:val="18"/>
          <w:szCs w:val="18"/>
          <w:color w:val="auto"/>
        </w:rPr>
      </w:pPr>
    </w:p>
    <w:p>
      <w:pPr>
        <w:ind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any member of the Company Group as a result of any examinations by any Tax Authority have been fully paid.</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There are no Encumbrances for Taxes upon the assets of any member of the Company Group other than Encumbrances arising by operation of Law for Taxes not yet due and payable.</w:t>
      </w:r>
    </w:p>
    <w:p>
      <w:pPr>
        <w:spacing w:after="0" w:line="116" w:lineRule="exact"/>
        <w:rPr>
          <w:rFonts w:ascii="Arial" w:cs="Arial" w:eastAsia="Arial" w:hAnsi="Arial"/>
          <w:sz w:val="18"/>
          <w:szCs w:val="18"/>
          <w:color w:val="auto"/>
        </w:rPr>
      </w:pPr>
    </w:p>
    <w:p>
      <w:pPr>
        <w:jc w:val="both"/>
        <w:ind w:right="20" w:firstLine="656"/>
        <w:spacing w:after="0" w:line="259"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Group has collected and remitted all sales, use, value added, ad valorem, personal property and similar Taxes (“Sales Taxes”) with respect to sales made or services provided and, for all sales or provision of services that are exempt from Sales Taxes and that were made without charging or remitting Sales Taxes, the Company Group has received and retained any required Tax exemption certificates or other documentation qualifying such sale or provision of services as exempt.</w:t>
      </w:r>
    </w:p>
    <w:p>
      <w:pPr>
        <w:spacing w:after="0" w:line="132"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provided in Section 3.12(k) of the Company Disclosure Schedules, no member of the Company Group is party to or bound by any Tax indemnity, Tax sharing, Tax allocation or similar agreement, and no member of the Company Group has any Liability or potential Liability to any Third Party under any such agreement.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member of the Company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129" w:lineRule="exact"/>
        <w:rPr>
          <w:rFonts w:ascii="Arial" w:cs="Arial" w:eastAsia="Arial" w:hAnsi="Arial"/>
          <w:sz w:val="18"/>
          <w:szCs w:val="18"/>
          <w:color w:val="auto"/>
        </w:rPr>
      </w:pPr>
    </w:p>
    <w:p>
      <w:pPr>
        <w:jc w:val="both"/>
        <w:ind w:firstLine="656"/>
        <w:spacing w:after="0" w:line="259" w:lineRule="auto"/>
        <w:tabs>
          <w:tab w:leader="none" w:pos="128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member of the Company Group has ever entered into any “listed transaction” as defined in Treasury Regulations Section 1.6011-4(b) or any similar provision under state, local or foreign law. Each member of the Company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jc w:val="both"/>
        <w:ind w:left="-8" w:firstLine="656"/>
        <w:spacing w:after="0" w:line="255" w:lineRule="auto"/>
        <w:tabs>
          <w:tab w:leader="none" w:pos="128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HoldCo has (i) at all times since its formation been a “C corporation” within the meaning of Section 1361(a)(2) of the Code; (ii) except for being a member of the Parent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(iii) except for Taxes of other members of the Parent Group which shall be paid by other members of the Parent Group, no Liability for Taxes of any Person under Treasury Regulations Section 1.1502-6 (or any corresponding provision of state, local or foreign Law related to income Taxes), as transferee or successor, by Contract or otherwise.</w:t>
      </w:r>
    </w:p>
    <w:p>
      <w:pPr>
        <w:spacing w:after="0" w:line="138" w:lineRule="exact"/>
        <w:rPr>
          <w:rFonts w:ascii="Arial" w:cs="Arial" w:eastAsia="Arial" w:hAnsi="Arial"/>
          <w:sz w:val="18"/>
          <w:szCs w:val="18"/>
          <w:color w:val="auto"/>
        </w:rPr>
      </w:pPr>
    </w:p>
    <w:p>
      <w:pPr>
        <w:ind w:left="1292" w:hanging="644"/>
        <w:spacing w:after="0"/>
        <w:tabs>
          <w:tab w:leader="none" w:pos="129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No member of the Company Group has ever been a United States real property holding corporation within the meaning of Section 897(c)</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156" w:lineRule="exact"/>
        <w:rPr>
          <w:rFonts w:ascii="Arial" w:cs="Arial" w:eastAsia="Arial" w:hAnsi="Arial"/>
          <w:sz w:val="18"/>
          <w:szCs w:val="18"/>
          <w:color w:val="auto"/>
        </w:rPr>
      </w:pPr>
    </w:p>
    <w:p>
      <w:pPr>
        <w:ind w:left="-8" w:firstLine="656"/>
        <w:spacing w:after="0" w:line="27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is a party to any joint venture, partnership or other arrangement or Contract that could reasonably be expected to be treated as a partnership for Tax purposes.</w:t>
      </w:r>
    </w:p>
    <w:p>
      <w:pPr>
        <w:spacing w:after="0" w:line="116" w:lineRule="exact"/>
        <w:rPr>
          <w:rFonts w:ascii="Arial" w:cs="Arial" w:eastAsia="Arial" w:hAnsi="Arial"/>
          <w:sz w:val="18"/>
          <w:szCs w:val="18"/>
          <w:color w:val="auto"/>
        </w:rPr>
      </w:pPr>
    </w:p>
    <w:p>
      <w:pPr>
        <w:jc w:val="both"/>
        <w:ind w:left="-8" w:firstLine="656"/>
        <w:spacing w:after="0" w:line="25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Except as provided in Section 3.12(p) of the Company Disclosure Schedules, no member of the Company Group is a “United States shareholder” within the meaning of Section 951(b) of the Code with respect to any “controlled foreign corporation” within the meaning of Section 957(a) of the Code or “deferred foreign income corporation” within the meaning of Section 965(d)(1) of the Code. No member of the Company Group is subject to Tax in any jurisdiction other than the jurisdiction in which it is formed or organized by virtue of having employees, a permanent establishment or any other place of business in such jurisdiction.</w:t>
      </w:r>
    </w:p>
    <w:p>
      <w:pPr>
        <w:spacing w:after="0" w:line="133" w:lineRule="exact"/>
        <w:rPr>
          <w:rFonts w:ascii="Arial" w:cs="Arial" w:eastAsia="Arial" w:hAnsi="Arial"/>
          <w:sz w:val="18"/>
          <w:szCs w:val="18"/>
          <w:color w:val="auto"/>
        </w:rPr>
      </w:pPr>
    </w:p>
    <w:p>
      <w:pPr>
        <w:jc w:val="both"/>
        <w:ind w:left="-8" w:right="20" w:firstLine="656"/>
        <w:spacing w:after="0" w:line="263" w:lineRule="auto"/>
        <w:tabs>
          <w:tab w:leader="none" w:pos="12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owns any equity interest in an entity that is or, at any time when the Company Group owned such interest, was treated as a passive foreign investment company within the meaning of Section 1297(a) of the Code with respect to such member of the Company Group.</w:t>
      </w:r>
    </w:p>
    <w:p>
      <w:pPr>
        <w:spacing w:after="0" w:line="129" w:lineRule="exact"/>
        <w:rPr>
          <w:rFonts w:ascii="Arial" w:cs="Arial" w:eastAsia="Arial" w:hAnsi="Arial"/>
          <w:sz w:val="18"/>
          <w:szCs w:val="18"/>
          <w:color w:val="auto"/>
        </w:rPr>
      </w:pPr>
    </w:p>
    <w:p>
      <w:pPr>
        <w:ind w:left="-8" w:firstLine="656"/>
        <w:spacing w:after="0" w:line="277" w:lineRule="auto"/>
        <w:tabs>
          <w:tab w:leader="none" w:pos="127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has ever been a “distributing corporation” or a “controlled corporation” in connection with a distribution described in Section 355 of the Code.</w:t>
      </w:r>
    </w:p>
    <w:p>
      <w:pPr>
        <w:spacing w:after="0" w:line="116" w:lineRule="exact"/>
        <w:rPr>
          <w:rFonts w:ascii="Arial" w:cs="Arial" w:eastAsia="Arial" w:hAnsi="Arial"/>
          <w:sz w:val="18"/>
          <w:szCs w:val="18"/>
          <w:color w:val="auto"/>
        </w:rPr>
      </w:pPr>
    </w:p>
    <w:p>
      <w:pPr>
        <w:ind w:left="-8" w:firstLine="656"/>
        <w:spacing w:after="0" w:line="27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Each member of the Company Group has withheld and paid all material Taxes required to be withheld in connection with any amounts paid or owing to any employee, creditor, independent contractor or other Third Party.</w:t>
      </w:r>
    </w:p>
    <w:p>
      <w:pPr>
        <w:spacing w:after="0" w:line="116" w:lineRule="exact"/>
        <w:rPr>
          <w:rFonts w:ascii="Arial" w:cs="Arial" w:eastAsia="Arial" w:hAnsi="Arial"/>
          <w:sz w:val="18"/>
          <w:szCs w:val="18"/>
          <w:color w:val="auto"/>
        </w:rPr>
      </w:pPr>
    </w:p>
    <w:p>
      <w:pPr>
        <w:jc w:val="both"/>
        <w:ind w:left="-8" w:firstLine="656"/>
        <w:spacing w:after="0" w:line="255"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8" w:lineRule="exact"/>
        <w:rPr>
          <w:rFonts w:ascii="Arial" w:cs="Arial" w:eastAsia="Arial" w:hAnsi="Arial"/>
          <w:sz w:val="18"/>
          <w:szCs w:val="18"/>
          <w:color w:val="auto"/>
        </w:rPr>
      </w:pPr>
    </w:p>
    <w:p>
      <w:pPr>
        <w:jc w:val="both"/>
        <w:ind w:left="-8" w:firstLine="656"/>
        <w:spacing w:after="0" w:line="253"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except with respect to MGT Canada,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1400Z-2(a)(1)(A) of the Code, or (ix) any comparable provisions of state or local Tax law, domestic or foreign, or for any other reason. The Company Group has not made an election pursuant to Section 965(h) of the Code to pay the net tax liability under Section 965 of the Code in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32"/>
          </w:cols>
          <w:pgMar w:left="328" w:top="1440" w:right="339" w:bottom="1440" w:gutter="0" w:footer="0" w:header="0"/>
        </w:sectPr>
      </w:pPr>
    </w:p>
    <w:bookmarkStart w:id="377" w:name="page378"/>
    <w:bookmarkEnd w:id="377"/>
    <w:p>
      <w:pPr>
        <w:spacing w:after="0" w:line="144" w:lineRule="exact"/>
        <w:rPr>
          <w:sz w:val="20"/>
          <w:szCs w:val="20"/>
          <w:color w:val="auto"/>
        </w:rPr>
      </w:pPr>
    </w:p>
    <w:p>
      <w:pPr>
        <w:ind w:left="-340" w:firstLine="656"/>
        <w:spacing w:after="0" w:line="277" w:lineRule="auto"/>
        <w:tabs>
          <w:tab w:leader="none" w:pos="94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member of the Company Group has applied for and not yet received a ruling or determination from a Tax Authority regarding a past or prospective transaction.</w:t>
      </w:r>
    </w:p>
    <w:p>
      <w:pPr>
        <w:spacing w:after="0" w:line="116" w:lineRule="exact"/>
        <w:rPr>
          <w:rFonts w:ascii="Arial" w:cs="Arial" w:eastAsia="Arial" w:hAnsi="Arial"/>
          <w:sz w:val="18"/>
          <w:szCs w:val="18"/>
          <w:color w:val="auto"/>
        </w:rPr>
      </w:pPr>
    </w:p>
    <w:p>
      <w:pPr>
        <w:jc w:val="both"/>
        <w:ind w:left="-340" w:firstLine="656"/>
        <w:spacing w:after="0" w:line="254" w:lineRule="auto"/>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member of the Company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spacing w:after="0" w:line="140" w:lineRule="exact"/>
        <w:rPr>
          <w:rFonts w:ascii="Arial" w:cs="Arial" w:eastAsia="Arial" w:hAnsi="Arial"/>
          <w:sz w:val="18"/>
          <w:szCs w:val="18"/>
          <w:color w:val="auto"/>
        </w:rPr>
      </w:pPr>
    </w:p>
    <w:p>
      <w:pPr>
        <w:jc w:val="both"/>
        <w:ind w:left="-340" w:firstLine="656"/>
        <w:spacing w:after="0" w:line="263" w:lineRule="auto"/>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event has occurred with respect to a Company Benefit Plan that would be treated by Section 409A(b) of the Code as a transfer of property for purposes of Section 83 of the Code. No member of the Company Group is under any obligation to gross up any Taxes under Section 409A of the Code.</w:t>
      </w:r>
    </w:p>
    <w:p>
      <w:pPr>
        <w:spacing w:after="0" w:line="129" w:lineRule="exact"/>
        <w:rPr>
          <w:rFonts w:ascii="Arial" w:cs="Arial" w:eastAsia="Arial" w:hAnsi="Arial"/>
          <w:sz w:val="18"/>
          <w:szCs w:val="18"/>
          <w:color w:val="auto"/>
        </w:rPr>
      </w:pPr>
    </w:p>
    <w:p>
      <w:pPr>
        <w:jc w:val="both"/>
        <w:ind w:left="-340" w:firstLine="656"/>
        <w:spacing w:after="0" w:line="290" w:lineRule="auto"/>
        <w:tabs>
          <w:tab w:leader="none" w:pos="95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Except as set forth on Section 3.12(z) of the Company Disclosure Schedule, there is no agreement, plan, arrangement or other Contract covering any current or former employee or other service provider of a member of the Company Group to which a member of the Company Group or any of their ERISA Affiliate is a party or by which a member of the Company Group or any of its ERISA Affiliates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disregarding any arrangements implemented by or at the direction of Acquirer, be characterized as a “parachute payment” within the meaning of Section 280G of the Code (or any corresponding or similar provision of state, local or foreign Tax law).</w:t>
      </w:r>
    </w:p>
    <w:p>
      <w:pPr>
        <w:spacing w:after="0" w:line="111" w:lineRule="exact"/>
        <w:rPr>
          <w:sz w:val="20"/>
          <w:szCs w:val="20"/>
          <w:color w:val="auto"/>
        </w:rPr>
      </w:pPr>
    </w:p>
    <w:p>
      <w:pPr>
        <w:jc w:val="both"/>
        <w:ind w:left="-340" w:firstLine="656"/>
        <w:spacing w:after="0" w:line="273" w:lineRule="auto"/>
        <w:tabs>
          <w:tab w:leader="none" w:pos="67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(x) this Section 3.12 and Section 3.18 set forth the sole and exclusive representations and warranties regarding Tax matters of the Company Group, (y) Seller, members of the Company Group and their Affiliates are not making, and shall not be construed to have made, any representation or warranty as to the amount of, or Acquirer’s or any other Person’s ability to utilize, any net operating loss, tax credit, tax basis or other Tax attribute in any taxable period (or portion thereof) beginning after the Closing Date and (z) none of the representations in this Section 3.12 (except for subsections (l), (n), (t), (u) and (w) of this Section 3.12) may be relied upon or form a basis to claim indemnification for or relating to Taxes for any taxable period (or portion thereof) beginning after the Closing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Compliance with Law.</w:t>
      </w:r>
    </w:p>
    <w:p>
      <w:pPr>
        <w:spacing w:after="0" w:line="171" w:lineRule="exact"/>
        <w:rPr>
          <w:sz w:val="20"/>
          <w:szCs w:val="20"/>
          <w:color w:val="auto"/>
        </w:rPr>
      </w:pPr>
    </w:p>
    <w:p>
      <w:pPr>
        <w:jc w:val="both"/>
        <w:ind w:left="-340" w:firstLine="656"/>
        <w:spacing w:after="0" w:line="259" w:lineRule="auto"/>
        <w:tabs>
          <w:tab w:leader="none" w:pos="9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operation of the business of each member of the Company Group has been conducted in material compliance with all Laws and Orders applicable to such member or its business and all Permits required for the operation of its business, properties and assets. Except as set forth in Section 3.13(a) of the Company Disclosure Schedule, no member of the Company Group has received any written notice to the effect that, or otherwise been advised in writing that it is not in material compliance with any such Laws, Orders or Permits.</w:t>
      </w:r>
    </w:p>
    <w:p>
      <w:pPr>
        <w:spacing w:after="0" w:line="132" w:lineRule="exact"/>
        <w:rPr>
          <w:rFonts w:ascii="Arial" w:cs="Arial" w:eastAsia="Arial" w:hAnsi="Arial"/>
          <w:sz w:val="18"/>
          <w:szCs w:val="18"/>
          <w:color w:val="auto"/>
        </w:rPr>
      </w:pPr>
    </w:p>
    <w:p>
      <w:pPr>
        <w:jc w:val="both"/>
        <w:ind w:left="-340" w:firstLine="656"/>
        <w:spacing w:after="0" w:line="272" w:lineRule="auto"/>
        <w:tabs>
          <w:tab w:leader="none" w:pos="95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 member of the Company Group, nor any of the officers or directors of a member of the Company Group has, directly or indirectly, (i) taken any action in violation of any Law relating to anticorruption matters, including the FCPA, or (ii) offered, paid, given, promised to pay or give, or authorized the payment or gift of anything of value, directly or indirectly, to any Public Official, for purposes of (A) influencing any act or decision of any Public Official in his or her official capacity, (B) inducing such Public Official to do or fail to do any act in violation of his or her lawful duty, (C) securing any improper advantage or (D) inducing such Public Official to use his or her influence with a Governmental Authority, or commercial enterprise owned or controlled by any Governmental Authority (including state-owned or controlled veterinary or medical facilities), in order to assist the Company or any Person related to the Company, in obtaining or retaining business. None of the Representatives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660" w:top="1440" w:right="339" w:bottom="1440" w:gutter="0" w:footer="0" w:header="0"/>
        </w:sectPr>
      </w:pPr>
    </w:p>
    <w:bookmarkStart w:id="378" w:name="page379"/>
    <w:bookmarkEnd w:id="37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or any of its Subsidiaries are themselves Public Officials. There have been no false or fictitious entries made in the books or records of the Company or any of its Subsidiaries relating to any payment that the FCPA prohibits, and neither the Company nor any of its Subsidiaries has established or maintained a secret or unrecorded fund for use in making any such payments.</w:t>
      </w:r>
    </w:p>
    <w:p>
      <w:pPr>
        <w:spacing w:after="0" w:line="130" w:lineRule="exact"/>
        <w:rPr>
          <w:sz w:val="20"/>
          <w:szCs w:val="20"/>
          <w:color w:val="auto"/>
        </w:rPr>
      </w:pPr>
    </w:p>
    <w:p>
      <w:pPr>
        <w:jc w:val="both"/>
        <w:ind w:firstLine="656"/>
        <w:spacing w:after="0" w:line="289" w:lineRule="auto"/>
        <w:tabs>
          <w:tab w:leader="none" w:pos="129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No member of the Company Group, nor any of the officers or directors of a member of the Company Group has, directly or indirectly, taken any action in violation of any Law relating to export control, trade or economic sanctions, or antiboycott, in the U.S. or any other jurisdiction, including: the Arms Export Control Act (22 U.S.C.A. § 2278), the Export Administration Act (50 U.S.C. App. §§ 2401-2420), the International Traffic in Arms Regulations (22 C.F.R. 120-130), the Export Administration Regulations (15 C.F.R. 730 et seq.), the Office of Foreign Assets Control Regulations (31 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Law outside of the United States of a similar nature. No member of the Company Group or any of their respective Representatives is listed on the U.S. Office of Foreign Assets Control “Specifically Designated Nationals and Blocked Persons” or any other similar list.</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of the Company Disclosure Schedules sets forth a complete and correct list of all material Permits used by the Company Group in the operation of the Business, all of which are valid and in full force and effect. Complete and correct copies of such Permits have been Delivered to Acquirer. Each member of the Company Group has all Permits required in the operation of the Business, and such Permits are in full force and effect and are owned by the applicable member of the Company Group free and clear of all Encumbrances except Permitted Encumbrances, except for such Permits which the failure to hold would not be reasonably likely to be material to the applicable member of the Company Group. No member of the Company Group is in material Default, or has received any written notice of any claim of material Default, with respect to any such Permit. No suspension or cancellation of any such Permits is pending or, to the Company’s Knowledge, threatened.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Regulatory Matters.</w:t>
      </w:r>
    </w:p>
    <w:p>
      <w:pPr>
        <w:spacing w:after="0" w:line="171" w:lineRule="exact"/>
        <w:rPr>
          <w:sz w:val="20"/>
          <w:szCs w:val="20"/>
          <w:color w:val="auto"/>
        </w:rPr>
      </w:pPr>
    </w:p>
    <w:p>
      <w:pPr>
        <w:jc w:val="both"/>
        <w:ind w:firstLine="656"/>
        <w:spacing w:after="0" w:line="255" w:lineRule="auto"/>
        <w:tabs>
          <w:tab w:leader="none" w:pos="129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set forth in Section 3.15(a) of the Company Disclosure Schedules, each member of the Company Group is, and since inception each member of the Company Group has been, in material compliance with all applicable Health Care Laws. Except as set forth in Section 3.15(a) of the Company Disclosure Schedules, no member of the Company Group has received any notice or other communication from any Governmental Authority alleging any violation of any Health Care Law with respect to such activities. Except as set forth in Section 3.15(a) of the Company Disclosure Schedules, no member of the Company Group has received any notice or other written communication from any applicable Governmental Authority alleging any violation of any Health Care Law.</w:t>
      </w:r>
    </w:p>
    <w:p>
      <w:pPr>
        <w:spacing w:after="0" w:line="138" w:lineRule="exact"/>
        <w:rPr>
          <w:rFonts w:ascii="Arial" w:cs="Arial" w:eastAsia="Arial" w:hAnsi="Arial"/>
          <w:sz w:val="18"/>
          <w:szCs w:val="18"/>
          <w:color w:val="auto"/>
        </w:rPr>
      </w:pPr>
    </w:p>
    <w:p>
      <w:pPr>
        <w:jc w:val="both"/>
        <w:ind w:firstLine="656"/>
        <w:spacing w:after="0" w:line="296" w:lineRule="auto"/>
        <w:tabs>
          <w:tab w:leader="none" w:pos="12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Section 3.15(b) of the Company Disclosure Schedules sets forth a complete and correct list of all products that are being researched or under development by or on behalf of any member of the Company Group as of the Agreement Date. All Company Products are in material compliance with all applicable requirements under the Health Care Laws, including all requirements relating to research, storing, testing, record-keeping, reporting, import and export. Except as set forth in Section 3.15(b) of the Company Disclosure Schedules, no member of the Company Group has received any notice or other communication from the FDA or any other Governmental Authority alleging any violation of such requirements.</w:t>
      </w:r>
    </w:p>
    <w:p>
      <w:pPr>
        <w:spacing w:after="0" w:line="107" w:lineRule="exact"/>
        <w:rPr>
          <w:rFonts w:ascii="Arial" w:cs="Arial" w:eastAsia="Arial" w:hAnsi="Arial"/>
          <w:sz w:val="16"/>
          <w:szCs w:val="16"/>
          <w:color w:val="auto"/>
        </w:rPr>
      </w:pPr>
    </w:p>
    <w:p>
      <w:pPr>
        <w:jc w:val="both"/>
        <w:ind w:firstLine="656"/>
        <w:spacing w:after="0" w:line="293" w:lineRule="auto"/>
        <w:tabs>
          <w:tab w:leader="none" w:pos="129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All studies performed in connection with or as the basis for any Regulatory Permit or Regulatory Approval required for any Company Product either (i) have been conducted in accordance, in all material respects, with applicable requirements or (ii) have employed in all material respects the procedures and controls generally used by qualified experts. No member of the Company Group has received any notice or other written communication from an applicable Governmental Authority requiring the termination or suspension or material modification of any study with respect to any Company Products. No member of the Company Group collected, maintained, altered, or reported data from any study performed in connection with or as the basis for any Regulatory Permit, Regulatory Approval required for the Company Products in a manner that, if such data were reported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FDA or another Regulatory Authority, would be or would result in an untrue statement of material fact or fraudulent statement to the FDA or any other Regulatory Authority.</w:t>
      </w:r>
    </w:p>
    <w:p>
      <w:pPr>
        <w:spacing w:after="0" w:line="116" w:lineRule="exact"/>
        <w:rPr>
          <w:sz w:val="20"/>
          <w:szCs w:val="20"/>
          <w:color w:val="auto"/>
        </w:rPr>
      </w:pPr>
    </w:p>
    <w:p>
      <w:pPr>
        <w:jc w:val="both"/>
        <w:ind w:firstLine="656"/>
        <w:spacing w:after="0" w:line="255" w:lineRule="auto"/>
        <w:tabs>
          <w:tab w:leader="none" w:pos="12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All clinical trials conducted by or on behalf of any member of the Company Group have been conducted in compliance in all material respects with all applicable Laws. No clinical trial conducted by or on behalf of any member of the Company Group has been terminated or suspended prior to completion primarily for safety reasons. No applicable Governmental Authority, clinical investigator who has participated or is participating in, or Institutional Review Board that has or has had jurisdiction over, a clinical trial conducted by or on behalf of any member of the Company Group has commenced, or threatened to initiate, any action to place a clinical hold order on, or otherwise terminate, delay or suspend, any ongoing clinical investigation conducted by or on behalf of any member of the Company Group.</w:t>
      </w:r>
    </w:p>
    <w:p>
      <w:pPr>
        <w:spacing w:after="0" w:line="138" w:lineRule="exact"/>
        <w:rPr>
          <w:rFonts w:ascii="Arial" w:cs="Arial" w:eastAsia="Arial" w:hAnsi="Arial"/>
          <w:sz w:val="18"/>
          <w:szCs w:val="18"/>
          <w:color w:val="auto"/>
        </w:rPr>
      </w:pPr>
    </w:p>
    <w:p>
      <w:pPr>
        <w:jc w:val="both"/>
        <w:ind w:firstLine="656"/>
        <w:spacing w:after="0" w:line="259" w:lineRule="auto"/>
        <w:tabs>
          <w:tab w:leader="none" w:pos="129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Holdco2 has Delivered to Acquirer true, complete and correct copies of all material Regulatory Documentation in its possession or control related to the Company Products. Each applicable member of the Company Group has filed with the applicable Regulatory Authority all required filings. All such filings were in material compliance with all applicable Laws when filed, and no deficiencies have been asserted in writing by any applicable Regulatory Authority with respect to any such filings.</w:t>
      </w:r>
    </w:p>
    <w:p>
      <w:pPr>
        <w:spacing w:after="0" w:line="132" w:lineRule="exact"/>
        <w:rPr>
          <w:rFonts w:ascii="Arial" w:cs="Arial" w:eastAsia="Arial" w:hAnsi="Arial"/>
          <w:sz w:val="18"/>
          <w:szCs w:val="18"/>
          <w:color w:val="auto"/>
        </w:rPr>
      </w:pPr>
    </w:p>
    <w:p>
      <w:pPr>
        <w:ind w:right="20" w:firstLine="656"/>
        <w:spacing w:after="0" w:line="277" w:lineRule="auto"/>
        <w:tabs>
          <w:tab w:leader="none" w:pos="128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has no Knowledge of any fact that would reasonably be expected to materially impact, limit, or alter any existing Regulatory Permit or Regulatory Approval for any Company Product in any applicable jurisdiction.</w:t>
      </w:r>
    </w:p>
    <w:p>
      <w:pPr>
        <w:spacing w:after="0" w:line="116" w:lineRule="exact"/>
        <w:rPr>
          <w:rFonts w:ascii="Arial" w:cs="Arial" w:eastAsia="Arial" w:hAnsi="Arial"/>
          <w:sz w:val="18"/>
          <w:szCs w:val="18"/>
          <w:color w:val="auto"/>
        </w:rPr>
      </w:pPr>
    </w:p>
    <w:p>
      <w:pPr>
        <w:jc w:val="both"/>
        <w:ind w:firstLine="656"/>
        <w:spacing w:after="0" w:line="273"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 member of the Company Group is a party to any corporate integrity agreement, deferred prosecution agreement, consent decree, settlement order or similar agreement with or imposed by any Governmental Authority, and no such action is pending as of the date hereof. No member of the Company Group is subject to any material enforcement, regulatory or administrative proceedings against or affecting the Company or any of its Subsidiaries relating to or arising under any Health Care Law and no such enforcement, regulatory or administrative proceeding has been threatened. No member of the Company Group has made and is not in the process of making any voluntary self-disclosure to any Governmental Program or Governmental Authority, including any voluntary self-disclosures to the Centers for Medicare &amp; Medicaid Services (“CMS”).</w:t>
      </w:r>
    </w:p>
    <w:p>
      <w:pPr>
        <w:spacing w:after="0" w:line="123" w:lineRule="exact"/>
        <w:rPr>
          <w:rFonts w:ascii="Arial" w:cs="Arial" w:eastAsia="Arial" w:hAnsi="Arial"/>
          <w:sz w:val="17"/>
          <w:szCs w:val="17"/>
          <w:color w:val="auto"/>
        </w:rPr>
      </w:pPr>
    </w:p>
    <w:p>
      <w:pPr>
        <w:jc w:val="both"/>
        <w:ind w:firstLine="656"/>
        <w:spacing w:after="0" w:line="268"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All applications, information and other data and conclusions derived therefrom provided to an applicable Regulatory Authority with respect to the Company Products, when submitted by the applicable member of the Company Group, and to the Knowledge of the Company to a Regulatory Authority with respect to the Company Products, were true, complete, and correct in all material respects as of the date of submission by or on behalf of such member of the Company Group. No member of the Company Group: (i) has (A) been placed under or otherwise made subject to or (B) committed an act, made a statement, or failed to make a statement that, at the time such disclosure was made, would reasonably be expected to provide a basis for an applicable Governmental Authority to invoke its Application Integrity Policy “Fraud, Untrue Statements of Material Facts, Bribery, and Illegal Gratuities,” set forth in 56 Fed. Reg. 46191 (September 10, 1991) or any similar policy; (ii) has been charged with or convicted of any criminal offense relating to the delivery of an item or service under any Governmental Program; (iii) has been subject to, or convicted of any crime or engaged in any conduct that would reasonably be expected to result in, disqualification, debarment, deregistration, exclusion, or suspension from participation in any Governmental Program, or otherwise under 42 U.S.C. Section 1320a-7b(f), 21 U.S.C. Section 335a or any similar Law; (iv) has had a civil 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or (vi) to the Knowledge of the Company, is the target or subject of any current or potential investigation relating to any Governmental Program-related offense.</w:t>
      </w:r>
    </w:p>
    <w:p>
      <w:pPr>
        <w:spacing w:after="0" w:line="130" w:lineRule="exact"/>
        <w:rPr>
          <w:rFonts w:ascii="Arial" w:cs="Arial" w:eastAsia="Arial" w:hAnsi="Arial"/>
          <w:sz w:val="17"/>
          <w:szCs w:val="17"/>
          <w:color w:val="auto"/>
        </w:rPr>
      </w:pPr>
    </w:p>
    <w:p>
      <w:pPr>
        <w:jc w:val="both"/>
        <w:ind w:firstLine="656"/>
        <w:spacing w:after="0" w:line="279"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member of the Company Group has operated and currently are in material compliance with the Clinical Laboratory Improvement Amendments of 1998 (“CLIA”), all applicable rules and regulations of all Governmental Authorities engaged in regulation of clinical laboratories or biohazardous materials, and all Regulatory Permits. No member of the Company Group has received written notice from any such governmental agencies or bodies requiring the termination, suspension, clinical hold or material modification of any tests,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trials conducted by or on behalf of any member of the Company Group. No suspension, revocation, termination, sanction, corrective action or limitation of any currently existing CLIA certification or accreditation of any member of the Company Group is pending or threatened. Section 3.15(i) of the Company Disclosure Schedules sets forth a complete and correct list of (i) all Regulatory Permits and Regulatory Approvals used in the operation of the Company Group’s business or otherwise held by any member of the Company Group and (ii) all laboratory developed tests developed or offered by or on behalf of any member of the Company Group.</w:t>
      </w:r>
    </w:p>
    <w:p>
      <w:pPr>
        <w:spacing w:after="0" w:line="134" w:lineRule="exact"/>
        <w:rPr>
          <w:sz w:val="20"/>
          <w:szCs w:val="20"/>
          <w:color w:val="auto"/>
        </w:rPr>
      </w:pPr>
    </w:p>
    <w:p>
      <w:pPr>
        <w:jc w:val="both"/>
        <w:ind w:firstLine="656"/>
        <w:spacing w:after="0" w:line="286" w:lineRule="auto"/>
        <w:tabs>
          <w:tab w:leader="none" w:pos="129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(x) Each member of the Company Group has in effect all Regulatory Permits required by any applicable Regulatory Authority to permit the conduct of its business as currently conducted, (y) all of such Regulatory Permits and Regulatory Approvals are in full force and effect and (z) each member of the Company Group is in compliance with, and is not in default under, any such Regulatory Permit or Regulatory Authorization.</w:t>
      </w:r>
    </w:p>
    <w:p>
      <w:pPr>
        <w:spacing w:after="0" w:line="111" w:lineRule="exact"/>
        <w:rPr>
          <w:rFonts w:ascii="Arial" w:cs="Arial" w:eastAsia="Arial" w:hAnsi="Arial"/>
          <w:sz w:val="17"/>
          <w:szCs w:val="17"/>
          <w:color w:val="auto"/>
        </w:rPr>
      </w:pPr>
    </w:p>
    <w:p>
      <w:pPr>
        <w:jc w:val="both"/>
        <w:ind w:firstLine="656"/>
        <w:spacing w:after="0" w:line="255" w:lineRule="auto"/>
        <w:tabs>
          <w:tab w:leader="none" w:pos="129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set forth on Section 3.15(k) of the Company Disclosure Schedules, no member of the Company Group has (i) received advance payments (“Medicare Advance Payments”) from CMS pursuant to the Accelerated and Advance Payment Program (the “Medicare Advance Payment Program”) or (ii) received proceeds from funds appropriated in the Public Health and Social Services Emergency Fund for relief under Division B of Public Law 116-127 (“HHS Grants”). Each member of the Company Group has deployed any such proceeds in compliance in all material respects with all applicable Laws governing the HHS Grants and have maintained accounting records associated with the HHS Grants in material compliance with all the terms and conditions of all applicable CARES Act relief programs.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of the Company Disclosure Schedules, there is no, and since January 1, 2019 there has not been any, Proceeding (a) pending or, to the Company’s Knowledge, threatened against or affecting any member of the Company Group or their business, (b) pending or, to the Company’s Knowledge, threatened against any Person whose Liability any member of the Company Group has retained or assumed, either contractually or by operation of Law, or (c) pending or, to the Company’s Knowledge, threatened against any stockholder, officer, director or employee of any member of the Company Group in connection with such stockholder’s, officer’s, director’s or employee’s relationship with, or actions taken on behalf of, such member of the Company Group. No member of the Company Group is a party to or named in, and none of its properties or assets are subject to, any Order.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Employment Matters.</w:t>
      </w:r>
    </w:p>
    <w:p>
      <w:pPr>
        <w:spacing w:after="0" w:line="171" w:lineRule="exact"/>
        <w:rPr>
          <w:sz w:val="20"/>
          <w:szCs w:val="20"/>
          <w:color w:val="auto"/>
        </w:rPr>
      </w:pPr>
    </w:p>
    <w:p>
      <w:pPr>
        <w:jc w:val="both"/>
        <w:ind w:firstLine="656"/>
        <w:spacing w:after="0" w:line="267" w:lineRule="auto"/>
        <w:tabs>
          <w:tab w:leader="none" w:pos="129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Section 3.17(a) of the Company Disclosure Schedules contains a complete and correct list of each employee of each member of the Company Group and each employee of Seller or any of its Subsidiaries who, as of the Agreement Date, is expected to become an employee of a member of the Company Group prior to the Closing Date (collectively, the “In-Scope Employees”), including for each such employee: name, job title, date of hire, work location and employee entity. As soon as practicable following the Agreement Date, the Company shall provide to Acquirer each In-Scope Employee’s classification status under the Fair Labor Standards Act, full time or part time status and immigration status. Seller has provided to counsel to Acquirer, on an outside counsel only basis, a true and correct list of the following for each In-Scope Employee: annual base salary or wage, annual target incentive or bonus compensation for the current fiscal year and the prior fiscal year, and accrued paid time off. To the Company’s Knowledge, no Key Employee is a party to, or is otherwise bound by, any agreement or arrangement with any Third Party, including any confidentiality or non-competition agreement, that adversely affects or restricts the performance of such employee’s duties for the applicable member of the Company Group. To the Company’s Knowledge, no In-Scope Employee has provided written notice to terminate his or her relationship with his or her employing member of the Company Group. To the Company’s Knowledge, each employee of each member of the Company Group is (i) a citizen or lawful permanent resident of the jurisdiction in which such employee resides, or (ii) an alien authorized to work in the jurisdiction in which such employee resides either specifically for the Company or for any other employer in such jurisdiction. Except as set forth in Section 3.17(a) of the Company Disclosure Schedules, each member of the Company Group has completed a Form I-9 (Employment Eligibility Verification) for each of their employees. No employee of any member of the Company Group has a principal place of employment outside the United States or is subject to the labor and employment laws of any country other than the United States. Except as set forth in Section 3.17(a) of the Company Disclosure Schedules, the employment of each of the employees of each member of the Company Group is “at will” and no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has any obligation to provide any particular form or period of notice prior to terminating the employment of any of its employees. As of the Agreement Date, no member of the Company Group has (i) entered into any Contract that obligates or purports to obligate Acquirer to make an offer of employment to any present or former employee or consultant of any member of the Company Group or (ii) promised or otherwise provided any assurances (contingent or otherwise) to any present or former employee or consultant of any member of the Company Group of any terms or conditions of employment with Acquirer following the Effective Time.</w:t>
      </w:r>
    </w:p>
    <w:p>
      <w:pPr>
        <w:spacing w:after="0" w:line="134" w:lineRule="exact"/>
        <w:rPr>
          <w:sz w:val="20"/>
          <w:szCs w:val="20"/>
          <w:color w:val="auto"/>
        </w:rPr>
      </w:pPr>
    </w:p>
    <w:p>
      <w:pPr>
        <w:jc w:val="both"/>
        <w:ind w:firstLine="656"/>
        <w:spacing w:after="0" w:line="254"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member of the Company Group has, and no member of the Company Group would reasonably be expected to have, any Liability with respect to any Taxes (or the withholding thereof) in connection with any independent contractor, consultant or other non-employee service provider of the Company Group (or who served in such capacity since January 1, 2017 (collectively, “Contractors”)). To the Company’s Knowledge, no Contractor is a party to, or is otherwise bound by, any agreement or arrangement with any Third Party, including any confidentiality or non-competition agreement, that in any way adversely affects or restricts the performance of such Contractor’s duties for any member of the Company Group. No current Contractor used by any member of the Company Group has provided written notice to terminate his, her or its relationship with any member of the Company Group. Each member of the Company Group has properly classified each Contractor ever retained by the Company as an “independent contractor” pursuant to the Code and other applicable Laws.</w:t>
      </w:r>
    </w:p>
    <w:p>
      <w:pPr>
        <w:spacing w:after="0" w:line="137"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 member of the Company Group has, at any time, been a party to or had any obligations under a collective bargaining, works council or similar agreement, in each case in respect of the Business. No member of the Company Group has experienced at any time, nor to the Company’s Knowledge, is there now threatened, any walkout, union activity, work stoppage, any effort to organize or other similar occurrence or any attempt to organize or represent the labor force of such member of the Company Group or strike. No union or other collective bargaining unit or employee organizing entity has been certified or recognized by a member of the Company Group as representing any of its employees.</w:t>
      </w:r>
    </w:p>
    <w:p>
      <w:pPr>
        <w:spacing w:after="0" w:line="122" w:lineRule="exact"/>
        <w:rPr>
          <w:rFonts w:ascii="Arial" w:cs="Arial" w:eastAsia="Arial" w:hAnsi="Arial"/>
          <w:sz w:val="17"/>
          <w:szCs w:val="17"/>
          <w:color w:val="auto"/>
        </w:rPr>
      </w:pPr>
    </w:p>
    <w:p>
      <w:pPr>
        <w:jc w:val="both"/>
        <w:ind w:firstLine="656"/>
        <w:spacing w:after="0" w:line="286" w:lineRule="auto"/>
        <w:tabs>
          <w:tab w:leader="none" w:pos="129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members of the Company Group are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workers’ compensation, pay equity, the collection and payment of withholding and social security Taxes, and other employment-related Taxes. Each member of the Company Group has, or will have no later than the Closing Date, paid all accrued salaries, bonuses, commissions, wages, severance and accrued vacation pay of the employees due to be paid through the Closing Date. No member of the Company Group has committed any unfair labor practice in connection with the conduct of the Business. There are no Proceedings pending or, to the Company’s Knowledge, threatened between any member of the Company Group, on the one hand, and any of such member’s current employees or independent contractors or former employees or independent contractors, on the other. No review, complaint or Proceeding by any Governmental Authority or current or former employee or Contractor with respect to any member of the Company Group in relation to the employment or engagement of any individual is pending or, to the Company’s Knowledge, threatened, nor has any member of the Company Group received any notice from any Governmental Authority indicating an intention to conduct the same in the future. No member of the Company Group is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consistently with past practice). No member of the Company Group has any obligations under COBRA with respect to any former employees or qualifying beneficiaries thereunder.</w:t>
      </w:r>
    </w:p>
    <w:p>
      <w:pPr>
        <w:spacing w:after="0" w:line="116" w:lineRule="exact"/>
        <w:rPr>
          <w:rFonts w:ascii="Arial" w:cs="Arial" w:eastAsia="Arial" w:hAnsi="Arial"/>
          <w:sz w:val="16"/>
          <w:szCs w:val="16"/>
          <w:color w:val="auto"/>
        </w:rPr>
      </w:pPr>
    </w:p>
    <w:p>
      <w:pPr>
        <w:jc w:val="both"/>
        <w:ind w:firstLine="656"/>
        <w:spacing w:after="0" w:line="257" w:lineRule="auto"/>
        <w:tabs>
          <w:tab w:leader="none" w:pos="129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has Delivered to Acquirer true and correct copies of each of the following with respect to each member of the Company Group, in each case that are currently used in the Business and solely if the Company or such member of the Company Group has a standard form: (i) all forms of offer letters, (ii) all forms of employment agreements and severance agreements, (iii) all forms of services agreements and agreements with current consultants and/or advisory board members and (iv) all forms of confidentiality, non-competition or inventions agreements between current and former employees/consultants and the Company Group.</w:t>
      </w:r>
    </w:p>
    <w:p>
      <w:pPr>
        <w:spacing w:after="0" w:line="133" w:lineRule="exact"/>
        <w:rPr>
          <w:rFonts w:ascii="Arial" w:cs="Arial" w:eastAsia="Arial" w:hAnsi="Arial"/>
          <w:sz w:val="18"/>
          <w:szCs w:val="18"/>
          <w:color w:val="auto"/>
        </w:rPr>
      </w:pPr>
    </w:p>
    <w:p>
      <w:pPr>
        <w:ind w:firstLine="656"/>
        <w:spacing w:after="0" w:line="277" w:lineRule="auto"/>
        <w:tabs>
          <w:tab w:leader="none" w:pos="128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past two years, (i) no member of the Company Group has effectuated a “plant closing” (as defined in the Worker Adjustment Retraining Notification Act of 1988, as amended (the “WARN Act”)),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state or local law, affecting any site of employment or one or more facilities or operating units within any site of employment or facility of its business, (ii) there has not occurred a “mass layoff” (as defined in the WARN Act) affecting any site of employment or facility of the Company or any of its Subsidiaries and (iii) no member of the Company Group has been affected by any transaction or engaged in layoffs or employment terminations sufficient in number to trigger application of any similar state, local or foreign law or regulation.</w:t>
      </w:r>
    </w:p>
    <w:p>
      <w:pPr>
        <w:spacing w:after="0" w:line="133" w:lineRule="exact"/>
        <w:rPr>
          <w:sz w:val="20"/>
          <w:szCs w:val="20"/>
          <w:color w:val="auto"/>
        </w:rPr>
      </w:pPr>
    </w:p>
    <w:p>
      <w:pPr>
        <w:jc w:val="both"/>
        <w:ind w:firstLine="656"/>
        <w:spacing w:after="0" w:line="263" w:lineRule="auto"/>
        <w:tabs>
          <w:tab w:leader="none" w:pos="129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allegations of sexual harassment or sexual misconduct have been made to any member of the Company Group against any director, officer or other employee of any member of the Company Group and, to the Company’s Knowledge, there have not been any such allegations. There are no disciplinary actions pending against any of the employees of any member of the Company Group.</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Employee Benefit Plans.</w:t>
      </w:r>
    </w:p>
    <w:p>
      <w:pPr>
        <w:spacing w:after="0" w:line="171" w:lineRule="exact"/>
        <w:rPr>
          <w:sz w:val="20"/>
          <w:szCs w:val="20"/>
          <w:color w:val="auto"/>
        </w:rPr>
      </w:pPr>
    </w:p>
    <w:p>
      <w:pPr>
        <w:jc w:val="both"/>
        <w:ind w:firstLine="656"/>
        <w:spacing w:after="0" w:line="271" w:lineRule="auto"/>
        <w:tabs>
          <w:tab w:leader="none" w:pos="129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Section 3.18(a) of the Company Disclosure Schedules contains a complete and correct list, as of the date hereof, of each Benefit Plan maintained or sponsored by any member of the Company Group (each, a “Company Benefit Plan”) and each Benefit Plan contributed to or required to be contributed to by a member of the Company Group, but which is not sponsored by a member of the Company Group (each, a “ Seller Benefit Plan” and collectively, the “Seller Benefit Plans”); provided, that Company Benefit Plans that are independent contractor agreements with independent contractors whose annual compensation is less than $100,000 are not required to be listed in Section 3.18(a) of the Company Disclosure Schedules. No Company Benefit Plan is subject to any Laws other than those of the United States or any state, county or municipality in the United States. No member of the Company Group has or would reasonably be expected to have any Liability under any Benefit Plan maintained, contributed to or required to be contributed to by any ERISA Affiliate of the Company or any of its Subsidiaries other than the Seller Benefit Plans.</w:t>
      </w:r>
    </w:p>
    <w:p>
      <w:pPr>
        <w:spacing w:after="0" w:line="124"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With respect to each Company Benefit Plan, the Company has Delivered to Acquirer an accurate and complete copy of: (i) the current plan document, as amended through the Agreement Date, or a written summary of any unwritten Company Benefit Plan, (ii) the current summary plan description (if required) and any material modifications thereto, (iii) any annual reports on Forms 5500 to the extent applicable, (iv) material contracts including trust agreements, insurance contracts, and administrative services agreements, (v) the most recent determination or opinion letters for any plan intended to be qualified under Section 401(a) of the Code and (vi) any material correspondence with the Department of Labor, Internal Revenue Service or any other Governmental Authority regarding the plan in the past twelve (12) months.</w:t>
      </w:r>
    </w:p>
    <w:p>
      <w:pPr>
        <w:spacing w:after="0" w:line="123" w:lineRule="exact"/>
        <w:rPr>
          <w:rFonts w:ascii="Arial" w:cs="Arial" w:eastAsia="Arial" w:hAnsi="Arial"/>
          <w:sz w:val="17"/>
          <w:szCs w:val="17"/>
          <w:color w:val="auto"/>
        </w:rPr>
      </w:pPr>
    </w:p>
    <w:p>
      <w:pPr>
        <w:jc w:val="both"/>
        <w:ind w:firstLine="656"/>
        <w:spacing w:after="0" w:line="259" w:lineRule="auto"/>
        <w:tabs>
          <w:tab w:leader="none" w:pos="129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 or prior to the Closing Date, each applicable member of the Company Group shall have made all contributions required to be made to or with respect to each Company Benefit Plan and each Seller Benefit Plan by the Company Group on or prior to the Closing Date or accrued any such amounts in accordance with the past custom and practice of each member of the Company Group. No Company Benefit Plan is intended to include a Code Section 401(k) arrangement.</w:t>
      </w:r>
    </w:p>
    <w:p>
      <w:pPr>
        <w:spacing w:after="0" w:line="132"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any member of the Company Group or any ERISA Affiliate relating to, or change in participation or coverage under, any Company Benefit Plan that would materially increase the expense of maintaining such Company Benefit Plan above the level of expense incurred with respect to such Company Benefit Plan for the most recent full fiscal year included in the Financial Statements.</w:t>
      </w:r>
    </w:p>
    <w:p>
      <w:pPr>
        <w:spacing w:after="0" w:line="132" w:lineRule="exact"/>
        <w:rPr>
          <w:rFonts w:ascii="Arial" w:cs="Arial" w:eastAsia="Arial" w:hAnsi="Arial"/>
          <w:sz w:val="18"/>
          <w:szCs w:val="18"/>
          <w:color w:val="auto"/>
        </w:rPr>
      </w:pPr>
    </w:p>
    <w:p>
      <w:pPr>
        <w:jc w:val="both"/>
        <w:ind w:firstLine="656"/>
        <w:spacing w:after="0" w:line="291" w:lineRule="auto"/>
        <w:tabs>
          <w:tab w:leader="none" w:pos="129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Each Company Benefit Plan has been, since January 1, 2017, in all material respects, established, maintained and administered in accordance with its terms and with all provisions of ERISA, the Code and other applicable Laws. No actions, investigations, suits or claims with respect to any Company Benefit Plan or, to the extent relating to the Company Group or any of their current and former employees, Seller Benefit Plan are pending or, to the Company’s Knowledge, threatened, in each case excluding routine claims for benefits. No employee of any member of the Company Group is a “leased employee” within the meaning of Section 414(n) of the Code. The Company Group is in compliance in all material respects with the Patient Protection and Affordable Care Act and the Health Care and Education Reconciliation Act of 2010. With respect to each Company Benefit Plan in the past three (3) years, (i) no lien has been imposed under the Code, ERISA or any other applicable law, and (ii) no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Company Group has made any filing in respect of such Company Benefit Plan under the Employee Plans Compliance Resolution System, the Department of Labor Delinquent Filer Program or any other voluntary correction program. No Company Benefit Plan is sponsored by a human resources and benefits outsourcing entity or professional employer organization.</w:t>
      </w:r>
    </w:p>
    <w:p>
      <w:pPr>
        <w:spacing w:after="0" w:line="130" w:lineRule="exact"/>
        <w:rPr>
          <w:sz w:val="20"/>
          <w:szCs w:val="20"/>
          <w:color w:val="auto"/>
        </w:rPr>
      </w:pPr>
    </w:p>
    <w:p>
      <w:pPr>
        <w:jc w:val="both"/>
        <w:ind w:firstLine="656"/>
        <w:spacing w:after="0" w:line="255" w:lineRule="auto"/>
        <w:tabs>
          <w:tab w:leader="none" w:pos="12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Company Benefit Plan and Seller Benefit Plan that is intended to be qualified within the meaning of Section 401(a) of the Code is so qualified and has received a favorable determination letter from the IRS (or, if such plan is a prototype or volume submitter plan document, such prototype or volume submitter plan document has received a favorable opinion from the IRS that the form meets the tax qualification requirements and the applicable member of the Company Group or Parent Group is entitled to rely on such favorable opinion) to the effect that such Company Benefit Plan or Seller Benefit Plan satisfies the requirements of Section 401(a) of the Code in form and that its related trust is exempt from taxation under Section 501(a) of the Code.</w:t>
      </w:r>
    </w:p>
    <w:p>
      <w:pPr>
        <w:spacing w:after="0" w:line="138" w:lineRule="exact"/>
        <w:rPr>
          <w:rFonts w:ascii="Arial" w:cs="Arial" w:eastAsia="Arial" w:hAnsi="Arial"/>
          <w:sz w:val="18"/>
          <w:szCs w:val="18"/>
          <w:color w:val="auto"/>
        </w:rPr>
      </w:pPr>
    </w:p>
    <w:p>
      <w:pPr>
        <w:jc w:val="both"/>
        <w:ind w:firstLine="656"/>
        <w:spacing w:after="0" w:line="286" w:lineRule="auto"/>
        <w:tabs>
          <w:tab w:leader="none" w:pos="129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member of the Company Group has any obligation to provide post-retirement or post-termination medical or life insurance benefits to any current or former employee, officer, Contractor, or director, or any dependent or beneficiary thereof, other than as required under the Consolidated Omnibus Budget Reconciliation Act of 1985, as amended (“COBRA”) or similar state law for which the covered individual pays the full cost of coverage. There has been no “prohibited transaction” (within the meaning of Section 406 of ERISA and Section 4975 of the Code and not exempt under Section 408 of ERISA and regulatory guidance thereunder) with respect to any Company Benefit Plan. No member of the Company Group or any ERISA Affiliate is subject to Liability or penalty under Sections 4967 through 4980 of the Code or Title I of ERISA with respect to any Company Benefit Plans. No member of the Company Group or any of its ERISA Affiliates sponsors, maintains or contributes or is obligated to contribute to, or has incurred any liability with respect to any plan subject to Title IV of ERISA or Section 412 of the Code. No Company Benefit Plan is (i) any “multiemployer plan” within the meaning of Section 4001(a)(3) or 3(37) of ERISA, (ii) any “multiple employer plan” within the meaning of Section 4063 or 4064 of ERISA, (iii) any “multiple employer welfare arrangement” within the meaning of Section 3(40) of ERISA or (iv) any health or other welfare arrangement that is self-insured. No Company Benefit Plan is or has ever been, or currently funds or has ever been funded by, a “voluntary employees’ beneficiary association” within the meaning of Section 501(c)(9) of the Code or other funding arrangement for the provision of welfare benefits. Each Company Benefit Plan that provides health, life or other welfare or welfare-type benefits is fully insured by a third-party insurance company. No member of the Company Group sponsors or maintains any self-funded employee benefit plans providing for health or welfare benefits, including any plan to which a stop-loss policy applies.</w:t>
      </w:r>
    </w:p>
    <w:p>
      <w:pPr>
        <w:spacing w:after="0" w:line="116" w:lineRule="exact"/>
        <w:rPr>
          <w:rFonts w:ascii="Arial" w:cs="Arial" w:eastAsia="Arial" w:hAnsi="Arial"/>
          <w:sz w:val="16"/>
          <w:szCs w:val="16"/>
          <w:color w:val="auto"/>
        </w:rPr>
      </w:pPr>
    </w:p>
    <w:p>
      <w:pPr>
        <w:jc w:val="both"/>
        <w:ind w:firstLine="656"/>
        <w:spacing w:after="0" w:line="273" w:lineRule="auto"/>
        <w:tabs>
          <w:tab w:leader="none" w:pos="129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Transactions will (either alone or in combination with another event): (i) result in any payment becoming due, or increase the amount of any compensation due, to any current or former employee or Contractor of a member of the Company Group; (ii) increase any benefits otherwise payable under any Company Benefit Plan; (iii) result in the acceleration of the time of payment or vesting of any such compensation or benefits; (iv) result in the triggering or imposition of any restrictions or limitations on the rights of the Company or any of its Subsidiaries to amend or terminate any Company Benefit Plan; or (v) entitle the recipient of any payment or benefit to receive a “gross up” payment for any income or other taxes that might be owed with respect to such payment or benefit.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Intellectual Property.</w:t>
      </w:r>
    </w:p>
    <w:p>
      <w:pPr>
        <w:spacing w:after="0" w:line="171" w:lineRule="exact"/>
        <w:rPr>
          <w:sz w:val="20"/>
          <w:szCs w:val="20"/>
          <w:color w:val="auto"/>
        </w:rPr>
      </w:pPr>
    </w:p>
    <w:p>
      <w:pPr>
        <w:jc w:val="both"/>
        <w:ind w:firstLine="656"/>
        <w:spacing w:after="0" w:line="270" w:lineRule="auto"/>
        <w:tabs>
          <w:tab w:leader="none" w:pos="129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Section 3.19(a) of the Company Disclosure Schedules accurately and completely sets forth as of the Agreement Date: all (i) Registered Company IP, (ii) material unregistered Trademarks included in the Company Owned IP, (iii) material Software included in the Company Owned IP, (v) other Company Owned IP that is material to the Company Group or its business as currently conducted other than Trade Secrets, and (v) Company IP that is licensed exclusively to a member of the Company Group. For each item of Registered Company IP, Section 3.19(a) of the Company Disclosure Schedules indicates, as applicable, the legal (and record) owner(s) thereof and, if jointly-owned, all joint-owners of such Intellectual Property, the countries and jurisdictions in which such Intellectual Property is registered or in which an application for the same has been filed, the registration or application number, the filing, registration, and expiration dates thereof (as applicable), in the case of unregistered Trademarks, countries of use and approximate dates of first use. All Registered Company IP is subsisting and in full force and effect and, except as set forth in Section 3.19(a) of the Company Disclosure Schedules, to the Knowledge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registrations forming part of the Registered Company IP are valid and enforceable. The Company Group does not own any patents or patent applications and Seller and its Affiliates do not own or control any patents or patent applications relating to the Business. Section 3.19(a) of the Company Disclosure Schedules also accurately and completely sets forth as of the Agreement Date all Domain Names registered by or used or held for use for the Business by any member of the Company Group, Seller or any Seller Affiliate, including the applicable registrar and expiration date. All of the Domain Names listed in Section 3.19(a) of the Company Disclosure Schedules are registered solely by the applicable member of the Company Group and are active and all registration fees, renewals or other actions necessary on or before the Agreement Date to maintain such registrations active have been paid, filed and taken. All use of such Domain Names complies with and has complied in all material respects with all terms and conditions, terms of use, terms of service and other Contracts with the applicable registrar for such Domain Names.</w:t>
      </w:r>
    </w:p>
    <w:p>
      <w:pPr>
        <w:spacing w:after="0" w:line="124" w:lineRule="exact"/>
        <w:rPr>
          <w:sz w:val="20"/>
          <w:szCs w:val="20"/>
          <w:color w:val="auto"/>
        </w:rPr>
      </w:pPr>
    </w:p>
    <w:p>
      <w:pPr>
        <w:jc w:val="both"/>
        <w:ind w:firstLine="656"/>
        <w:spacing w:after="0" w:line="269" w:lineRule="auto"/>
        <w:tabs>
          <w:tab w:leader="none" w:pos="129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To the Knowledge of the Company, the Company Group has sufficient rights to use the Company IP and the Company IT Assets in the manner used by the Company Group in connection with the operation of its Business as currently conducted. The Company IP and Company IT Assets includes all material Intellectual Property and IT Assets, respectively, used or held for use in connection with the operation of the Business as currently conducted, and, to the Knowledge of the Company, there are no other items of Intellectual Property or IT Assets that are material to or necessary for the operation of the Company Group’s Business as currently conducted, or for the continued operation of the Company Group’s Business immediately after the Closing in substantially the same manner as currently conducted. Except as set forth in Section 3.19(b) of the Company Disclosure Schedules, the Company Group is the sole and exclusive owner of all right, title and interest in and to each item of Company Owned IP and each IT Asset owned or purported to be owned by the Company Group, free and clear of all Encumbrances and licenses other than Permitted Encumbrances, or any obligation to grant any of the foregoing. The Company Group has a license to use the Company Licensed IP in connection with the operation of its Business as currently conducted and proposed to be conducted, subject only to the terms of the applicable Company IP Contracts, and, to the Knowledge of the Company, such licenses are valid.</w:t>
      </w:r>
    </w:p>
    <w:p>
      <w:pPr>
        <w:spacing w:after="0" w:line="127" w:lineRule="exact"/>
        <w:rPr>
          <w:rFonts w:ascii="Arial" w:cs="Arial" w:eastAsia="Arial" w:hAnsi="Arial"/>
          <w:sz w:val="17"/>
          <w:szCs w:val="17"/>
          <w:color w:val="auto"/>
        </w:rPr>
      </w:pPr>
    </w:p>
    <w:p>
      <w:pPr>
        <w:jc w:val="both"/>
        <w:ind w:firstLine="656"/>
        <w:spacing w:after="0" w:line="291" w:lineRule="auto"/>
        <w:tabs>
          <w:tab w:leader="none" w:pos="129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Except as set forth on Section 3.19(c) of the Company Disclosure Schedules, no member of the Company Group has assigned, transferred, conveyed, or granted any license with respect to (other than licenses granted to Company Group customers in the Ordinary Course of Business), or authorized the retention of any rights in or joint ownership of, any Company Owned IP or any IT Asset owned or purported to be owned by the Company Group or other Intellectual Property that would have been Company Owned IP or IT Asset owned by the Company Group but for such assignment, transfer, conveyance to third parties or, caused or permitted any Encumbrance to attach to any Company Owned IP or IT Asset owned by the Company Group. Except as set forth on Section 3.19(c) of the Company Disclosure Schedule, no Person other than a member of the Company Group has any proprietary, commercial, joint ownership, royalty or other interest in the Company Owned IP or the goodwill, if any, associated therewith.</w:t>
      </w:r>
    </w:p>
    <w:p>
      <w:pPr>
        <w:spacing w:after="0" w:line="112" w:lineRule="exact"/>
        <w:rPr>
          <w:rFonts w:ascii="Arial" w:cs="Arial" w:eastAsia="Arial" w:hAnsi="Arial"/>
          <w:sz w:val="16"/>
          <w:szCs w:val="16"/>
          <w:color w:val="auto"/>
        </w:rPr>
      </w:pPr>
    </w:p>
    <w:p>
      <w:pPr>
        <w:jc w:val="both"/>
        <w:ind w:firstLine="656"/>
        <w:spacing w:after="0" w:line="287" w:lineRule="auto"/>
        <w:tabs>
          <w:tab w:leader="none" w:pos="129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 member of the Company Group has entered into any Contracts with any other Person (i) that materially limit or restrict use or require any payments for use of the Company Owned IP, the Company Licensed IP (other than the obligations or restrictions expressly contained in the agreement granting such member of the Company Group a license under such Intellectual Property) or Company Products by a member of the Company Group, (ii) pursuant to which any Person other than a member of the Company Group has been granted or retains the right to bring any infringement or other enforcement actions with respect to, or otherwise to enforce, any of the Company Owned IP, (iii) pursuant to which any Person has been granted or retains the right to defend any claim of infringement, misappropriation or other violation arising from the practice or other Exploitation of any of the Company Owned IP or pursuant to which any member of the Company Group expressly agrees to indemnify any Person against any such claim or pursuant to which any member of the Company Group has assumed any existing or potential Liability of another Person for any infringement, misappropriation or other violation of Intellectual Property or similar claim (other than indemnification obligations under Contracts with customers and service providers of the Company Group and Company IP Contracts entered into in the Ordinary Course of Business), or (iv) pursuant to which any Person has been granted or retains the right to control the prosecution of any applications or registrations for Company Owned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jc w:val="both"/>
        <w:ind w:left="-340" w:firstLine="656"/>
        <w:spacing w:after="0" w:line="269" w:lineRule="auto"/>
        <w:tabs>
          <w:tab w:leader="none" w:pos="95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on Section 3.19(e) of the Company Disclosure Schedules, all necessary registration, maintenance and renewal fees and other payments that have become due in connection with the Registered Company IP have been timely paid in full, with the understanding that “timely” includes payment during a grace period, extension period, further processing period, reinstatement period, or any other time period, payment during which will not allow such Registered Company IP to lapse, be cancelled or otherwise be deemed abandoned or lost. All necessary documents, recordations, certificates and other materials in connection with Registered Company IP required to be filed on or before the Agreement Date have been timely filed with the relevant patent, copyright, trademark or other authorities in the United States or foreign jurisdictions, as the case may be, for the purposes of maintaining such Registered Company IP registered in such jurisdiction. Except as set forth on Section 3.19(e) of the Company Disclosure Schedules, there are no actions that must be taken by any member of the Company Group within ninety (90) days of the Agreement Date that, if not taken, will result in the loss or delay of any Registered Company IP,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Registered Company IP.</w:t>
      </w:r>
    </w:p>
    <w:p>
      <w:pPr>
        <w:spacing w:after="0" w:line="127" w:lineRule="exact"/>
        <w:rPr>
          <w:rFonts w:ascii="Arial" w:cs="Arial" w:eastAsia="Arial" w:hAnsi="Arial"/>
          <w:sz w:val="17"/>
          <w:szCs w:val="17"/>
          <w:color w:val="auto"/>
        </w:rPr>
      </w:pPr>
    </w:p>
    <w:p>
      <w:pPr>
        <w:jc w:val="both"/>
        <w:ind w:left="-340" w:firstLine="656"/>
        <w:spacing w:after="0" w:line="269" w:lineRule="auto"/>
        <w:tabs>
          <w:tab w:leader="none" w:pos="94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on Section 3.19(f) of the Company Disclosure Schedules, since January 1, 2017, no member of the Company Group is, or has been, subject to any proceeding or outstanding decree, Order, judgment, injunction, settlement, action, investigation, opposition, interference, reexamination, cancellation, lawsuit, hearing, investigation, complaint, arbitration, mediation, demand, inquiries or requests for documents or any other Intellectual Property dispute, disagreement, or claim, whether brought by a third party or by a member of the Company Group (including, with respect to Trademarks, invalidity, nullity, opposition, cancelation, concurrent use or similar proceeding), whether by subpoena or informal letter, or any Order restricting the any member of the Company Group’s rights in, to and under any Company IP or Company Product, or the validity, enforceability, use, right to use, ownership, registration, right to register, priority, duration, scope or effectiveness of any Company IP or triggering any additional payment obligations with respect to any such Company IP (collectively, “IP Dispute”), nor has any IP Dispute been threatened against any member of the Company Group challenging the legality, validity, enforceability or ownership of any Company IP or Company Product. To the Knowledge of the Company, no circumstances or grounds exist that would give rise to an IP Dispute. Except as set forth on Section 3.19(f) of the Company Disclosure Schedules, no member of the Company Group has sent any notice of any IP Dispute.</w:t>
      </w:r>
    </w:p>
    <w:p>
      <w:pPr>
        <w:spacing w:after="0" w:line="127" w:lineRule="exact"/>
        <w:rPr>
          <w:rFonts w:ascii="Arial" w:cs="Arial" w:eastAsia="Arial" w:hAnsi="Arial"/>
          <w:sz w:val="17"/>
          <w:szCs w:val="17"/>
          <w:color w:val="auto"/>
        </w:rPr>
      </w:pPr>
    </w:p>
    <w:p>
      <w:pPr>
        <w:jc w:val="both"/>
        <w:ind w:left="-340" w:firstLine="656"/>
        <w:spacing w:after="0" w:line="286" w:lineRule="auto"/>
        <w:tabs>
          <w:tab w:leader="none" w:pos="95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None of the Company Owned IP, or to the Knowledge of the Company, any Company Licensed IP, has been adjudged invalid or unenforceable, in whole or in part, and, except as set forth on Section 3.19(g) of the Company Disclosure Schedules, to the Knowledge of the Company, no facts or circumstances exist that would render any registrations forming part of the Registered Company IP invalid or unenforceable.</w:t>
      </w:r>
    </w:p>
    <w:p>
      <w:pPr>
        <w:spacing w:after="0" w:line="111" w:lineRule="exact"/>
        <w:rPr>
          <w:rFonts w:ascii="Arial" w:cs="Arial" w:eastAsia="Arial" w:hAnsi="Arial"/>
          <w:sz w:val="17"/>
          <w:szCs w:val="17"/>
          <w:color w:val="auto"/>
        </w:rPr>
      </w:pPr>
    </w:p>
    <w:p>
      <w:pPr>
        <w:jc w:val="both"/>
        <w:ind w:left="-340" w:firstLine="656"/>
        <w:spacing w:after="0" w:line="271" w:lineRule="auto"/>
        <w:tabs>
          <w:tab w:leader="none" w:pos="95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in Section 3.19(h) of the Company Disclosure Schedules, in each case in which a member of the Company Group has acquired any material Intellectual Property that it purports to own from any Third Party (including any contractor or consultant) other than, in the case of Copyrights, by operation of law, such member of the Company Group obtained a written assignment, which, to the Knowledge of the Company, is valid and enforceable and sufficient to irrevocably transfer all of such Third Party’s rights in such Intellectual Property to the member of the Company Group and, to the maximum extent provided for by, and in accordance with, applicable laws, for each registration or registration application for Intellectual Property assigned by a Third Party to a member of the Company Group, the applicable member of the Company Group has recorded each such assignment with the relevant Governmental Authority, including, as applicable, the U.S. Patent and Trademark Office, the U.S. Copyright Office, or their respective equivalents in any relevant foreign jurisdiction, as the case may be.</w:t>
      </w:r>
    </w:p>
    <w:p>
      <w:pPr>
        <w:spacing w:after="0" w:line="124" w:lineRule="exact"/>
        <w:rPr>
          <w:rFonts w:ascii="Arial" w:cs="Arial" w:eastAsia="Arial" w:hAnsi="Arial"/>
          <w:sz w:val="17"/>
          <w:szCs w:val="17"/>
          <w:color w:val="auto"/>
        </w:rPr>
      </w:pPr>
    </w:p>
    <w:p>
      <w:pPr>
        <w:jc w:val="both"/>
        <w:ind w:left="-340" w:firstLine="656"/>
        <w:spacing w:after="0" w:line="293" w:lineRule="auto"/>
        <w:tabs>
          <w:tab w:leader="none" w:pos="95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 IT Assets perform in a manner that is sufficient for the Company Group to conduct its Business as currently conducted. The Company IT Assets have not materially malfunctioned or failed since January 1, 2017 and do not, to the Knowledge of the Company, contain any viruses, worms, trojan horses, bugs, faults or other devices, errors, contaminants or effects that (i) significantly disrupt or adversely affect the functionality of any Company IT Asset, except as disclosed in their documentation or (ii) enable or assist any Person to access without authorization any Company IT Asset. The Company Group has implemented commercially reasonable backup, security and disaster recovery technology consistent with current industry practices for comparable businesses and have taken commercially reasonable actions consistent with current industry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00"/>
          </w:cols>
          <w:pgMar w:left="660" w:top="1440" w:right="339" w:bottom="1440" w:gutter="0" w:footer="0" w:header="0"/>
        </w:sectPr>
      </w:pPr>
    </w:p>
    <w:bookmarkStart w:id="386" w:name="page387"/>
    <w:bookmarkEnd w:id="386"/>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comparable businesses to protect the confidentiality, integrity and security of the Company IT Assets and all information and transactions stored or contained on Company IT Assets. To the Knowledge of the Company, no Person has gained unauthorized access to any Company IT Asset. Section 3.19(i) of the Company Disclosure Schedules sets forth an accurate and complete list and description of all material Company IT Assets other than licenses for Commercial Software. All Company IT Assets are (A) owned by a member of the Company Group, or (B) currently in the public domain or otherwise available to the Company Group without the approval or consent of any Person or (C) to the Knowledge of the Company, licensed or otherwise used by the Company Group pursuant to terms of valid, binding written agreements with third parties, or are provided by Seller or its Affiliates for use by the Company Group under a Seller IP Contract.</w:t>
      </w:r>
    </w:p>
    <w:p>
      <w:pPr>
        <w:spacing w:after="0" w:line="141" w:lineRule="exact"/>
        <w:rPr>
          <w:sz w:val="20"/>
          <w:szCs w:val="20"/>
          <w:color w:val="auto"/>
        </w:rPr>
      </w:pPr>
    </w:p>
    <w:p>
      <w:pPr>
        <w:jc w:val="both"/>
        <w:ind w:firstLine="656"/>
        <w:spacing w:after="0" w:line="263" w:lineRule="auto"/>
        <w:tabs>
          <w:tab w:leader="none" w:pos="12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set forth in Section 3.19(j) of the Company Disclosure Schedules, no Public Software forms part of, is incorporated into or has been distributed, used or compiled with, in whole or in part, any Company Software or any Software included in the Company IT Assets that are distributed by the Company Group to Third Parties.</w:t>
      </w:r>
    </w:p>
    <w:p>
      <w:pPr>
        <w:spacing w:after="0" w:line="129"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member of the Company Group is in material compliance with the terms and conditions of all licenses for the Public Software that such member of the Company Group has licensed from a Third Party that forms part of, has been used in connection with the development of, is incorporated into used or compiled with, in whole or in part, any Company Software and any Software included in the Company IT Assets. Except as set forth in Section 3.19(k) of the Company Disclosure Schedules, the Company Group does not use, incorporate or distribute Public Software in a manner that, (A) requires or purports to require the licensing, disclosure or distribution of any source code (other than source code that is a part of such Public Software) of any Company Software or any Software included in the Company IT Assets or of Company Owned IP, to licensees or any other Person, (B) prohibits or limits the receipt of consideration in connection with licensing, sublicensing or distributing any Company Software or other Software included in the Company IT Assets, (C) except as specifically permitted by Law, allows any Person to decompile, disassemble or otherwise reverse-engineer any Company Software other Software included in the Company IT Assets or (D) requires the licensing of Company Software or any other Software included in the Company IT Assets to any other Person for the purpose of making derivative works.</w:t>
      </w:r>
    </w:p>
    <w:p>
      <w:pPr>
        <w:spacing w:after="0" w:line="131" w:lineRule="exact"/>
        <w:rPr>
          <w:rFonts w:ascii="Arial" w:cs="Arial" w:eastAsia="Arial" w:hAnsi="Arial"/>
          <w:sz w:val="17"/>
          <w:szCs w:val="17"/>
          <w:color w:val="auto"/>
        </w:rPr>
      </w:pPr>
    </w:p>
    <w:p>
      <w:pPr>
        <w:jc w:val="both"/>
        <w:ind w:firstLine="656"/>
        <w:spacing w:after="0" w:line="268" w:lineRule="auto"/>
        <w:tabs>
          <w:tab w:leader="none" w:pos="129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member of the Company Group, the Company Products, the operation of the Company’s Business as currently conducted, and the use of the Company IP and Company IT Assets in connection the conduct of the Business as currently conducted, has not infringed, misappropriated or otherwise violated and will not infringe, misappropriate, or otherwise violate the Intellectual Property rights of any Third Party, Seller or its Affiliates, provided that the foregoing representation is made to the Knowledge of the Company with respect to Third Party Patents. There is no Proceeding pending, asserted or threatened against any member of the Company Group concerning any of the foregoing, nor, except as set forth in Section 3.19(l) of the Company Disclosure Schedules, has any member of the Company Group and, to the Knowledge of the Company, any licensor of any Company Licensed IP, since January 1, 2017, received any notification (including any invitation to take a license) that a license under any other Person’s Intellectual Property is or may be required or alleging that the Company Group or such licensor (solely with respect to such Company Licensed IP) has infringed, misappropriated or otherwise violated any Person’s Intellectual Property rights. The Company Group, Seller and its Affiliates are not aware of any facts or circumstances which could lead or give rise to any such claim or assertion of infringement, misappropriation or other violation of Intellectual Property. No Person is, to the Knowledge of the Company, engaging, or, except as set forth in Section 3.19(l) of the Company Disclosure Schedules, has engaged, in any activity that infringes, misappropriates or otherwise violates any Company IP, and there is no Proceeding pending, asserted or threatened by a member of the Company Group against any other Person concerning any of the foregoing. No member of the Company Group has received or requested any opinion of counsel, verbal or written, regarding the validity or enforceability of Company IP or any Intellectual Property of a Third Party or regarding the infringement of any Intellectual Property of any Third Party.</w:t>
      </w:r>
    </w:p>
    <w:p>
      <w:pPr>
        <w:spacing w:after="0" w:line="127" w:lineRule="exact"/>
        <w:rPr>
          <w:rFonts w:ascii="Arial" w:cs="Arial" w:eastAsia="Arial" w:hAnsi="Arial"/>
          <w:sz w:val="17"/>
          <w:szCs w:val="17"/>
          <w:color w:val="auto"/>
        </w:rPr>
      </w:pPr>
    </w:p>
    <w:p>
      <w:pPr>
        <w:jc w:val="both"/>
        <w:ind w:firstLine="656"/>
        <w:spacing w:after="0" w:line="279" w:lineRule="auto"/>
        <w:tabs>
          <w:tab w:leader="none" w:pos="128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the Knowledge of the Company, no current or former Company Employee, consultant, advisor or independent contractor of any member of the Company Group is in default or breach of any term of any employment agreement, non-disclosure agreement, assignment of invention agreement or similar agreement relating to the protection, ownership, development, use or transfer of Company IP or any other Intellectual Property. Except as set forth in Section 3.19(m) of the Company Disclosure Schedules, the Company Group has obtained from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 and former Company Employees, consultants, advisors and independent contractors practice, creation or development of any Company Owned IP (any such Person, an “Author” ), through a written assignment, unencumbered and unrestricted exclusive ownership of all right, title and interest in and to such Company Owned IP and the Company Group has obtained the waiver of all non-assignable rights from such Authors. To the Knowledge of the Company, none of the current or former Company Employees, consultants, advisors and independent contractors is or was, at the time services were provided to the Company Group party to any Contract with any Person other than a member of the Company Group which requires such Company Employee, consultant, advisor or independent contractor to (i) assign any interest in any Intellectual Property that is used or held for use in the conduct of the business of the Company Group as it is currently conducted or proposed to be conducted by the Company Group, to any Person other than a member of the Company Group, or (ii) keep confidential any Trade Secrets of any Person other than a member of the Company Group.</w:t>
      </w:r>
    </w:p>
    <w:p>
      <w:pPr>
        <w:spacing w:after="0" w:line="111" w:lineRule="exact"/>
        <w:rPr>
          <w:sz w:val="20"/>
          <w:szCs w:val="20"/>
          <w:color w:val="auto"/>
        </w:rPr>
      </w:pPr>
    </w:p>
    <w:p>
      <w:pPr>
        <w:jc w:val="both"/>
        <w:ind w:firstLine="656"/>
        <w:spacing w:after="0" w:line="287" w:lineRule="auto"/>
        <w:tabs>
          <w:tab w:leader="none" w:pos="129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Group has taken commercially reasonable steps to maintain the confidentiality and otherwise protect its rights in all Trade Secrets and other confidential or non-public information or data used or held for use in connection with the operation of the Business(“Confidential Information”). To the Knowledge of the Company, all disclosure of Confidential Information by or on behalf of a member of the Company Group to any Third Party, including any Company Employee or other Person, has been subject to a binding obligation of confidentiality on the part of such Third Party and to the Knowledge of the Company, no such Third Party has breached such obligation. All use, disclosure or appropriation by or on behalf of a member of the Company Group of Confidential Information not owned a member of the Company Group has been in compliance with any applicable legal obligations of the Company Group to the owner of such Confidential Information. To the Knowledge of the Company: (i) no former or current Company Employee, consultant, advisor, independent contractor or agent of any member of the Company Group has misappropriated any Trade Secrets of any other Person in the course of performance as a former or current Company Employee, consultant, advisor, independent contractor or agent of any member of the Company Group and (ii) no Company Employee, independent contractor or agent of any member of the Company Group, is in default or breach of any term of any Contract relating in any way to the protection, ownership, development, use or transfer of the Company IP or any other Intellectual Property.</w:t>
      </w:r>
    </w:p>
    <w:p>
      <w:pPr>
        <w:spacing w:after="0" w:line="117"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There are no Contracts pursuant to which (i) any member of the Company Group grants any Third Party, Seller or its Affiliates exclusive rights under any Company IP or (ii) any member of the Company Group grants to a Third Party, Seller or its Affiliates a right to grant sublicenses to Third Parties with respect to any Company Owned IP.</w:t>
      </w:r>
    </w:p>
    <w:p>
      <w:pPr>
        <w:spacing w:after="0" w:line="129" w:lineRule="exact"/>
        <w:rPr>
          <w:rFonts w:ascii="Arial" w:cs="Arial" w:eastAsia="Arial" w:hAnsi="Arial"/>
          <w:sz w:val="18"/>
          <w:szCs w:val="18"/>
          <w:color w:val="auto"/>
        </w:rPr>
      </w:pPr>
    </w:p>
    <w:p>
      <w:pPr>
        <w:jc w:val="both"/>
        <w:ind w:firstLine="656"/>
        <w:spacing w:after="0" w:line="268" w:lineRule="auto"/>
        <w:tabs>
          <w:tab w:leader="none" w:pos="129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Immediately following the Closing, the Company Group (including, as applicable, the Surviving Entity) will have all of the rights of the Company Group under the Company IP and the Company IP Contracts, and to use the Company IT Assets, to the same extent the applicable member of the Company Group would have had immediately prior to the Closing if the Transactions had not occurred, and without the payment of any additional amounts or consideration other than ongoing fees, royalties or payments that the Company would otherwise be required to pay. Except as set forth in Section 3.19(p) of the Company Disclosure Schedules, there are no royalties, honoraria, fees, milestone or other payments payable by any member of the Company Group to any Person (other than salaries payable to Company Employees not contingent on or related to use of their work product and fees payable under licenses for Commercial Software) as a result of the ownership, use, possession, license-in, license-out, sale, marketing, advertising or disposition of any Company IP by a member of the Company Group, and the execution and delivery of this Agreement and consummation of the Transactions will not result in any such royalties, honoraria, fees or other payments being payable by Acquirer, provided, however, that no representation is made with respect to any such payments becoming payable by Acquirer or its Affiliates based on the respective Contracts of Acquirer and its Affiliates (other than the Company Group) or other obligations or any acts or omissions to act by Acquirer or its Affiliates (other than the Company Group), and provided further that the foregoing representations are made to the Knowledge of the Company with respect to any payments required based on infringement of Third Party Patents. None of the execution and delivery of this Agreement, the consummation of the Transactions, or the performance by the Company Parties of their respective obligations hereunder will result in (i) any increase in or acceleration of royalties or other payments payable by a member of the Company Group, Acquirer or its Affiliates in respect of any Company IP; (ii) reduction of any royalties or other payments the Company Group, or Acquirer or any of its Affiliates would otherwise be entitled to in respect of any Company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jc w:val="both"/>
        <w:ind w:left="-8" w:firstLine="8"/>
        <w:spacing w:after="0" w:line="253" w:lineRule="auto"/>
        <w:tabs>
          <w:tab w:leader="none" w:pos="33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creation of any Encumbrance on any Company Owned IP or Intellectual Property that is owned by or licensed to the Acquirer or any of its Affiliates prior to the Closing; (iv) Acquirer or any of its Affiliates being bound by or subject to any non- compete or licensing obligation, covenant not to sue or other restriction on the operation or scope of its business, or in the grant or obligation to grant by Acquirer, any of its Affiliates or the Company Group to any Person of any rights with respect to any Intellectual Property, which Acquirer or its Affiliates were not bound by or subject to prior to the Closing; (v) the modification, cancellation, termination, or suspension of any Company IP Contract; or (vi) the creation or enhancement of the right to do or cause any of the foregoing for any non-Company Group party to any such Contracts, except in each case arising from any Contract or other obligation or any acts or omissions to act of Acquirer or any of its Affiliates (other than the Company Group) and except, in each case, as may occur with respect to the modification or termination of a Seller Contract that is replaced by a new Company IP Contract entered into by the Company to replace a Seller Contract in accordance with Section 5.7(b),</w:t>
      </w:r>
    </w:p>
    <w:p>
      <w:pPr>
        <w:spacing w:after="0" w:line="142" w:lineRule="exact"/>
        <w:rPr>
          <w:rFonts w:ascii="Arial" w:cs="Arial" w:eastAsia="Arial" w:hAnsi="Arial"/>
          <w:sz w:val="18"/>
          <w:szCs w:val="18"/>
          <w:color w:val="auto"/>
        </w:rPr>
      </w:pPr>
    </w:p>
    <w:p>
      <w:pPr>
        <w:jc w:val="both"/>
        <w:ind w:left="-8" w:firstLine="656"/>
        <w:spacing w:after="0" w:line="270" w:lineRule="auto"/>
        <w:tabs>
          <w:tab w:leader="none" w:pos="1282"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Except as set forth in Section 3.19(q) of the Company Disclosure Schedules, none of the Company Owned IP was developed by or on behalf of, or using grants or any other subsidies of, any Governmental Authority or any university, and no government funding, facilities, faculty or students of a university, college, other educational institution or research center was used in the development of Company Owned IP that has resulted in any such Governmental Authority or any university, faculty or students of a university, college, other educational institution or research center, or any other third party, to acquire or to have a right to acquire any right, title or interest in such Company Owned IP. To the Knowledge of the Company, no current or former Company Employee, consultant, advisor or independent contractor of a member of the Company Group, who was involved in, or who contributed to, the creation or development of any Company Owned IP, has performed services for a Governmental Authority, university, college, or other educational institution or research center during a period of time during which such employee, consultant or contractor was also performing services with respect to development of such Company Owned IP for the applicable member of the Company Group.</w:t>
      </w:r>
    </w:p>
    <w:p>
      <w:pPr>
        <w:spacing w:after="0" w:line="12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Privacy, Data and Data Security.</w:t>
      </w:r>
    </w:p>
    <w:p>
      <w:pPr>
        <w:spacing w:after="0" w:line="171" w:lineRule="exact"/>
        <w:rPr>
          <w:sz w:val="20"/>
          <w:szCs w:val="20"/>
          <w:color w:val="auto"/>
        </w:rPr>
      </w:pPr>
    </w:p>
    <w:p>
      <w:pPr>
        <w:jc w:val="both"/>
        <w:ind w:left="-8" w:firstLine="656"/>
        <w:spacing w:after="0" w:line="270" w:lineRule="auto"/>
        <w:tabs>
          <w:tab w:leader="none" w:pos="128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Company Group’s data, privacy and security practices conform, and at all times have conformed, to all of the Company Privacy Commitments, Privacy Laws and Company Data Agreements in all material respects. The execution, delivery and performance of this Agreement will not cause, constitute, or result in a breach or violation of any Privacy Laws, Company Privacy Commitments, or any Company Data Agreements by the members of the Company Group, provided, however, that no representation is made with respect to any acts or omissions by Acquirer or its Affiliates (other than the Company Group) with respect to any Company Data. Copies of all current Company Privacy Policies have been Delivered to Acquirer and such copies are true, correct and complete. To the Knowledge of the Company, the Company Group has, and, except as may be affected by notices, consents, waivers or new Contracts described in Section 5.7, the Company Group will have, all rights and consents necessary to collect and Process all Company Data and confidential information collected and Processed by them in the Business of the Company Group. The Company Group is not subject to the European Union General Data Protection Regulation.</w:t>
      </w:r>
    </w:p>
    <w:p>
      <w:pPr>
        <w:spacing w:after="0" w:line="126" w:lineRule="exact"/>
        <w:rPr>
          <w:rFonts w:ascii="Arial" w:cs="Arial" w:eastAsia="Arial" w:hAnsi="Arial"/>
          <w:sz w:val="17"/>
          <w:szCs w:val="17"/>
          <w:color w:val="auto"/>
        </w:rPr>
      </w:pPr>
    </w:p>
    <w:p>
      <w:pPr>
        <w:jc w:val="both"/>
        <w:ind w:left="-8" w:firstLine="656"/>
        <w:spacing w:after="0" w:line="275" w:lineRule="auto"/>
        <w:tabs>
          <w:tab w:leader="none" w:pos="128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Company Group has established and maintains commercially reasonable technical, physical and organizational controls, policies, procedures, safeguards, measures and security systems, plans and technologies with respect to Processing and security of Personal Data required under applicable data security requirements under applicable Privacy Laws, Company Data Agreements and Company Privacy Commitments. The Company Group and, to the Knowledge of the Company, its data processors have taken commercially reasonable steps to ensure that all employees or other Persons with the right to access Company Data are under obligations of confidentiality with respect to such data.</w:t>
      </w:r>
    </w:p>
    <w:p>
      <w:pPr>
        <w:spacing w:after="0" w:line="122" w:lineRule="exact"/>
        <w:rPr>
          <w:rFonts w:ascii="Arial" w:cs="Arial" w:eastAsia="Arial" w:hAnsi="Arial"/>
          <w:sz w:val="17"/>
          <w:szCs w:val="17"/>
          <w:color w:val="auto"/>
        </w:rPr>
      </w:pPr>
    </w:p>
    <w:p>
      <w:pPr>
        <w:jc w:val="both"/>
        <w:ind w:left="-8" w:firstLine="656"/>
        <w:spacing w:after="0" w:line="255" w:lineRule="auto"/>
        <w:tabs>
          <w:tab w:leader="none" w:pos="12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set forth in Section 3.20(c) of the Company Disclosure Schedules, no member of the Company Group has received or become subject to and, to the Knowledge of the Company, there is no circumstance (including any circumstance arising as the result of an audit or inspection carried out by any Governmental Authority) that would reasonably be expected to give rise to, any Proceeding, Order, notice, communication, warrant, regulatory opinion, settlement, audit result or allegation from a Governmental Authority or any other Person: (i) alleging or confirming non-compliance with or breach of a relevant requirement of Privacy Laws or Company Privacy Commitments, (ii) requiring or requesting any member of the Company Group to amend, rectify,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32"/>
          </w:cols>
          <w:pgMar w:left="328" w:top="1440" w:right="339" w:bottom="1440" w:gutter="0" w:footer="0" w:header="0"/>
        </w:sectPr>
      </w:pPr>
    </w:p>
    <w:bookmarkStart w:id="389" w:name="page390"/>
    <w:bookmarkEnd w:id="38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cease Processing, de-combine, permanently anonymize, block or delete any Company Data (other than pursuant to a valid data subject request in the ordinary course of business), (iii) permitting or mandating relevant Governmental Authorities to investigate, requisition information from, or enter the premises of, a member of the Company Group or (iv) claiming compensation from the Company Group based on a violation of Privacy Laws or Company Privacy Commitments or relating to the Company Group’s Processing of Personal Data.</w:t>
      </w:r>
    </w:p>
    <w:p>
      <w:pPr>
        <w:spacing w:after="0" w:line="133" w:lineRule="exact"/>
        <w:rPr>
          <w:sz w:val="20"/>
          <w:szCs w:val="20"/>
          <w:color w:val="auto"/>
        </w:rPr>
      </w:pPr>
    </w:p>
    <w:p>
      <w:pPr>
        <w:jc w:val="both"/>
        <w:ind w:firstLine="656"/>
        <w:spacing w:after="0" w:line="269"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Where any member of the Company Group uses a data processor other than Seller or its Affiliates to Process Personal Data, there is in existence a written Contract between the Company and each such data processor that complies with the requirements of all Privacy Laws and Company Privacy Commitments. To the Knowledge of the Company, the data processors of the Company Group are in material compliance with Privacy Laws and Company Privacy Commitments with respect to their Processing activities on behalf of the Company Group. To the Knowledge of the Company, such data processors have not breached any such Company Data Agreements pertaining to Personal Data Processed by such Persons on behalf of any member of the Company Group. True, correct and complete copies of all material Company Data Agreements have been Delivered to Acquirer. To the Knowledge of the Company, no member of the Company Group is under investigation by any Governmental Authority for a violation of HIPAA or applicable HIPAA regulations. Each applicable member of the Company Group has entered into “business associate contracts” whether as a “covered entity” or as a “business associate” (as described in 45 C.F.R. § 164.504(e)) to the extent required pursuant to HIPAA and in compliance with all applicable Privacy Laws and is not in breach of any business associate contract.</w:t>
      </w:r>
    </w:p>
    <w:p>
      <w:pPr>
        <w:spacing w:after="0" w:line="131" w:lineRule="exact"/>
        <w:rPr>
          <w:rFonts w:ascii="Arial" w:cs="Arial" w:eastAsia="Arial" w:hAnsi="Arial"/>
          <w:sz w:val="17"/>
          <w:szCs w:val="17"/>
          <w:color w:val="auto"/>
        </w:rPr>
      </w:pPr>
    </w:p>
    <w:p>
      <w:pPr>
        <w:jc w:val="both"/>
        <w:ind w:firstLine="656"/>
        <w:spacing w:after="0" w:line="254" w:lineRule="auto"/>
        <w:tabs>
          <w:tab w:leader="none" w:pos="129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Except as set forth in Section 3.20(e) of the Company Disclosure Schedules, to the Knowledge of the Company, no material breach (including as defined under 45 C.F.R. § 164.402), security incident (including as defined under 45 C.F.R. § 164.304), unauthorized access or violation of any data security policy in relation to Company Data, Company Databases, or Confidential Information has occurred or is threatened, and there has been no actual or threatened unauthorized or illegal Processing of, or accidental or unlawful destruction, loss or alteration of, any Company Data. To the Knowledge of the Company, no circumstance has arisen in which: (A) applicable Laws (including Privacy Laws) would require the Company or any of its Subsidiaries to notify a Governmental Authority of a data security breach or security incident or (B) applicable guidance or codes of practice promulgated under applicable Laws (including Privacy Laws) would recommend any member of the Company Group to notify a Governmental Authority of a data security breach.</w:t>
      </w:r>
    </w:p>
    <w:p>
      <w:pPr>
        <w:spacing w:after="0" w:line="137" w:lineRule="exact"/>
        <w:rPr>
          <w:rFonts w:ascii="Arial" w:cs="Arial" w:eastAsia="Arial" w:hAnsi="Arial"/>
          <w:sz w:val="18"/>
          <w:szCs w:val="18"/>
          <w:color w:val="auto"/>
        </w:rPr>
      </w:pPr>
    </w:p>
    <w:p>
      <w:pPr>
        <w:jc w:val="both"/>
        <w:ind w:firstLine="656"/>
        <w:spacing w:after="0" w:line="263" w:lineRule="auto"/>
        <w:tabs>
          <w:tab w:leader="none" w:pos="128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the Knowledge of the Company, the Company Group has valid and subsisting contractual rights to Process or have Processed for the Company Group all Company-Licensed Data and all Personal Data Processed by or for the Company Group in connection with the conduct of the Business in the manner that it is currently Processed.</w:t>
      </w:r>
    </w:p>
    <w:p>
      <w:pPr>
        <w:spacing w:after="0" w:line="129" w:lineRule="exact"/>
        <w:rPr>
          <w:rFonts w:ascii="Arial" w:cs="Arial" w:eastAsia="Arial" w:hAnsi="Arial"/>
          <w:sz w:val="18"/>
          <w:szCs w:val="18"/>
          <w:color w:val="auto"/>
        </w:rPr>
      </w:pPr>
    </w:p>
    <w:p>
      <w:pPr>
        <w:ind w:right="20" w:firstLine="656"/>
        <w:spacing w:after="0" w:line="308"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the Knowledge of the Company, any Third Party who has provided Personal Data to a member of the Company Group has done so in compliance with applicable Privacy Laws, including providing notice and obtaining consent required under such applicable Privacy Laws.</w:t>
      </w:r>
    </w:p>
    <w:p>
      <w:pPr>
        <w:spacing w:after="0" w:line="92" w:lineRule="exact"/>
        <w:rPr>
          <w:rFonts w:ascii="Arial" w:cs="Arial" w:eastAsia="Arial" w:hAnsi="Arial"/>
          <w:sz w:val="17"/>
          <w:szCs w:val="17"/>
          <w:color w:val="auto"/>
        </w:rPr>
      </w:pPr>
    </w:p>
    <w:p>
      <w:pPr>
        <w:jc w:val="both"/>
        <w:ind w:firstLine="656"/>
        <w:spacing w:after="0" w:line="275"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Company Group owns all right, title and interest in and to each element of Company-Owned Data and Company Databases or otherwise has all rights, permissions, consents and authorizations required to Process such Company-Owned Data and the data in Company Databases in the Business in the manner currently Processed by the Company Group, all of which rights shall survive unchanged, and without any change in the terms and conditions under which the Company Group has such rights, following the execution and delivery of this Agreement and the consummation of the Transactions except as may be affected by notices, consents, waivers or new Contracts described in Section 5.7.</w:t>
      </w:r>
    </w:p>
    <w:p>
      <w:pPr>
        <w:spacing w:after="0" w:line="122" w:lineRule="exact"/>
        <w:rPr>
          <w:rFonts w:ascii="Arial" w:cs="Arial" w:eastAsia="Arial" w:hAnsi="Arial"/>
          <w:sz w:val="17"/>
          <w:szCs w:val="17"/>
          <w:color w:val="auto"/>
        </w:rPr>
      </w:pPr>
    </w:p>
    <w:p>
      <w:pPr>
        <w:ind w:left="1300" w:hanging="644"/>
        <w:spacing w:after="0"/>
        <w:tabs>
          <w:tab w:leader="none" w:pos="13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Section 3.20(e) of the Company Disclosure Schedules sets forth a true, correct and complete list and description of Company Databases.</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Transactions with Certain Persons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3.21(a)</w:t>
      </w:r>
      <w:r>
        <w:rPr>
          <w:rFonts w:ascii="Arial" w:cs="Arial" w:eastAsia="Arial" w:hAnsi="Arial"/>
          <w:sz w:val="16"/>
          <w:szCs w:val="16"/>
          <w:color w:val="auto"/>
        </w:rPr>
        <w:t>of the Company Disclosure Schedules, no Related Party has or has had at any time since January 1, 2019, either directly or indirectly, any material interest, financial or otherwise, in: (a) any Person which purchases from or sells, provides, licenses or furnishes to any member of the Company Group any goods, services property, technology,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property rights or (b) any Contract to which a member of the Company Group is a party. To the Company’s Knowledge, no event has occurred that has resulted in, or would reasonably be expected to result in, any claim by any employee, officer, director, stockholder or agent of any member of the Company Group for indemnification or advancement of expenses related thereto pursuant to (i) the terms of the Governing Documents of any member of the Company Group, (ii) any indemnification agreement or other Contract between a member of the Company Group and any such employee, officer, director, stockholder or agent or (iii) any applicable Laws. No amounts are owed to or by a member of the Company Group to or from any Related Party except for compensation and reimbursement of expenses.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Company Disclosure Schedules sets forth a complete and correct list of all material insurance policies of the Company Group currently in force and effect. True, complete and correct copies of such insurance policies have been Delivered to Acquirer. Except as set forth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Company Disclosure Schedules, there is no material claim pending under any such policies. All such insurance policies insure the applicable member of the Company Group in reasonably sufficient amounts against normal risks usually insured against by Persons operating similar businesses or properties of similar size in the localities where such businesses or properties are located, and are sufficient for compliance in all material respects with applicable Law and for compliance with applicable obligations under any material Contract of such member of the Company Group. No member of the Company Group has any self-insurance or co-insurance programs. All premiums due and payable under all such policies have been paid and no member of the Company Group is in material Default under any provision of any such insurance policy and no member of the Company Group has received any written notice of threatened termination, cancellation or nonrenewal of any such insurance.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No Brokers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of the Company Disclosure Schedules, no member of the Company Group or any of its Representatives has entered into any Contract with any broker, finder or similar agent or any Person which will result in an obligation of Acquirer, any member of the Company Group, or any of their respective Affiliates to pay any finder’s fee, brokerage fees or commission or similar payment in connection with the Transactions.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Company Group has made and kept true, complete and correct copies of its books and records and accounts, which set forth in reasonable detail and accurately and fairly reflect the activities of each member of the Company Group. The books, records and accounts of each member of the Company Group have been maintained in accordance with reasonable business practices on a basis consistent with prior years.</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Bank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of the Company Disclosure Schedules contains a complete and correct list of all bank accounts maintained by the Company Group, including each account number and the name and address of each bank and the name of each Person who has signature power with respect to each such account or power of attorney to act on behalf of any member of the Company Group. Holdco2 has Delivered to Acquirer true, complete and correct copies of all statements with respect to such bank accounts received by a member of the Company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Customers, Suppliers and Third Party Payors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129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Section 3.26(a) of the Company Disclosure Schedules sets forth a list of Payor Parties that generated in excess of $100,000 of revenue for the Business during the 12-month period ended December 31, 2021 (such parties, “Top Payors”), together with the revenue amount derived from each such Top Payor for such 12-month period. Except as set forth in Section 3.26(a) of the Company Disclosure Schedules, no member of the Company Group or Seller currently has or has since January 1, 2017 had any material disputes with any Payor Party related to the Business. Except as set forth in Section 3.26(a) of the Company Disclosure Schedules, no member of the Company Group or Seller has received written notice from any Payor Party that such Payor Party shall not continue its relationship with the Company Group or, to the extent applicable to the Business, Seller, after the Closing or that such Top Payor intends to terminate or materially modify an existing Contract with any member of the Company Group or Seller, as applicable. For purposes of this Section 3.26(a), a “material dispute” means any alleged overpayments, erroneous payments or underpayments, which, individually or in the aggregate, exceed 10% of annual payor revenue or $150,000, whichever is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jc w:val="both"/>
        <w:ind w:firstLine="656"/>
        <w:spacing w:after="0" w:line="255" w:lineRule="auto"/>
        <w:tabs>
          <w:tab w:leader="none" w:pos="129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Section 3.26(b)of the Company Disclosure Schedules sets forth a list of customers (other than Payor Parties) that generated in excess of $400,000 of revenue for the Business during the 12- month period ended December 31, 2021 (the “Top Customers”), together with the revenue amount derived from each such Top Customer for such 12-month period. No member of the Company Group has outstanding material disputes with any Top Customer. No member of the Company Group or Seller has received written notice from any Top Customer that such Top Customer shall not continue as a customer of the Company Group after the Closing or that such Top Customer intends to terminate or materially modify an existing Contract with the applicable member of the Company Group.</w:t>
      </w:r>
    </w:p>
    <w:p>
      <w:pPr>
        <w:spacing w:after="0" w:line="138" w:lineRule="exact"/>
        <w:rPr>
          <w:rFonts w:ascii="Arial" w:cs="Arial" w:eastAsia="Arial" w:hAnsi="Arial"/>
          <w:sz w:val="18"/>
          <w:szCs w:val="18"/>
          <w:color w:val="auto"/>
        </w:rPr>
      </w:pPr>
    </w:p>
    <w:p>
      <w:pPr>
        <w:jc w:val="both"/>
        <w:ind w:firstLine="656"/>
        <w:spacing w:after="0" w:line="255" w:lineRule="auto"/>
        <w:tabs>
          <w:tab w:leader="none" w:pos="12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Section 3.26(a) of the Company Disclosure Schedules sets forth a a list of suppliers or providers of services to the Company Group that generated in excess of $500,000 in expenditures by the Business during the 12-month period ending on December 31, 2021 (the “Top Suppliers”), together with the amount paid to each such Top Supplier for such 12-month period. No member of the Company Group has outstanding material disputes with any Top Supplier. No member or the Company Group or Seller has received written notice from any Top Supplier that such Top Supplier shall not continue as a supplier or service provider of the Company Group after the Closing or that such Top Supplier intends to terminate or materially modify an existing Contract with it’s the applicable member of the Company Group.</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Inventory</w:t>
      </w:r>
      <w:r>
        <w:rPr>
          <w:rFonts w:ascii="Arial" w:cs="Arial" w:eastAsia="Arial" w:hAnsi="Arial"/>
          <w:sz w:val="18"/>
          <w:szCs w:val="18"/>
          <w:color w:val="auto"/>
        </w:rPr>
        <w:t>. The inventories shown on the Company Balance Sheet (net of any reserve on the Company Balance Sheet) or thereafter acquired by the Company Group, consisted of items of a quantity and quality usable or salable in the Ordinary Course of. Business. Since the Company Balance Sheet Date, the Company Group has continued to maintain inventories in the Ordinary Course of. Business. No member of the Company Group has received written, or to the Knowledge of the Company, oral notice that it will experience in the foreseeable future any difficulty in obtaining, in the desired quantity and quality and at a reasonable price and upon reasonable terms and conditions, the raw materials, supplies or component products required for the manufacture, assembly or production of its products.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xml:space="preserve">. THE COMPANY ACKNOWLEDGES AND AGREES THAT, EXCEPT AS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NO ACQUIRER PARTY, NO REPRESENTATIVE OF ANY ACQUIRER PARTY OR ANY OTHER PERSON MAKES ANY REPRESENTATION OR WARRANTY, EXPRESSED OR IMPLIED, AT LAW OR IN EQUITY, WITH RESPECT TO THIS AGREEMENT, THE TRANSACTIONS CONTEMPLATED HEREBY, INCLUDING THE MERGERS, THE ACQUIRER PARTIES (OR ANY OF THEM), OR ANY INFORMATION PROVIDED OR MADE AVAILABLE TO THE COMPANY OR ITS REPRESENTATIVES IN CONNECTION WITH THE TRANSACTIONS CONTEMPLATED HEREBY (INCLUDING ANY FORECASTS, PROJECTIONS, ESTIMATES OR BUSINESS PLANS), AND ALL OTHER SUCH REPRESENTATIONS OR WARRANTIES ARE HEREBY EXPRESSLY DISCLAIMED.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ACQUIRER PARTIES</w:t>
      </w:r>
    </w:p>
    <w:p>
      <w:pPr>
        <w:spacing w:after="0" w:line="1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The Acquirer Parties hereby represent and warrant to Seller as follows, with each such representation and warranty subject to (x) the exceptions set forth in the Acquirer Disclosure Schedules (it being understood that the Acquirer Disclosure Schedules shall be arranged in sections corresponding to the sections and subsections contained in this Article 4, and no disclosure made in any particular section of the Acquirer Disclosure Schedules shall be deemed to be made in any other section of the Acquirer Disclosure Schedules unless expressly made therein (by cross-reference or otherwise) or to the extent it is reasonably apparent from a reading of the text of the disclosure that such disclosure is applicable to such other sections and subsections of the Acquirer Disclosure Schedules) and (y) matters disclosed in the SEC Reports filed with the SEC prior to the Agreement Date (to the extent the qualifying nature of the matters disclosed and the disclosure thereof is readily apparent from the disclosure thereof in such SEC Reports), excluding disclosures contained in sections entitled “Forward-Looking Statements” and “Risk Factors” (and any similarly titled sections) and any other disclosures contained in the SEC Reports to the extent they are of a predictive or cautionary nature or related to forward-looking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qualifications contained in clauses (x) and (y) of the immediately preceding sentence shall apply to the representations and warranties contained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of Acquirer Parties</w:t>
      </w:r>
      <w:r>
        <w:rPr>
          <w:rFonts w:ascii="Arial" w:cs="Arial" w:eastAsia="Arial" w:hAnsi="Arial"/>
          <w:sz w:val="18"/>
          <w:szCs w:val="18"/>
          <w:color w:val="auto"/>
        </w:rPr>
        <w:t>. Each Acquirer Party is either a corporation or limited liability company duly organized and validly existing and in good standing under the Laws of the jurisdiction of its incorporation or formation, with the requisite corporate or limited liability company power and authority to conduct its business as it is presently being conducted, to own, lease or operate, as applicable, its assets and properties, and to perform all of its obligations under its Contracts.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p>
    <w:p>
      <w:pPr>
        <w:spacing w:after="0" w:line="171" w:lineRule="exact"/>
        <w:rPr>
          <w:sz w:val="20"/>
          <w:szCs w:val="20"/>
          <w:color w:val="auto"/>
        </w:rPr>
      </w:pPr>
    </w:p>
    <w:p>
      <w:pPr>
        <w:jc w:val="both"/>
        <w:ind w:firstLine="656"/>
        <w:spacing w:after="0" w:line="254" w:lineRule="auto"/>
        <w:tabs>
          <w:tab w:leader="none" w:pos="12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Acquirer Party has all requisite corporate or limited liability company power and authority, and, except for the Acquirer Stockholder Approval, has taken all corporate or limited liability company action necessary, to execute, deliver and perform its obligations under this Agreement and the Ancillary Agreements and to consummate the transactions contemplated to be consummated by it hereby and thereby. This Agreement and the Ancillary Agreements to which an Acquirer Party is a party have been duly executed and delivered by each Acquirer Party thereto and, assuming the due authorization, execution and delivery hereof and thereof by the other parties hereto and thereto, constitute the legal, valid and binding obligation of each Acquirer Party thereto, enforceable against such Acquirer Party in accordance with their respective terms, except as enforcement may be limited by the Enforceability Exceptions.</w:t>
      </w:r>
    </w:p>
    <w:p>
      <w:pPr>
        <w:spacing w:after="0" w:line="140" w:lineRule="exact"/>
        <w:rPr>
          <w:rFonts w:ascii="Arial" w:cs="Arial" w:eastAsia="Arial" w:hAnsi="Arial"/>
          <w:sz w:val="18"/>
          <w:szCs w:val="18"/>
          <w:color w:val="auto"/>
        </w:rPr>
      </w:pPr>
    </w:p>
    <w:p>
      <w:pPr>
        <w:ind w:firstLine="656"/>
        <w:spacing w:after="0" w:line="277" w:lineRule="auto"/>
        <w:tabs>
          <w:tab w:leader="none" w:pos="129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Acquirer Stockholder Approval is the only vote of the holders of any voting securities of Acquirer under any Law, the rules and regulations of Nasdaq, and Acquirer’s certificate of incorporation and bylaws necessary to approve the Transactions.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Capitalization.</w:t>
      </w:r>
    </w:p>
    <w:p>
      <w:pPr>
        <w:spacing w:after="0" w:line="171" w:lineRule="exact"/>
        <w:rPr>
          <w:sz w:val="20"/>
          <w:szCs w:val="20"/>
          <w:color w:val="auto"/>
        </w:rPr>
      </w:pPr>
    </w:p>
    <w:p>
      <w:pPr>
        <w:jc w:val="both"/>
        <w:ind w:firstLine="656"/>
        <w:spacing w:after="0" w:line="269" w:lineRule="auto"/>
        <w:tabs>
          <w:tab w:leader="none" w:pos="129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authorized capital stock of Acquirer consists of 380,000,000 shares of common stock, par value of $0.0001 per share and 1,000,000 shares of preferred stock, par value of $0.0001 per share. As of December 31, 2021, 242,578,824 shares of Acquirer common stock were issued and outstanding, and no shares of Acquirer’s preferred stock were issued and outstanding. As of December 31, 2021, Acquirer had reserved 33,354,727 shares of Acquirer’s common stock for issuance upon the exercise of outstanding common stock options, 12,600,859 shares of Acquirer’s common stock for issuance upon the vesting of restricted stock units, 21,994,972 shares of Acquirer’s common stock for issuance upon conversion of Acquirer’s outstanding warrants, and 15,434,321 shares of Acquirer’s common stock were available for issuance under Acquirer’s 2021 Equity Incentive Plan. There are no options, warrants, convertible securities or other rights or Contracts pursuant to which Acquirer is obligated to issue or sell any of its securities, other than this Agreement, the Ancillary Documents, Acquirer’s employee stock purchase plan, Acquirer’s equity incentive plans and awards thereunder, inducement awards granted by Acquirer and Acquirer’s outstanding warrants, the SPAC Merger Agreement and Acquirer is not a party to any Contract pursuant to which it is obligated to register any of its securities under the Securities Act (other than the Ancillary Documents, the SPAC Merger Agreement and the registration rights agreement and subscription agreements entered into with investors in connection with the SPAC Merger Agreement) or with respect to the voting of any securities issued by Acquirer.</w:t>
      </w:r>
    </w:p>
    <w:p>
      <w:pPr>
        <w:spacing w:after="0" w:line="124" w:lineRule="exact"/>
        <w:rPr>
          <w:rFonts w:ascii="Arial" w:cs="Arial" w:eastAsia="Arial" w:hAnsi="Arial"/>
          <w:sz w:val="17"/>
          <w:szCs w:val="17"/>
          <w:color w:val="auto"/>
        </w:rPr>
      </w:pPr>
    </w:p>
    <w:p>
      <w:pPr>
        <w:jc w:val="both"/>
        <w:ind w:firstLine="656"/>
        <w:spacing w:after="0" w:line="257" w:lineRule="auto"/>
        <w:tabs>
          <w:tab w:leader="none" w:pos="12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shares of Acquirer Stock to be issued in accordance with this Agreement will, upon such issuance, be duly authorized, validly issued, fully paid and non-assessable, free of statutory or contractual pre-emptive rights and free of any Encumbrances (other than this Agreement and restrictions on transfer under the Securities Act and applicable U.S. state securities laws). Subject to the accuracy of Seller’s representations set forth herein and in the Ancillary Agreements, the offer, sale and issuance of the shares of Acquirer Stock as contemplated by this Agreement are exempt from the registration requirements of the Securities Act.</w:t>
      </w:r>
    </w:p>
    <w:p>
      <w:pPr>
        <w:spacing w:after="0" w:line="133"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equity securities of each of Merger Sub I and Merger Sub II (i) have been duly authorized and validly issued and are fully paid and nonassessable, (ii) were issued in compliance in all material respects with applicable Law, and (iii) were not issued in breach or violation of any preemptive rights or Contract to which Acquirer is a party or bound. All of the outstanding equity securities of Merger Sub I and Merger Sub II are owned by Acquirer free of any Encumbrances (other than this Agreement and restrictions on transfer under the Securities Act and applicable U.S. state securities laws). Neither Merger Sub I nor Merger Sub II has any Subsidiaries or owns, directly or indirectly, any equity securities in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Noncontravention.</w:t>
      </w:r>
    </w:p>
    <w:p>
      <w:pPr>
        <w:spacing w:after="0" w:line="171" w:lineRule="exact"/>
        <w:rPr>
          <w:sz w:val="20"/>
          <w:szCs w:val="20"/>
          <w:color w:val="auto"/>
        </w:rPr>
      </w:pPr>
    </w:p>
    <w:p>
      <w:pPr>
        <w:jc w:val="both"/>
        <w:ind w:firstLine="656"/>
        <w:spacing w:after="0" w:line="285" w:lineRule="auto"/>
        <w:tabs>
          <w:tab w:leader="none" w:pos="1293"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execution, delivery and performance by each Acquirer Party and each Acquirer Party’s compliance with this Agreement and consummation by each Acquirer Party of the Transactions do not and will not (i) violate the Governing Documents of Acquirer, Merger Sub, (ii) violate any loan or credit agreement, guarantee, note, bond, mortgage, indenture, lease or other agreement, permit, franchise or license to which, as of the date of this Agreement, Acquirer is a party or by which Acquirer’s properties or assets are bound, (iii) violate any statute or any judgment, order, rule or regulation of any court or governmental agency, taxing authority or regulatory body, domestic or foreign, having jurisdiction over Acquirer or any of its properties or</w:t>
      </w:r>
    </w:p>
    <w:p>
      <w:pPr>
        <w:spacing w:after="0" w:line="1" w:lineRule="exact"/>
        <w:rPr>
          <w:rFonts w:ascii="Arial" w:cs="Arial" w:eastAsia="Arial" w:hAnsi="Arial"/>
          <w:sz w:val="16"/>
          <w:szCs w:val="16"/>
          <w:color w:val="auto"/>
        </w:rPr>
      </w:pPr>
    </w:p>
    <w:p>
      <w:pPr>
        <w:jc w:val="both"/>
        <w:ind w:firstLine="8"/>
        <w:spacing w:after="0" w:line="295" w:lineRule="auto"/>
        <w:tabs>
          <w:tab w:leader="none" w:pos="3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assuming any consents and approvals referred to in Section 4.4(b) are duly obtained, conflict with or constitute a Default under any Laws, Orders or Permits applicable to the Acquirer Parties, except, in the case of clauses (i) and (iv) for any such violation or Default which would not materially affect the Acquirer Parties’ ability to perform any of their respective obligations hereunder or consummate the Transactions, and, in the case of clauses (ii) and (iii), for Defaults or violations that have not had and would not reasonably be expected to have, individually or in the aggregate, a Material Adverse Effect.</w:t>
      </w:r>
    </w:p>
    <w:p>
      <w:pPr>
        <w:spacing w:after="0" w:line="107" w:lineRule="exact"/>
        <w:rPr>
          <w:rFonts w:ascii="Arial" w:cs="Arial" w:eastAsia="Arial" w:hAnsi="Arial"/>
          <w:sz w:val="16"/>
          <w:szCs w:val="16"/>
          <w:color w:val="auto"/>
        </w:rPr>
      </w:pPr>
    </w:p>
    <w:p>
      <w:pPr>
        <w:jc w:val="both"/>
        <w:ind w:firstLine="656"/>
        <w:spacing w:after="0" w:line="255" w:lineRule="auto"/>
        <w:tabs>
          <w:tab w:leader="none" w:pos="129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Other than the filing of the Certificate of Merger for the Merger, filings with the SEC and Nasdaq and such filings and notifications as may be required to be made by Acquirer in connection with the Transactions under the HSR Act or other applicable Antitrust Laws and the expiration or early termination of the applicable waiting period under the HSR Act or other applicable Antitrust Laws, no consent, approval, Order or authorization of, or registration, declaration, or filing with, any Governmental Authority or any other Person is required to be made, obtained or given by any Acquirer Party in connection with the execution, delivery and performance by each Acquirer Party of this Agreement or the consummation by each Acquirer Party of the Transactions.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Acquirer Party is in compliance with all applicable laws and has not received any written communication from a governmental entity that alleges that Acquirer is not in compliance with or is in default or violation of any applicable law, except where such non-compliance, default or violation would not, individually or in the aggregate, be reasonably likely to have a Material Adverse Effect.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Securities Law Matters.</w:t>
      </w:r>
    </w:p>
    <w:p>
      <w:pPr>
        <w:spacing w:after="0" w:line="171" w:lineRule="exact"/>
        <w:rPr>
          <w:sz w:val="20"/>
          <w:szCs w:val="20"/>
          <w:color w:val="auto"/>
        </w:rPr>
      </w:pPr>
    </w:p>
    <w:p>
      <w:pPr>
        <w:jc w:val="both"/>
        <w:ind w:firstLine="656"/>
        <w:spacing w:after="0" w:line="254" w:lineRule="auto"/>
        <w:tabs>
          <w:tab w:leader="none" w:pos="12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issued and outstanding shares of Acquirer Stock are registered pursuant to Section 12(b) of the Exchange Act, and are listed for trading on Nasdaq under the symbol “SMFR”. There is no suit, action, proceeding or investigation pending or, to the Knowledge of Acquirer, threatened against Acquirer by Nasdaq or the SEC with respect to any intention by such entity to deregister the Acquirer Stock or prohibit or terminate the listing of the Acquirer Stock on Nasdaq, excluding, for the purposes of clarity, the customary ongoing review by Nasdaq of the Acquirer’s listing of additional shares application in connection with the Transactions. Acquirer has taken no action that is designed to terminate or is reasonably expected to result in the termination of the registration of the Acquirer Stock under the Exchange Act or the listing of the Acquirer Stock on Nasdaq and is in compliance in all material respects with the listing requirements of Nasdaq.</w:t>
      </w:r>
    </w:p>
    <w:p>
      <w:pPr>
        <w:spacing w:after="0" w:line="140"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Each report, statement and form (including exhibits and other information incorporated therein) filed by Acquirer with the SEC under Sections 13(a), 14(a) or 15(d) of the Exchange Act or filed pursuant to the Securities Act since July 22, 2021 (the “SEC Reports”) when filed complied in all material respects with the requirements of the Securities Act and the Exchange Act and the rules and regulations of the SEC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Acquirer has timely filed each SEC Report that Acquirer was required to file with the SEC since July 22, 2021. There are no material outstanding or unresolved comments in comment letters from the SEC staff with respect to any of Acquirer’s SEC Reports. In addition, Acquirer has made available to Seller (including via the SEC’s EDGAR system) a copy of the SEC Reports since July 22, 2021. Except as disclosed in the SEC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of the Sema4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SEC), each complied in all material respects with the rules and regulations of the SEC with respect thereto as in effect at the time of filing and each fairly presents, in all material respects, the financial position, results of operations and cash flows of Acquirer or Mount Sinai Genomics, Inc. d/b/a Sema4 (“Legacy Sema4”), as applicable, as at the respective dates thereof and for the respective periods indicated therein. For purposes of this Section 4.6(b), the “Sema4 Financial Statements”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Acquirer as of September 30, 2021 and for the three months and nine months ended September 30, 2021 and 2020 and the related notes.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Proceedings</w:t>
      </w:r>
      <w:r>
        <w:rPr>
          <w:rFonts w:ascii="Arial" w:cs="Arial" w:eastAsia="Arial" w:hAnsi="Arial"/>
          <w:sz w:val="18"/>
          <w:szCs w:val="18"/>
          <w:color w:val="auto"/>
        </w:rPr>
        <w:t>. 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Acquirer, threatened against any Acquirer Party or (ii) judgment, decree, injunction, ruling or order of any governmental entity outstanding against any Acquirer Party.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Brokers</w:t>
      </w:r>
      <w:r>
        <w:rPr>
          <w:rFonts w:ascii="Arial" w:cs="Arial" w:eastAsia="Arial" w:hAnsi="Arial"/>
          <w:sz w:val="18"/>
          <w:szCs w:val="18"/>
          <w:color w:val="auto"/>
        </w:rPr>
        <w:t>. No Acquirer Party has entered into any Contract with any broker, finder or similar agent or any Person which will result in Seller being obligated to pay any finder’s fee, brokerage fees or commission or similar payment in connection with the Transactions.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Insolvency Proceedings</w:t>
      </w:r>
      <w:r>
        <w:rPr>
          <w:rFonts w:ascii="Arial" w:cs="Arial" w:eastAsia="Arial" w:hAnsi="Arial"/>
          <w:sz w:val="18"/>
          <w:szCs w:val="18"/>
          <w:color w:val="auto"/>
        </w:rPr>
        <w:t>. Neither Acquirer nor any of its subsidiaries has taken any steps to seek protection pursuant to any law or statute relating to bankruptcy, insolvency, reorganization, receivership, liquidation, administration or winding up or failed to pay its debts when due, nor does Acquirer or any subsidiary have any knowledge or reason to believe that any of their respective creditors intend to initiate involuntary bankruptcy proceedings or seek to commence an administration.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Acquirer is not, and immediately after the consummation of the Transactions, will not be, an “investment company” within the meaning of the Investment Company Act of 1940, as amended.</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There has been no action taken by Acquirer, or, to the Knowledge of Acquirer, any officer, director, equityholder, manager, employee, agent or representative of Acquirer, in each case, acting on behalf of Acquirer, in violation of any applicable Anti-Corruption Laws (as herein defined), (i) Acquirer has not been convicted of violating any Anti-Corruption Laws or subjected to any investigation by a Governmental Authority for violation of any applicable Anti-Corruption Laws, (ii) Acquirer has not conducted or initiated any internal investigation or made a voluntary, directed, or involuntary disclosure to any Governmental Authority regarding any alleged act or omission arising under or relating to any noncompliance with any Anti-Corruption Laws and (iii) Acquirer has not received any written notice or citation from a Governmental Authority for any actual or potential noncompliance with any applicable Anti-Corruption Laws. As used herein,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means any applicable laws relating to corruption and bribery, including the U.S. Foreign Corrupt Practices Act of 1977 (as amended), the UK Bribery Act 2010, and any similar law that prohibits bribery or corruption.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Acquirer Disclosure Schedules:</w:t>
      </w:r>
    </w:p>
    <w:p>
      <w:pPr>
        <w:spacing w:after="0" w:line="171" w:lineRule="exact"/>
        <w:rPr>
          <w:sz w:val="20"/>
          <w:szCs w:val="20"/>
          <w:color w:val="auto"/>
        </w:rPr>
      </w:pPr>
    </w:p>
    <w:p>
      <w:pPr>
        <w:jc w:val="both"/>
        <w:ind w:firstLine="656"/>
        <w:spacing w:after="0" w:line="286" w:lineRule="auto"/>
        <w:tabs>
          <w:tab w:leader="none" w:pos="129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member of the Acquirer Group, and any consolidated, combined, unitary or aggregate group composed of members of the Acquirer Group for Tax purposes, has timely filed all federal income Tax Returns and other material Tax Returns it is required to have filed. All Tax Returns filed by or with respect to any member of the Acquirer Group are accurate, complete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jc w:val="both"/>
        <w:ind w:left="-340" w:firstLine="656"/>
        <w:spacing w:after="0" w:line="263"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member of the Acquirer Group has paid in full all material Taxes required to have been paid. All Taxes due in connection with the operations of each member of the Acquirer Group until the Closing Date have been paid in full. No member of the Acquirer Group has any Liability for Taxes in excess of the amounts so paid, except for Taxes which are not yet due and payable.</w:t>
      </w:r>
    </w:p>
    <w:p>
      <w:pPr>
        <w:spacing w:after="0" w:line="129" w:lineRule="exact"/>
        <w:rPr>
          <w:rFonts w:ascii="Arial" w:cs="Arial" w:eastAsia="Arial" w:hAnsi="Arial"/>
          <w:sz w:val="18"/>
          <w:szCs w:val="18"/>
          <w:color w:val="auto"/>
        </w:rPr>
      </w:pPr>
    </w:p>
    <w:p>
      <w:pPr>
        <w:jc w:val="both"/>
        <w:ind w:left="-340" w:firstLine="656"/>
        <w:spacing w:after="0" w:line="263" w:lineRule="auto"/>
        <w:tabs>
          <w:tab w:leader="none" w:pos="95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balance sheet of Acquirer dated September 30, 2021 set forth in the SEC Documents included reflects all Liabilities for unpaid Taxes of the Acquirer Group for periods (or portions of periods) through such date. The Acquirer Group does not have any Liability for unpaid Taxes accruing after such date except for Taxes arising in the Ordinary Course of Business subsequent to such date.</w:t>
      </w:r>
    </w:p>
    <w:p>
      <w:pPr>
        <w:spacing w:after="0" w:line="129" w:lineRule="exact"/>
        <w:rPr>
          <w:rFonts w:ascii="Arial" w:cs="Arial" w:eastAsia="Arial" w:hAnsi="Arial"/>
          <w:sz w:val="18"/>
          <w:szCs w:val="18"/>
          <w:color w:val="auto"/>
        </w:rPr>
      </w:pPr>
    </w:p>
    <w:p>
      <w:pPr>
        <w:ind w:left="-340" w:right="2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Within the last five (5) years, no claim has been made by any Governmental Authority in any jurisdiction where a member of the Acquirer Group does not file Tax Returns that such member is or may be subject to Tax by that jurisdiction.</w:t>
      </w:r>
    </w:p>
    <w:p>
      <w:pPr>
        <w:spacing w:after="0" w:line="116" w:lineRule="exact"/>
        <w:rPr>
          <w:rFonts w:ascii="Arial" w:cs="Arial" w:eastAsia="Arial" w:hAnsi="Arial"/>
          <w:sz w:val="18"/>
          <w:szCs w:val="18"/>
          <w:color w:val="auto"/>
        </w:rPr>
      </w:pPr>
    </w:p>
    <w:p>
      <w:pPr>
        <w:ind w:left="-340" w:firstLine="656"/>
        <w:spacing w:after="0" w:line="277" w:lineRule="auto"/>
        <w:tabs>
          <w:tab w:leader="none" w:pos="95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with respect to the Tax Returns have been given by or requested from the Acquirer Group (except for extensions to file Tax Returns that are granted automatically under applicable Law).</w:t>
      </w:r>
    </w:p>
    <w:p>
      <w:pPr>
        <w:spacing w:after="0" w:line="116" w:lineRule="exact"/>
        <w:rPr>
          <w:rFonts w:ascii="Arial" w:cs="Arial" w:eastAsia="Arial" w:hAnsi="Arial"/>
          <w:sz w:val="18"/>
          <w:szCs w:val="18"/>
          <w:color w:val="auto"/>
        </w:rPr>
      </w:pPr>
    </w:p>
    <w:p>
      <w:pPr>
        <w:jc w:val="both"/>
        <w:ind w:left="-340" w:right="20" w:firstLine="656"/>
        <w:spacing w:after="0" w:line="263" w:lineRule="auto"/>
        <w:tabs>
          <w:tab w:leader="none" w:pos="9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is (i) no past or pending audit of, or Tax controversy associated with, any Tax Return of a member of the Acquirer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9" w:lineRule="exact"/>
        <w:rPr>
          <w:rFonts w:ascii="Arial" w:cs="Arial" w:eastAsia="Arial" w:hAnsi="Arial"/>
          <w:sz w:val="18"/>
          <w:szCs w:val="18"/>
          <w:color w:val="auto"/>
        </w:rPr>
      </w:pPr>
    </w:p>
    <w:p>
      <w:pPr>
        <w:ind w:left="-34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any member of the Acquirer Group as a result of any examinations by any Tax Authority have been fully paid.</w:t>
      </w:r>
    </w:p>
    <w:p>
      <w:pPr>
        <w:spacing w:after="0" w:line="116" w:lineRule="exact"/>
        <w:rPr>
          <w:rFonts w:ascii="Arial" w:cs="Arial" w:eastAsia="Arial" w:hAnsi="Arial"/>
          <w:sz w:val="18"/>
          <w:szCs w:val="18"/>
          <w:color w:val="auto"/>
        </w:rPr>
      </w:pPr>
    </w:p>
    <w:p>
      <w:pPr>
        <w:ind w:left="-34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are no Encumbrances for Taxes upon the assets of any member of the Acquirer Group other than Encumbrances arising by operation of Law for Taxes not yet due and payable.</w:t>
      </w:r>
    </w:p>
    <w:p>
      <w:pPr>
        <w:spacing w:after="0" w:line="116" w:lineRule="exact"/>
        <w:rPr>
          <w:rFonts w:ascii="Arial" w:cs="Arial" w:eastAsia="Arial" w:hAnsi="Arial"/>
          <w:sz w:val="18"/>
          <w:szCs w:val="18"/>
          <w:color w:val="auto"/>
        </w:rPr>
      </w:pPr>
    </w:p>
    <w:p>
      <w:pPr>
        <w:jc w:val="both"/>
        <w:ind w:left="-340" w:firstLine="656"/>
        <w:spacing w:after="0" w:line="286" w:lineRule="auto"/>
        <w:tabs>
          <w:tab w:leader="none" w:pos="95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Acquirer Group has collected and remitted all Sales Taxes with respect to sales made or services provided and, for all sales or provision of services that are exempt from Sales Taxes and that were made without charging or remitting Sales Taxes, the Acquirer Group has received and retained any required Tax exemption certificates or other documentation qualifying such sale or provision of services as exempt.</w:t>
      </w:r>
    </w:p>
    <w:p>
      <w:pPr>
        <w:spacing w:after="0" w:line="111" w:lineRule="exact"/>
        <w:rPr>
          <w:rFonts w:ascii="Arial" w:cs="Arial" w:eastAsia="Arial" w:hAnsi="Arial"/>
          <w:sz w:val="17"/>
          <w:szCs w:val="17"/>
          <w:color w:val="auto"/>
        </w:rPr>
      </w:pPr>
    </w:p>
    <w:p>
      <w:pPr>
        <w:ind w:left="-340" w:right="2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is party to or bound by any Tax indemnity, Tax sharing, Tax allocation or similar agreement, and no member of the Acquirer Group has any Liability or potential Liability to any Third Party under any such agreement.</w:t>
      </w:r>
    </w:p>
    <w:p>
      <w:pPr>
        <w:spacing w:after="0" w:line="116" w:lineRule="exact"/>
        <w:rPr>
          <w:rFonts w:ascii="Arial" w:cs="Arial" w:eastAsia="Arial" w:hAnsi="Arial"/>
          <w:sz w:val="18"/>
          <w:szCs w:val="18"/>
          <w:color w:val="auto"/>
        </w:rPr>
      </w:pPr>
    </w:p>
    <w:p>
      <w:pPr>
        <w:jc w:val="both"/>
        <w:ind w:left="-340" w:firstLine="656"/>
        <w:spacing w:after="0" w:line="263"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129" w:lineRule="exact"/>
        <w:rPr>
          <w:rFonts w:ascii="Arial" w:cs="Arial" w:eastAsia="Arial" w:hAnsi="Arial"/>
          <w:sz w:val="18"/>
          <w:szCs w:val="18"/>
          <w:color w:val="auto"/>
        </w:rPr>
      </w:pPr>
    </w:p>
    <w:p>
      <w:pPr>
        <w:jc w:val="both"/>
        <w:ind w:left="-340" w:firstLine="656"/>
        <w:spacing w:after="0" w:line="259"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has ever entered into any “listed transaction” as defined in Treasury Regulations Section 1.6011 4(b) or any similar provision under state, local or foreign law. Each member of the Acquirer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132" w:lineRule="exact"/>
        <w:rPr>
          <w:rFonts w:ascii="Arial" w:cs="Arial" w:eastAsia="Arial" w:hAnsi="Arial"/>
          <w:sz w:val="18"/>
          <w:szCs w:val="18"/>
          <w:color w:val="auto"/>
        </w:rPr>
      </w:pPr>
    </w:p>
    <w:p>
      <w:pPr>
        <w:jc w:val="both"/>
        <w:ind w:left="-340" w:firstLine="656"/>
        <w:spacing w:after="0" w:line="301" w:lineRule="auto"/>
        <w:tabs>
          <w:tab w:leader="none" w:pos="94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Acquirer has (i) except for being a member of the Acquirer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 no Liability for Taxes of any Person under Treasury Regulations Section 1.1502-6 (or any corresponding provision of state, local or foreign Law related to income Taxes), as transferee or successor,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0"/>
          </w:cols>
          <w:pgMar w:left="660" w:top="1440" w:right="339" w:bottom="1440" w:gutter="0" w:footer="0" w:header="0"/>
        </w:sectPr>
      </w:pPr>
    </w:p>
    <w:bookmarkStart w:id="396" w:name="page397"/>
    <w:bookmarkEnd w:id="396"/>
    <w:p>
      <w:pPr>
        <w:spacing w:after="0" w:line="144" w:lineRule="exact"/>
        <w:rPr>
          <w:sz w:val="20"/>
          <w:szCs w:val="20"/>
          <w:color w:val="auto"/>
        </w:rPr>
      </w:pPr>
    </w:p>
    <w:p>
      <w:pPr>
        <w:ind w:right="20"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is subject to Tax in any jurisdiction other than the jurisdiction in which it is formed or organized by virtue of having employees, a permanent establishment or any other place of business in such jurisdiction.</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has ever been a “distributing corporation” or a “controlled corporation” in connection with a distribution described in Section 355 of the Code.</w:t>
      </w:r>
    </w:p>
    <w:p>
      <w:pPr>
        <w:spacing w:after="0" w:line="116"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member of the Acquirer Group has withheld and paid all material Taxes required to be withheld in connection with any amounts paid or owing to any employee, creditor, independent contractor or other Third Party.</w:t>
      </w:r>
    </w:p>
    <w:p>
      <w:pPr>
        <w:spacing w:after="0" w:line="116"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8" w:lineRule="exact"/>
        <w:rPr>
          <w:rFonts w:ascii="Arial" w:cs="Arial" w:eastAsia="Arial" w:hAnsi="Arial"/>
          <w:sz w:val="18"/>
          <w:szCs w:val="18"/>
          <w:color w:val="auto"/>
        </w:rPr>
      </w:pPr>
    </w:p>
    <w:p>
      <w:pPr>
        <w:jc w:val="both"/>
        <w:ind w:firstLine="656"/>
        <w:spacing w:after="0" w:line="284" w:lineRule="auto"/>
        <w:tabs>
          <w:tab w:leader="none" w:pos="128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member of the Acquirer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color w:val="auto"/>
        </w:rPr>
        <w:t>(1)(A) of the Code, or (ix) any comparable provisions of state or local Tax law, domestic or foreign, or for any other reason. The Acquirer Group has not made an election pursuant to Section 965(h) of the Code to pay the net tax liability under Section 965 of the Code in installments.</w:t>
      </w:r>
    </w:p>
    <w:p>
      <w:pPr>
        <w:spacing w:after="0" w:line="107" w:lineRule="exact"/>
        <w:rPr>
          <w:rFonts w:ascii="Arial" w:cs="Arial" w:eastAsia="Arial" w:hAnsi="Arial"/>
          <w:sz w:val="16"/>
          <w:szCs w:val="16"/>
          <w:color w:val="auto"/>
        </w:rPr>
      </w:pPr>
    </w:p>
    <w:p>
      <w:pPr>
        <w:ind w:firstLine="656"/>
        <w:spacing w:after="0" w:line="277" w:lineRule="auto"/>
        <w:tabs>
          <w:tab w:leader="none" w:pos="128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has applied for and not yet received a ruling or determination from a Tax Authority regarding a past or prospective transaction.</w:t>
      </w:r>
    </w:p>
    <w:p>
      <w:pPr>
        <w:spacing w:after="0" w:line="116" w:lineRule="exact"/>
        <w:rPr>
          <w:rFonts w:ascii="Arial" w:cs="Arial" w:eastAsia="Arial" w:hAnsi="Arial"/>
          <w:sz w:val="18"/>
          <w:szCs w:val="18"/>
          <w:color w:val="auto"/>
        </w:rPr>
      </w:pPr>
    </w:p>
    <w:p>
      <w:pPr>
        <w:jc w:val="both"/>
        <w:ind w:firstLine="656"/>
        <w:spacing w:after="0" w:line="254"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(x) Each member of the Acquirer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spacing w:after="0" w:line="140" w:lineRule="exact"/>
        <w:rPr>
          <w:rFonts w:ascii="Arial" w:cs="Arial" w:eastAsia="Arial" w:hAnsi="Arial"/>
          <w:sz w:val="18"/>
          <w:szCs w:val="18"/>
          <w:color w:val="auto"/>
        </w:rPr>
      </w:pPr>
    </w:p>
    <w:p>
      <w:pPr>
        <w:jc w:val="both"/>
        <w:ind w:firstLine="656"/>
        <w:spacing w:after="0" w:line="279" w:lineRule="auto"/>
        <w:tabs>
          <w:tab w:leader="none" w:pos="129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such nonqualified deferred compensation plan to which the Company or any of its Subsidiaries is a party complies with the requirements of paragraphs (2), (3) and (4) of Section 409A(a) of the Code by its terms and has been operated in accordance with such requirements. No event has occurred that would be treated by Section 409A(b) of the Code as a transfer of property for purposes of Section 83 of the Code. No member of the Acquirer Group is under any obligation to gross up any Taxes under Section 409A of the Code or otherwise.</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4.13</w:t>
      </w:r>
      <w:r>
        <w:rPr>
          <w:rFonts w:ascii="Arial" w:cs="Arial" w:eastAsia="Arial" w:hAnsi="Arial"/>
          <w:sz w:val="16"/>
          <w:szCs w:val="16"/>
          <w:u w:val="single" w:color="auto"/>
          <w:color w:val="auto"/>
        </w:rPr>
        <w:t>Environmental Laws and Regulations</w:t>
      </w:r>
      <w:r>
        <w:rPr>
          <w:rFonts w:ascii="Arial" w:cs="Arial" w:eastAsia="Arial" w:hAnsi="Arial"/>
          <w:sz w:val="16"/>
          <w:szCs w:val="16"/>
          <w:color w:val="auto"/>
        </w:rPr>
        <w:t>. Acquirer and all facilities or real property currently owned, leased or operated by Acquirer, are now and, since such time as Acquirer has owned, leased or operated the facilities or real property, have been in compliance in all material respects with all applicable Environmental Laws. Acquirer has not, since Acquirer has owned, leased or operated the facilities or real property, received from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Authority any notice or demand letter alleging that Acquirer is in violation of any Environmental Law, and Acquirer is not subject to any Order of any Governmental Authority imposing liability or obligations relating to any Environmental Law, in each case except as is not, and would not reasonably be expected to be, material to Acquirer and its Subsidiaries, taken as a whole. There has been no release by Acquirer, or for which Acquirer would reasonably be expected to be liable by Contract or by operation of Law, of any Hazardous Substance at, under, from or to any facility or real property currently or formerly owned, leased or operated by Acquirer, in each case except as is not, and would not reasonably be expected to be, material to Acquirer and its Subsidiaries, taken as a whole. Acquirer has not assumed, undertaken or otherwise become subject to any liability of another Person relating to Environmental Laws, except as is not, and would not reasonably be expected to be, material to Acquirer and its Subsidiaries, taken as a whole.</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4.14</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of the Acquirer Disclosure Schedules or as is not, and would not reasonably be expected to be, material to Acquirer and its Subsidiaries, taken as a whole, there is no, and since July 22, 2021 there has not been any, Proceeding (a) pending or, to the Acquirer’s Knowledge, threatened against or affecting Acquirer, (b) pending or, to the Acquirer’s Knowledge, threatened against any Person whose Liability either Acquirer has retained or assumed, either contractually or by operation of Law, or (c) pending or, to the Acquirer’s Knowledge, threatened against any stockholder, officer, director or employee of Acquirer in connection with such stockholder’s, officer’s, director’s or employee’s relationship with, or actions taken on behalf of, Acquirer. Acquirer is not a party to or named in, and none of its properties or assets are subject to, any Order that is material to Acquirer and its Subsidiaries, taken as a whole.</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4.15</w:t>
      </w:r>
      <w:r>
        <w:rPr>
          <w:rFonts w:ascii="Arial" w:cs="Arial" w:eastAsia="Arial" w:hAnsi="Arial"/>
          <w:sz w:val="18"/>
          <w:szCs w:val="18"/>
          <w:u w:val="single" w:color="auto"/>
          <w:color w:val="auto"/>
        </w:rPr>
        <w:t>Merger Sub Activities</w:t>
      </w:r>
      <w:r>
        <w:rPr>
          <w:rFonts w:ascii="Arial" w:cs="Arial" w:eastAsia="Arial" w:hAnsi="Arial"/>
          <w:sz w:val="18"/>
          <w:szCs w:val="18"/>
          <w:color w:val="auto"/>
        </w:rPr>
        <w:t>. Merger Sub I and Merger Sub II were organized solely for the purpose of entering into this Agreement and the Ancillary Agreements and consummating the Merger and the other Transactions and thereby, and have not engaged in any activities or business, other than those incident or related to or incurred in connection with its formation or the negotiation, preparation or execution of this Agreement or any Ancillary Agreements, the performance of its covenants or agreements in this Agreement or any Ancillary Agreement or the consummation of the transactions contemplated hereby or thereby.</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4.16</w:t>
      </w:r>
      <w:r>
        <w:rPr>
          <w:rFonts w:ascii="Arial" w:cs="Arial" w:eastAsia="Arial" w:hAnsi="Arial"/>
          <w:sz w:val="18"/>
          <w:szCs w:val="18"/>
          <w:u w:val="single" w:color="auto"/>
          <w:color w:val="auto"/>
        </w:rPr>
        <w:t>Additional Representations</w:t>
      </w:r>
      <w:r>
        <w:rPr>
          <w:rFonts w:ascii="Arial" w:cs="Arial" w:eastAsia="Arial" w:hAnsi="Arial"/>
          <w:sz w:val="18"/>
          <w:szCs w:val="18"/>
          <w:color w:val="auto"/>
        </w:rPr>
        <w:t>. EACH ACQUIRER PARTY ACKNOWLEDGES AND AGREES THAT, EXCEPT AS EXPRESSLY SET FORTH IN Article 3, NONE OF THE COMPANY, ANY REPRESENTATIVE OF THE COMPANY, SELLER OR ANY OTHER PERSON MAKES ANY REPRESENTATION OR WARRANTY, EXPRESSED OR IMPLIED, AT LAW OR IN EQUITY, WITH RESPECT TO THIS AGREEMENT, THE TRANSACTIONS CONTEMPLATED HEREBY, INCLUDING THE MERGER, THE COMPANY, OR ANY INFORMATION PROVIDED OR MADE AVAILABLE TO THE ACQUIRER PARTIES OR THEIR REPRESENTATIVES IN CONNECTION WITH THE TRANSACTIONS CONTEMPLATED HEREBY (INCLUDING ANY FORECASTS, PROJECTIONS, ESTIMATES, BUDGETS OR BUSINESS PLANS), AND ALL OTHER SUCH REPRESENTATIONS OR WARRANTIES ARE HEREBY EXPRESSLY DISCLAIMED.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AGREEMENTS</w:t>
      </w:r>
    </w:p>
    <w:p>
      <w:pPr>
        <w:spacing w:after="0" w:line="1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Business of the Company Group</w:t>
      </w:r>
      <w:r>
        <w:rPr>
          <w:rFonts w:ascii="Arial" w:cs="Arial" w:eastAsia="Arial" w:hAnsi="Arial"/>
          <w:sz w:val="16"/>
          <w:szCs w:val="16"/>
          <w:color w:val="auto"/>
        </w:rPr>
        <w:t>. During the period from the Agreement Date through the earlier of (x) the termination of this Agreement in accordance with its terms and (y)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xml:space="preserve">”), except (i) as set forth on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Schedule or in the Pre-Closing Budget, (ii) to the extent necessary to comply with the Company Parties’ obligations under this Agreement, including completion of the Pre-Closing Restructuring, (iii) as required by applicable Law, or (iv) with the prior written consent of Acquirer (such consent not to be unreasonably withheld, conditioned or delayed), (A) Seller and Holdco2 shall cause each member of the Company Group to, and each of the Company Parties shall, carry on its business in the Ordinary Course of Business and in compliance in all material respects with applicable Law and the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and (B)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Seller or Holdco2 shall and each shall cause each member of the Company Group not to, and the Company Parties shall not:</w:t>
      </w:r>
    </w:p>
    <w:p>
      <w:pPr>
        <w:spacing w:after="0" w:line="171"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amend the Governing Documents of any member of the Company Group;</w:t>
      </w:r>
    </w:p>
    <w:p>
      <w:pPr>
        <w:spacing w:after="0" w:line="171"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acquire (by merger, consolidation or combination, or acquisition of stock or assets) any Person or division or assets (other than in the Ordinary Course of Business) thereof, or otherwise effect any merger, consolidation or reorganization of any member of the Company Group,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32" w:lineRule="exact"/>
        <w:rPr>
          <w:rFonts w:ascii="Arial" w:cs="Arial" w:eastAsia="Arial" w:hAnsi="Arial"/>
          <w:sz w:val="18"/>
          <w:szCs w:val="18"/>
          <w:color w:val="auto"/>
        </w:rPr>
      </w:pPr>
    </w:p>
    <w:p>
      <w:pPr>
        <w:ind w:firstLine="656"/>
        <w:spacing w:after="0" w:line="277" w:lineRule="auto"/>
        <w:tabs>
          <w:tab w:leader="none" w:pos="12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split, combine or reclassify the outstanding shares of Holdco2 Common Stock nor enter into any agreement with respect to voting of any of Holdco2 Common Stock;</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declare, set aside or pay any dividend or other distribution, payable in cash, stock, property or otherwise, in respect of any Holdco2</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Common Stock;</w:t>
      </w:r>
    </w:p>
    <w:p>
      <w:pPr>
        <w:spacing w:after="0" w:line="156" w:lineRule="exact"/>
        <w:rPr>
          <w:rFonts w:ascii="Arial" w:cs="Arial" w:eastAsia="Arial" w:hAnsi="Arial"/>
          <w:sz w:val="17"/>
          <w:szCs w:val="17"/>
          <w:color w:val="auto"/>
        </w:rPr>
      </w:pPr>
    </w:p>
    <w:p>
      <w:pPr>
        <w:ind w:firstLine="656"/>
        <w:spacing w:after="0" w:line="277" w:lineRule="auto"/>
        <w:tabs>
          <w:tab w:leader="none" w:pos="12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Holdco2 Common Stock or any securities convertible or exchangeable or exercisable for any shares of Holdco2 Common Stock;</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transfer, lease, license, guarantee, sell, mortgage, pledge, dispose of or encumber any material asset, except for (i) the incurrence of Permitted Encumbrances, (ii) non-exclusive licenses of the Company IP in the Ordinary Course of Business, (iii) sales or other dispositions of inventory and other assets in the Ordinary Course of Business, (iv) sales of obsolete or written off assets and (v) sales or dispositions for an amount less than $500,000 in the aggregate;</w:t>
      </w:r>
    </w:p>
    <w:p>
      <w:pPr>
        <w:spacing w:after="0" w:line="132" w:lineRule="exact"/>
        <w:rPr>
          <w:rFonts w:ascii="Arial" w:cs="Arial" w:eastAsia="Arial" w:hAnsi="Arial"/>
          <w:sz w:val="18"/>
          <w:szCs w:val="18"/>
          <w:color w:val="auto"/>
        </w:rPr>
      </w:pPr>
    </w:p>
    <w:p>
      <w:pPr>
        <w:jc w:val="both"/>
        <w:ind w:firstLine="656"/>
        <w:spacing w:after="0" w:line="311" w:lineRule="auto"/>
        <w:tabs>
          <w:tab w:leader="none" w:pos="129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incur any Indebtedness or issue any debt securities or warrants or other rights to acquire debt securities of any member of the Company Group or assume, guarantee or endorse, as an accommodation or otherwise, the obligations of any other person for Indebtedness or capital obligations, in the case of any of the foregoing, other than (i) incurrences of Indebtedness under the Pre-Closing Budget and (ii) the incurrence of Seller Debt;</w:t>
      </w:r>
    </w:p>
    <w:p>
      <w:pPr>
        <w:spacing w:after="0" w:line="94" w:lineRule="exact"/>
        <w:rPr>
          <w:rFonts w:ascii="Arial" w:cs="Arial" w:eastAsia="Arial" w:hAnsi="Arial"/>
          <w:sz w:val="16"/>
          <w:szCs w:val="16"/>
          <w:color w:val="auto"/>
        </w:rPr>
      </w:pPr>
    </w:p>
    <w:p>
      <w:pPr>
        <w:ind w:firstLine="656"/>
        <w:spacing w:after="0" w:line="27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issue, sell, pledge, dispose of or encumber any shares of, or securities convertible into or exchangeable or exercisable for, or options, warrants, calls, commitments or rights of any kind to acquire, any shares of Holdco2 Common Stock;</w:t>
      </w:r>
    </w:p>
    <w:p>
      <w:pPr>
        <w:spacing w:after="0" w:line="116"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make any change in accounting methods, principles or practices (including for Tax purposes), except as required by the Accounting Standards or by applicable Law or a Governmental Authority;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revalue any of its material assets except as required by the Accounting Standards;</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other than in the Ordinary Course of Business, enter into any Contract that would constitute a Company Contract if it had been in existence on the Agreement Date, or amend, modify or consent to the termination of any Company Contract or the applicable member of the Company Group’s rights thereunder, or waive, release or assign any rights or claims thereunder;</w:t>
      </w:r>
    </w:p>
    <w:p>
      <w:pPr>
        <w:spacing w:after="0" w:line="129" w:lineRule="exact"/>
        <w:rPr>
          <w:rFonts w:ascii="Arial" w:cs="Arial" w:eastAsia="Arial" w:hAnsi="Arial"/>
          <w:sz w:val="18"/>
          <w:szCs w:val="18"/>
          <w:color w:val="auto"/>
        </w:rPr>
      </w:pPr>
    </w:p>
    <w:p>
      <w:pPr>
        <w:jc w:val="both"/>
        <w:ind w:firstLine="656"/>
        <w:spacing w:after="0" w:line="25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Company Group; (ii) impair in any material respect the ability of any of the Company Parties or Seller to perform its obligations under this Agreement; or (iii) prevent or materially delay the consummation of the Mergers;</w:t>
      </w:r>
    </w:p>
    <w:p>
      <w:pPr>
        <w:spacing w:after="0" w:line="133" w:lineRule="exact"/>
        <w:rPr>
          <w:rFonts w:ascii="Arial" w:cs="Arial" w:eastAsia="Arial" w:hAnsi="Arial"/>
          <w:sz w:val="18"/>
          <w:szCs w:val="18"/>
          <w:color w:val="auto"/>
        </w:rPr>
      </w:pPr>
    </w:p>
    <w:p>
      <w:pPr>
        <w:ind w:firstLine="656"/>
        <w:spacing w:after="0" w:line="277" w:lineRule="auto"/>
        <w:tabs>
          <w:tab w:leader="none" w:pos="128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make any loan, advance, capital contribution to, or investment in, any Person other than business expense advances to employees of any member of the Company Group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4" w:lineRule="exact"/>
        <w:rPr>
          <w:sz w:val="20"/>
          <w:szCs w:val="20"/>
          <w:color w:val="auto"/>
        </w:rPr>
      </w:pPr>
    </w:p>
    <w:p>
      <w:pPr>
        <w:jc w:val="both"/>
        <w:ind w:left="-8" w:firstLine="656"/>
        <w:spacing w:after="0" w:line="255" w:lineRule="auto"/>
        <w:tabs>
          <w:tab w:leader="none" w:pos="128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enter into any Contract to the extent consummation of the Transactions or compliance with the provisions of this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Company Group under, or require Acquirer to license or transfer any Company IP or other material assets (other than Permitted Encumbrances) under such Contract;</w:t>
      </w:r>
    </w:p>
    <w:p>
      <w:pPr>
        <w:spacing w:after="0" w:line="138" w:lineRule="exact"/>
        <w:rPr>
          <w:rFonts w:ascii="Arial" w:cs="Arial" w:eastAsia="Arial" w:hAnsi="Arial"/>
          <w:sz w:val="18"/>
          <w:szCs w:val="18"/>
          <w:color w:val="auto"/>
        </w:rPr>
      </w:pPr>
    </w:p>
    <w:p>
      <w:pPr>
        <w:jc w:val="both"/>
        <w:ind w:left="-8" w:firstLine="656"/>
        <w:spacing w:after="0" w:line="269" w:lineRule="auto"/>
        <w:tabs>
          <w:tab w:leader="none" w:pos="128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(i) abandon, disclaim, allow to lapse, dedicate to the public, sell, assign (in whole or in part), transfer, license, covenant not to sue, otherwise encumber or grant any right or interest (other than Permitted Encumbrances, but including any security interest) in, to or under any Company IP or Company IP Contract, including failing to perform or cause to be performed all applicable filings, recordings and other acts, or to pay or cause to be paid all required fees and Taxes, to maintain and protect its interest in the Company IP and Company IP Contracts, in each case other than Permitted Encumbrances; (ii) grant to any Third Party any license with respect to any Company IP, other than Permitted Encumbrances; (iii) disclose any confidential Company IP or Confidential Information to any Person, other than employees of the Company or any of its Subsidiaries, or in the Ordinary Course of Business, collaboration partners, that are subject to a confidentiality or non-disclosure covenant protecting against further disclosure thereof; (iv) fail to notify Acquirer promptly of any infringement, misappropriation or other violation of or conflict with any Company IP of which any member of the Company Group becomes aware, or fail to consult with Acquirer regarding and take such actions as Acquirer may reasonably request to protect such Company IP; or (v) fail to diligently prosecute any Company IP in the U.S. or in any non- U.S. jurisdiction material to the Company’s business, or fail to exercise a right of renewal or extension under or with respect to any Company IP;</w:t>
      </w:r>
    </w:p>
    <w:p>
      <w:pPr>
        <w:spacing w:after="0" w:line="127" w:lineRule="exact"/>
        <w:rPr>
          <w:rFonts w:ascii="Arial" w:cs="Arial" w:eastAsia="Arial" w:hAnsi="Arial"/>
          <w:sz w:val="17"/>
          <w:szCs w:val="17"/>
          <w:color w:val="auto"/>
        </w:rPr>
      </w:pPr>
    </w:p>
    <w:p>
      <w:pPr>
        <w:ind w:left="1292" w:hanging="644"/>
        <w:spacing w:after="0"/>
        <w:tabs>
          <w:tab w:leader="none" w:pos="129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enter into any Contract with any Related Parties;</w:t>
      </w:r>
    </w:p>
    <w:p>
      <w:pPr>
        <w:spacing w:after="0" w:line="171" w:lineRule="exact"/>
        <w:rPr>
          <w:rFonts w:ascii="Arial" w:cs="Arial" w:eastAsia="Arial" w:hAnsi="Arial"/>
          <w:sz w:val="18"/>
          <w:szCs w:val="18"/>
          <w:color w:val="auto"/>
        </w:rPr>
      </w:pPr>
    </w:p>
    <w:p>
      <w:pPr>
        <w:jc w:val="both"/>
        <w:ind w:left="-8" w:firstLine="656"/>
        <w:spacing w:after="0" w:line="287" w:lineRule="auto"/>
        <w:tabs>
          <w:tab w:leader="none" w:pos="1282" w:val="left"/>
        </w:tabs>
        <w:numPr>
          <w:ilvl w:val="1"/>
          <w:numId w:val="269"/>
        </w:numPr>
        <w:rPr>
          <w:rFonts w:ascii="Arial" w:cs="Arial" w:eastAsia="Arial" w:hAnsi="Arial"/>
          <w:sz w:val="16"/>
          <w:szCs w:val="16"/>
          <w:color w:val="auto"/>
        </w:rPr>
      </w:pPr>
      <w:r>
        <w:rPr>
          <w:rFonts w:ascii="Arial" w:cs="Arial" w:eastAsia="Arial" w:hAnsi="Arial"/>
          <w:sz w:val="16"/>
          <w:szCs w:val="16"/>
          <w:color w:val="auto"/>
        </w:rPr>
        <w:t>(i) adopt, enter into, terminate or amend any Company Benefit Plan (other than offer letters and independent contractor agreements in the Ordinary Course of Business to the extent not in contravention of Section 5.1(q)(iv)), or collective bargaining agreement, (ii) increase the compensation, bonus or fringe or other benefits provided by the Company Group to any Company Employee or independent contractor who is a natural person, other than</w:t>
      </w:r>
    </w:p>
    <w:p>
      <w:pPr>
        <w:spacing w:after="0" w:line="2" w:lineRule="exact"/>
        <w:rPr>
          <w:rFonts w:ascii="Arial" w:cs="Arial" w:eastAsia="Arial" w:hAnsi="Arial"/>
          <w:sz w:val="16"/>
          <w:szCs w:val="16"/>
          <w:color w:val="auto"/>
        </w:rPr>
      </w:pPr>
    </w:p>
    <w:p>
      <w:pPr>
        <w:jc w:val="both"/>
        <w:ind w:left="-8" w:firstLine="8"/>
        <w:spacing w:after="0" w:line="267" w:lineRule="auto"/>
        <w:tabs>
          <w:tab w:leader="none" w:pos="29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increases in base compensation in the Ordinary Course of Business and in accordance with the Company’s third-party market study which do not total more than $3,000,000 of aggregate annual base compensation and which do not represent an increase of more than 4% for any Company Employee who has either annual base compensation of more than $250,000 or a title at or above the level of Senior Director, and (B) increases in base compensation in the Ordinary Course of Business for independent contractors who are natural persons whose annual compensation is less than $50,000, (iii) grant or pay any special bonus or special remuneration (cash, equity or otherwise) to any Company Employee or independent contractor who is a natural person, other than pursuant to an existing Company Benefit Plan in accordance with its terms as in effect as of the Agreement Date, (iv) hire any employee or engage or terminate (other than for cause) any (A) Company Employee who has either annual base compensation in excess of $250,000 or a title at or above the level of Senior Director or (B) independent contractor who is a natural person who has annual base compensation in excess of $100,000; provided that no such newly hired employee or newly engaged Contractor shall be provided with severance or termination pay, a sign-on bonus or special remuneration, or receive a commitment regarding equity-based incentive compensation without the prior written consent of Acquirer, or (v) transfer the employment of an In-Scope Employee from a member of the Company Group to Seller or any of its subsidiaries (other than a member of the Company Group), or transfer the employment of any individual who is not an In-Scope Employee from Seller or any of its subsidiaries (other than a member of the Company Group) to a member of the Company Group;</w:t>
      </w:r>
    </w:p>
    <w:p>
      <w:pPr>
        <w:spacing w:after="0" w:line="128" w:lineRule="exact"/>
        <w:rPr>
          <w:rFonts w:ascii="Arial" w:cs="Arial" w:eastAsia="Arial" w:hAnsi="Arial"/>
          <w:sz w:val="17"/>
          <w:szCs w:val="17"/>
          <w:color w:val="auto"/>
        </w:rPr>
      </w:pPr>
    </w:p>
    <w:p>
      <w:pPr>
        <w:ind w:left="-8" w:firstLine="656"/>
        <w:spacing w:after="0" w:line="308" w:lineRule="auto"/>
        <w:tabs>
          <w:tab w:leader="none" w:pos="127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grant any severance or termination pay (cash, equity or otherwise) to any Company Employee or Contractor or adopt any new severance plan, or amend or modify or alter in any material respect any severance plan, agreement or arrangement existing on the Agreement Date;</w:t>
      </w:r>
    </w:p>
    <w:p>
      <w:pPr>
        <w:spacing w:after="0" w:line="92" w:lineRule="exact"/>
        <w:rPr>
          <w:rFonts w:ascii="Arial" w:cs="Arial" w:eastAsia="Arial" w:hAnsi="Arial"/>
          <w:sz w:val="17"/>
          <w:szCs w:val="17"/>
          <w:color w:val="auto"/>
        </w:rPr>
      </w:pPr>
    </w:p>
    <w:p>
      <w:pPr>
        <w:jc w:val="both"/>
        <w:ind w:left="-8" w:firstLine="656"/>
        <w:spacing w:after="0" w:line="263" w:lineRule="auto"/>
        <w:tabs>
          <w:tab w:leader="none" w:pos="127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32"/>
          </w:cols>
          <w:pgMar w:left="328" w:top="1440" w:right="339" w:bottom="1440" w:gutter="0" w:footer="0" w:header="0"/>
        </w:sectPr>
      </w:pPr>
    </w:p>
    <w:bookmarkStart w:id="400" w:name="page401"/>
    <w:bookmarkEnd w:id="400"/>
    <w:p>
      <w:pPr>
        <w:spacing w:after="0" w:line="144" w:lineRule="exact"/>
        <w:rPr>
          <w:sz w:val="20"/>
          <w:szCs w:val="20"/>
          <w:color w:val="auto"/>
        </w:rPr>
      </w:pPr>
    </w:p>
    <w:p>
      <w:pPr>
        <w:jc w:val="both"/>
        <w:ind w:right="20" w:firstLine="8"/>
        <w:spacing w:after="0" w:line="257" w:lineRule="auto"/>
        <w:tabs>
          <w:tab w:leader="none" w:pos="26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Holdco2 or the Company existing on the Closing Date;</w:t>
      </w:r>
    </w:p>
    <w:p>
      <w:pPr>
        <w:spacing w:after="0" w:line="133"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commence any material Proceeding;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make any capital expenditures or commitments, capital additions or capital improvements in excess of such amounts specified in the Pre-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Budget;</w:t>
      </w:r>
    </w:p>
    <w:p>
      <w:pPr>
        <w:spacing w:after="0" w:line="156" w:lineRule="exact"/>
        <w:rPr>
          <w:rFonts w:ascii="Arial" w:cs="Arial" w:eastAsia="Arial" w:hAnsi="Arial"/>
          <w:sz w:val="16"/>
          <w:szCs w:val="16"/>
          <w:color w:val="auto"/>
        </w:rPr>
      </w:pPr>
    </w:p>
    <w:p>
      <w:pPr>
        <w:ind w:firstLine="656"/>
        <w:spacing w:after="0" w:line="277" w:lineRule="auto"/>
        <w:tabs>
          <w:tab w:leader="none" w:pos="128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fail to keep or cause to be kept the material existing insurance policies (or substantial equivalents) of any member of the Company Group as in force on the Agreement Date;</w:t>
      </w:r>
    </w:p>
    <w:p>
      <w:pPr>
        <w:spacing w:after="0" w:line="116" w:lineRule="exact"/>
        <w:rPr>
          <w:rFonts w:ascii="Arial" w:cs="Arial" w:eastAsia="Arial" w:hAnsi="Arial"/>
          <w:sz w:val="18"/>
          <w:szCs w:val="18"/>
          <w:color w:val="auto"/>
        </w:rPr>
      </w:pPr>
    </w:p>
    <w:p>
      <w:pPr>
        <w:jc w:val="both"/>
        <w:ind w:firstLine="656"/>
        <w:spacing w:after="0" w:line="286" w:lineRule="auto"/>
        <w:tabs>
          <w:tab w:leader="none" w:pos="129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employ or use any contractor or consultant that, to the Company’s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spacing w:after="0" w:line="111" w:lineRule="exact"/>
        <w:rPr>
          <w:rFonts w:ascii="Arial" w:cs="Arial" w:eastAsia="Arial" w:hAnsi="Arial"/>
          <w:sz w:val="17"/>
          <w:szCs w:val="17"/>
          <w:color w:val="auto"/>
        </w:rPr>
      </w:pPr>
    </w:p>
    <w:p>
      <w:pPr>
        <w:jc w:val="both"/>
        <w:ind w:firstLine="656"/>
        <w:spacing w:after="0" w:line="255" w:lineRule="auto"/>
        <w:tabs>
          <w:tab w:leader="none" w:pos="12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authorize, agree or enter into an agreement to do any of the foregoing. Notwithstanding anything to the contrary in this Section 5.1, Acquirer, Seller and the Company Parties acknowledge and agree that (x) nothing in this Agreement shall give Acquirer, directly or indirectly, the right to control or direct the Company’s operations for purposes of the HSR Act prior to the expiration or termination of any applicable waiting period pursuant to the HSR Act, (y) no consent of Acquirer shall be required with respect to any matter set forth in this Agreement to the extent the requirement of such consent would violate any Antitrust Law, and (z) nothing in this Agreement shall prevent or limit the Pre-Closing Restructuring or the transactions contemplated thereby.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Acquisition Proposals.</w:t>
      </w:r>
    </w:p>
    <w:p>
      <w:pPr>
        <w:spacing w:after="0" w:line="171" w:lineRule="exact"/>
        <w:rPr>
          <w:sz w:val="20"/>
          <w:szCs w:val="20"/>
          <w:color w:val="auto"/>
        </w:rPr>
      </w:pPr>
    </w:p>
    <w:p>
      <w:pPr>
        <w:jc w:val="both"/>
        <w:ind w:firstLine="656"/>
        <w:spacing w:after="0" w:line="285" w:lineRule="auto"/>
        <w:tabs>
          <w:tab w:leader="none" w:pos="129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 Solicitation. Each of Seller and the Company Parties agrees that neither it nor any of its officers and directors shall, and that it shall use its reasonable best efforts to cause its employees, equityholders, controlled Affiliates, agents and Representatives (including any investment banker, attorney or accountant retained by it) not to (and shall not authorize any of them to) directly or indirectly: (i) solicit, initiate, encourage, facilitate, entertain, discuss or negotiate any offer or proposal for an Acquisition Proposal, or any of the foregoing which would be reasonably expected to lead to an Acquisition Proposal; (ii) 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 (iii) approve, agree to, accept, endorse or recommend any Acquisition Proposal; (iv) enter into any letter of intent or similar document or any Contract, agreement or commitment contemplating or otherwise relating to any Acquisition Proposal; or (v) submit any Acquisition Proposal to the vote of the stockholder of any Company Party. Each of Seller and each Company Party will immediately (x) cease any and all existing activities, discussions or negotiations with any Third Parties conducted heretofore with respect to any Acquisition Proposal and (y) revoke or withdraw access of any Person (other than Acquirer, its Affiliates, agents and Representatives) to any data room (virtual or actual) containing any non-public information with respect to the Company Parties in connection with an Acquisition Proposal and request from each such Person the prompt return or destruction of all non-public information with respect to the Company Parties previously provided to such Person in connection with an Acquisition Proposal; provided, however, that nothing in this Section 5.2(a) shall preclude Seller or its Representatives from contacting any Person solely for the purpose of complying with the provisions of the first clause of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jc w:val="both"/>
        <w:ind w:left="-340" w:firstLine="656"/>
        <w:spacing w:after="0" w:line="253" w:lineRule="auto"/>
        <w:tabs>
          <w:tab w:leader="none" w:pos="95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Notification of Unsolicited Acquisition Proposals. As promptly as practicable (and in any event within one Business Day) after receipt of any offer or proposal (formal or informal) relating to, or that would reasonably be expected to lead to, an Acquisition Proposal or any request for nonpublic information or inquiry related to or which would reasonably be expected to lead to an Acquisition Proposal, each of Seller, Holdco2 and the Company, as applicable, shall, provide Acquirer with written notice and the material details thereof, including the identity of the Person or group (within the meaning of Section 13(d)(3) of the Exchange Act) making any such Acquisition Proposal, request, inquiry or contact as well as a copy of any such Acquisition Proposal, indication, inquiry or request (or, where given orally to Seller, Holdco2 or the Company, a description of such Acquisition Proposal) and will keep Acquirer reasonably informed on a current basis of the status and details of any such offer or proposal and of any modifications to the terms thereof, provided, however, that this provision will not in any way be deemed to limit the obligations of Seller, Holdco2 or the Company and its respective Representatives set forth in Section 5.2(a).</w:t>
      </w:r>
    </w:p>
    <w:p>
      <w:pPr>
        <w:spacing w:after="0" w:line="142" w:lineRule="exact"/>
        <w:rPr>
          <w:rFonts w:ascii="Arial" w:cs="Arial" w:eastAsia="Arial" w:hAnsi="Arial"/>
          <w:sz w:val="18"/>
          <w:szCs w:val="18"/>
          <w:color w:val="auto"/>
        </w:rPr>
      </w:pPr>
    </w:p>
    <w:p>
      <w:pPr>
        <w:ind w:left="-340" w:right="20" w:firstLine="656"/>
        <w:spacing w:after="0" w:line="277" w:lineRule="auto"/>
        <w:tabs>
          <w:tab w:leader="none" w:pos="9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Acknowledgement. Each of Seller, the Company Parties and Acquirer acknowledge that this Section 5.2 was a significant inducement for Acquirer to enter into this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Proxy Statement and Other SEC Filings; Acquirer Stockholder Meeting.</w:t>
      </w:r>
    </w:p>
    <w:p>
      <w:pPr>
        <w:spacing w:after="0" w:line="171" w:lineRule="exact"/>
        <w:rPr>
          <w:sz w:val="20"/>
          <w:szCs w:val="20"/>
          <w:color w:val="auto"/>
        </w:rPr>
      </w:pPr>
    </w:p>
    <w:p>
      <w:pPr>
        <w:jc w:val="both"/>
        <w:ind w:left="-340" w:firstLine="656"/>
        <w:spacing w:after="0" w:line="285" w:lineRule="auto"/>
        <w:tabs>
          <w:tab w:leader="none" w:pos="9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(but in no event later than the 60th day immediately following the date hereof), Acquirer shall prepare (and Seller and the Company Parties shall provide reasonable assistance in connection therewith), and Acquirer shall file with the SEC, a proxy statement relating to the Acquirer Stockholder Approval and the nomination and appointment of the Specified Designees to the Acquirer Board for terms that expire no earlier than the end of the Second Milestone Period (the “Proxy Statement”). Acquirer shall use its reasonable best efforts to ensure that the Proxy Statement complies in all material respects with the applicable provisions of the Exchange Act. Acquirer shall use its reasonable best efforts to cause the Proxy Statement to be mailed to the holders of Acquirer Stock as promptly as practicable following the date on which Acquirer files with the SEC the Proxy Statement in definitive form, following confirmation from the staff of the SEC (whether orally or in writing) that the comment process with respect to the Proxy Statement, if any, has concluded. Acquirer shall promptly (and in any event within one Business Day) notify Seller upon the receipt of any comments from the SEC or any request from the SEC for amendments or supplements to the Proxy Statement, and shall, as promptly as practicable after receipt thereof, provide Seller with copies of all correspondences between it and its Representatives, on the one hand, and the SEC, on the other hand, and all written comments with respect to the Proxy Statement received from the SEC and advise Seller of any oral comments with respect to the Proxy Statement received from the SEC. Acquirer shall use its reasonable best efforts to respond as promptly as practicable to any comments received from the SEC with respect to the Proxy Statement. Notwithstanding the foregoing, prior to mailing in definitive form the Proxy Statement (or any amendment or supplement thereto), or responding to any comments received from the SEC with respect thereto, Acquirer shall provide Seller a reasonable opportunity to review and comment on such document or response (including the proposed final version of such document or response). Seller and the Company Parties shall reasonably cooperate to prepare appropriate responses thereto (and will provide each other with copies of any such responses given to the SEC) and make such modifications to the Proxy Statement as shall be reasonably appropriate.</w:t>
      </w:r>
    </w:p>
    <w:p>
      <w:pPr>
        <w:spacing w:after="0" w:line="119" w:lineRule="exact"/>
        <w:rPr>
          <w:rFonts w:ascii="Arial" w:cs="Arial" w:eastAsia="Arial" w:hAnsi="Arial"/>
          <w:sz w:val="16"/>
          <w:szCs w:val="16"/>
          <w:color w:val="auto"/>
        </w:rPr>
      </w:pPr>
    </w:p>
    <w:p>
      <w:pPr>
        <w:jc w:val="both"/>
        <w:ind w:left="-340" w:firstLine="656"/>
        <w:spacing w:after="0" w:line="269" w:lineRule="auto"/>
        <w:tabs>
          <w:tab w:leader="none" w:pos="95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Parties shall reasonably cooperate in preparing and filing with the SEC the Proxy Statement and any necessary amendments or supplements thereto. Seller and the Company Parties shall furnish all information concerning Seller, the Company Group and the Business (including any audited and unaudited financial statements of the Company Group that may be required under Regulation S-X), as required under applicable securities laws in connection with (i) the preparation, filing and distribution of the Proxy Statement and any necessary amendments or supplements thereto, (ii) the preparation and filing of a Current Report on Form 8-K reporting the Closing and any necessary amendments thereto (the “Closing 8-K”) and (iii) the preparation, filing and distribution of any registration statement and related prospectus registering the resale of the shares of Acquirer Stock issued as the Stock Consideration and any necessary amendment or supplements thereto (the “Resale Registration Documents” and, together with the Proxy Statement and the Closing 8-K, the “Applicable SEC Filings”). Seller shall use its reasonable best efforts to obtain any necessary written consent of the auditor of the audited financial statements of the Company Group for the inclusion of its audit report on such audited financial statements in the Applicable SEC Filings for which such consent is required in order for such audit report to be included in such filing. Acquirer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0"/>
          </w:cols>
          <w:pgMar w:left="660" w:top="1440" w:right="339" w:bottom="1440" w:gutter="0" w:footer="0" w:header="0"/>
        </w:sectPr>
      </w:pPr>
    </w:p>
    <w:bookmarkStart w:id="402" w:name="page403"/>
    <w:bookmarkEnd w:id="40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file or mail the Proxy Statement or any amendment or supplement thereto to stockholders without the written consent of Seller (such consent not to be unreasonably withheld, conditioned or delayed).</w:t>
      </w:r>
    </w:p>
    <w:p>
      <w:pPr>
        <w:spacing w:after="0" w:line="116" w:lineRule="exact"/>
        <w:rPr>
          <w:sz w:val="20"/>
          <w:szCs w:val="20"/>
          <w:color w:val="auto"/>
        </w:rPr>
      </w:pPr>
    </w:p>
    <w:p>
      <w:pPr>
        <w:jc w:val="both"/>
        <w:ind w:firstLine="656"/>
        <w:spacing w:after="0" w:line="269" w:lineRule="auto"/>
        <w:tabs>
          <w:tab w:leader="none" w:pos="129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Proxy Statement shall state that the Acquirer Board has approved this Agreement and the Transactions, approved and declared advisable the issuance of shares of Acquirer Stock contemplated by this Agreement and include (i) the recommendation of the Acquirer Board to vote in favor thereof and (ii) the recommendation of the Acquirer Board to vote in favor of the appointment of the Specified Designees to the Acquirer Board for terms that expire no earlier than the end of the Second Milestone Period (the Acquirer Board recommendations described in this clause (ii) and the immediately preceding clause (i), collectively, the “Acquirer Board Recommendation”) and (iii) any other proposal that the Acquirer Board reasonably deems necessary or advisable to consummate the Transactions. None of the Acquirer Board or any duly authorized committee thereof shall (i) fail to include in the Proxy Statement the Acquirer Board Recommendation or fail to make the Acquirer Board Recommendation; (ii) change, modify, withhold, qualify or withdraw, or resolve or propose publicly to change, modify, withhold, qualify or withdraw, in each case, in a manner adverse to Seller or the Company Parties, the Acquirer Board Recommendation; or (iii) fail to publicly reaffirm the Acquirer Board Recommendation, in each case, within 10 Business Days after any written request of Seller to do so.</w:t>
      </w:r>
    </w:p>
    <w:p>
      <w:pPr>
        <w:spacing w:after="0" w:line="131" w:lineRule="exact"/>
        <w:rPr>
          <w:rFonts w:ascii="Arial" w:cs="Arial" w:eastAsia="Arial" w:hAnsi="Arial"/>
          <w:sz w:val="17"/>
          <w:szCs w:val="17"/>
          <w:color w:val="auto"/>
        </w:rPr>
      </w:pPr>
    </w:p>
    <w:p>
      <w:pPr>
        <w:jc w:val="both"/>
        <w:ind w:firstLine="656"/>
        <w:spacing w:after="0" w:line="255" w:lineRule="auto"/>
        <w:tabs>
          <w:tab w:leader="none" w:pos="129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Acquirer shall advise Seller promptly after receiving oral or written notice of (i) any requirement that Acquirer supplement or amend the Proxy Statement (whether to correct a misstatement or omission to state a material fact or otherwise) or (ii) any oral or written request by the SEC for amendment of the Proxy Statement or SEC comments thereon or requests by the SEC for additional information. Acquirer shall promptly provide Seller with copies of any written communication from the SEC with respect to the Proxy Statement and Acquirer, Seller and the Company Parties shall cooperate to prepare appropriate responses thereto (and will provide each other with copies of any such responses given to the SEC) and make such modifications to the Proxy Statement as shall be reasonably appropriate.</w:t>
      </w:r>
    </w:p>
    <w:p>
      <w:pPr>
        <w:spacing w:after="0" w:line="138"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at any time prior to the Effective Time, any event or circumstance shall be discovered by a Party that should be set forth in an amendment or a supplement to the Proxy Statement so that any such document would not include any misstatement of a material fact or fail to state any material fact necessary to make the statements therein, in light of the circumstances under which they were made, not misleading, such Party shall promptly inform the other parties hereto and the Parties shall cause an appropriate amendment or supplement describing such information to be promptly filed with the SEC and, in the case of Acquirer to the extent required by Law, disseminated to stockholders.</w:t>
      </w:r>
    </w:p>
    <w:p>
      <w:pPr>
        <w:spacing w:after="0" w:line="122" w:lineRule="exact"/>
        <w:rPr>
          <w:rFonts w:ascii="Arial" w:cs="Arial" w:eastAsia="Arial" w:hAnsi="Arial"/>
          <w:sz w:val="17"/>
          <w:szCs w:val="17"/>
          <w:color w:val="auto"/>
        </w:rPr>
      </w:pPr>
    </w:p>
    <w:p>
      <w:pPr>
        <w:jc w:val="both"/>
        <w:ind w:firstLine="656"/>
        <w:spacing w:after="0" w:line="259" w:lineRule="auto"/>
        <w:tabs>
          <w:tab w:leader="none" w:pos="128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of Seller, the Company Parties and Acquirer shall use its reasonable best efforts to (i) cooperate with the other party to prepare pro forma financial statements that comply with the rules and regulations of the SEC to the extent required for the Applicable SEC Filings, including the requirements of Regulation S-X, and (ii) provide and make reasonably available upon reasonable notice the senior management employees of the other party to discuss the materials prepared and delivered pursuant to this Section 5.3(f).</w:t>
      </w:r>
    </w:p>
    <w:p>
      <w:pPr>
        <w:spacing w:after="0" w:line="132"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Acquirer shall take all lawful action to call, give notice of, convene and hold a meeting of its stockholders (the “Acquirer Stockholders’ Meeting”) as promptly as practicable following the date on which the SEC clears (whether orally or in writing) the Proxy Statement for the purpose of obtaining the Acquirer Stockholder Approval and approving the appointment of the Specified Designees to the Acquirer Board, which meeting shall be held not later than 35 days following the date on which the Proxy Statement is first mailed (or made available in accordance with Rule 14a-16 under the Exchange Act) to Acquirer’s stockholders. Acquirer shall include in the Proxy Statement the Acquirer Board Recommendation and solicit and use its reasonable best efforts to obtain the Acquirer Stockholder Approval. If, on a date for which the Acquirer Stockholders’ Meeting is scheduled, Acquirer shall have not received proxies representing a sufficient number of shares of outstanding Acquirer Stock to obtain the Acquirer Stockholder Approval, or if necessary to make or modify any disclosure contained in the Proxy Statement in order to comply with applicable Law (as determined in good faith by the Acquirer Board, after consultation with its outside legal counsel), irrespective of whether a quorum is present, Acquirer shall have the right to announce one or more successive postponements or adjournments of the Acquirer Stockholders’ Meeting; provided that the Acquirer Stockholders’ Meeting is not postponed or adjourned, in the aggregate, to a date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than thirty (30) days after the date for which the Acquirer Stockholders’ Meeting initially was scheduled (excluding, however, any adjournments or postponements required by applicable Law).</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Confidentiality; Public Disclosure</w:t>
      </w:r>
      <w:r>
        <w:rPr>
          <w:rFonts w:ascii="Arial" w:cs="Arial" w:eastAsia="Arial" w:hAnsi="Arial"/>
          <w:sz w:val="17"/>
          <w:szCs w:val="17"/>
          <w:color w:val="auto"/>
        </w:rPr>
        <w:t>. The Parties acknowledge that Seller and Acquirer have previously executed the Confidentiality Agreement and that, effective as of the Closing, the Confidentiality Agreement shall terminate and shall be of no further force or effect with no surviving obligations. No Company Party or Seller, on the one hand, or any Acquirer Party, on the other hand, in each case, directly or indirectly through their respective Representatives or any other Person shall issue any press release or other public statement or announcement regarding this Agreement, the Ancillary Agreements or the Transactions without, in the case of a press release or statement by any Company Party or Seller, the consent (not to be unreasonably withheld, conditioned or delayed) of Acquirer, or, in the case of a press release or statement by any Acquirer Party, the consent (not to be unreasonably withheld, conditioned or delayed) of Seller. Notwithstanding anything to the contrary in the foregoing, a Party shall be permitted to disclose any and all terms to its financial, tax and legal advisors (each of whom is subject to a similar obligation of confidentiality), and to any Governmental Authority or administrative agency to the extent necessary or advisable in compliance with applicable Law and the rules of a national stock exchange on which such Party’s capital stock is traded.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Access; Copy of VDR</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129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Subject to applicable Law and upon reasonable notice, each of Seller and the Company Parties shall afford Acquirer and its employees, attorneys, accountants, consultants, Representatives and other advisors and agents reasonable access, during normal business hours during the Pre-Closing Period, to the Company Group’s properties, books, contracts and records and appropriate individuals as Acquirer may reasonably request (including employees, attorneys, accountants, consultants and other professionals, in each case subject to applicable privilege), in each case concerning the business, properties and personnel of the Company Group, and during the Pre-Closing Period, each of Seller and the Company Parties shall reasonably promptly furnish to Acquirer such information concerning the business, properties and personnel of the Company Group as Acquirer may reasonably request; provided that each of Seller and the Company Parties may restrict the foregoing access to the extent that (i) any applicable Law requires such Party or its Subsidiaries to restrict or prohibit access to any such properties or information to Acquirer, (ii) such access would give rise to a risk of waiving any attorney-client privilege, work product doctrine or other applicable privilege applicable to such documents or information or (iii) such access would be in breach of any confidentiality obligation, commitment or provision by which Seller or any member of the Company Group, as applicable, is bound or affected as of the Agreement Date, which confidentiality obligation, commitment or provision shall be disclosed to Acquirer; provided, that Seller and the applicable Company Party: (x) will be entitled to withhold only such information that may not be provided without causing such waiver; and (y) at the request of Acquirer, will reasonably cooperate with Acquirer and use its commercially reasonable efforts to obtain the consent or waiver of any third party to the disclosure in full of all such information to Acquirer. With respect to the furnishing by Seller or the Company Parties of competitively sensitive information, outside antitrust counsel will be consulted prior to the exchange of such information, and such information shall not be exchanged to the extent such counsel to Seller or the applicable Company Party reasonably advises against such exchange. In addition, any information obtained from Seller or the Company Parties pursuant to the access contemplated by this Section 5.5 shall be subject to the Confidentiality Agreement. Any access to any of Seller’s, or any member of the Company Group’s facilities shall be subject to, as applicable, Seller’s, or such member of the Company Group’s reasonable security and health-related measures and the requirements of the applicable Leases, and shall not include the right to perform any invasive testing or soil, air and groundwater sampling, including, any environmental assessment.</w:t>
      </w:r>
    </w:p>
    <w:p>
      <w:pPr>
        <w:spacing w:after="0" w:line="127" w:lineRule="exact"/>
        <w:rPr>
          <w:rFonts w:ascii="Arial" w:cs="Arial" w:eastAsia="Arial" w:hAnsi="Arial"/>
          <w:sz w:val="16"/>
          <w:szCs w:val="16"/>
          <w:color w:val="auto"/>
        </w:rPr>
      </w:pPr>
    </w:p>
    <w:p>
      <w:pPr>
        <w:jc w:val="both"/>
        <w:ind w:firstLine="656"/>
        <w:spacing w:after="0" w:line="293" w:lineRule="auto"/>
        <w:tabs>
          <w:tab w:leader="none" w:pos="129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After the Closing, Seller agrees to provide, or cause to be provided, to Acquirer, the Surviving Entity or their designated Affiliate, as soon as reasonably practicable after written request therefor, reasonable access during normal business hours, to its and its Affiliates’ employees (without unreasonable disruption of employment) and to such books, records, documents and files in the possession or under the control of the Seller or its Affiliates to Acquirer, the Surviving Entity or their designated Affiliate to the extent reasonably required by Acquirer or the Surviving Entity (i) in order to comply with reporting, disclosure, filing or other similar requirements imposed on Acquirer, the Surviving Entity or their respective Affiliates under applicable Laws or (ii) in connection with any Proceeding related to the Business; provided that Seller shall not be required to provide access to or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where such access or disclosure would violate any Law or agreement, or waive any attorney client or other similar privilege, and may redact information regarding itself or its Subsidiaries or otherwise not relating to Business, and, in the event such provision of information could reasonably be expected to violate any Law or agreement or waive any attorney client or other similar privilege, the Parties shall take all reasonable measures to permit the compliance with such obligations in a manner that avoids any such harm or consequence.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Regulatory Approval; Reasonable Best Efforts.</w:t>
      </w:r>
    </w:p>
    <w:p>
      <w:pPr>
        <w:spacing w:after="0" w:line="171" w:lineRule="exact"/>
        <w:rPr>
          <w:sz w:val="20"/>
          <w:szCs w:val="20"/>
          <w:color w:val="auto"/>
        </w:rPr>
      </w:pPr>
    </w:p>
    <w:p>
      <w:pPr>
        <w:jc w:val="both"/>
        <w:ind w:firstLine="656"/>
        <w:spacing w:after="0" w:line="270" w:lineRule="auto"/>
        <w:tabs>
          <w:tab w:leader="none" w:pos="129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Each of the Parties shall coordinate and cooperate with one another and shall each use reasonable best efforts to comply with, and shall each refrain from taking any action that would impede compliance with, applicable Laws, and as soon as reasonably practicable and advisable after the Agreement Date, each of the Parties shall make all filings, notices, petitions, statements, registrations, submissions of information, applications or submissions of other documents required by any Governmental Authority in connection with the Mergers and the other Transactions, including (i) Notification and Report Forms with the United States Federal Trade Commission (the “FTC”) and the Antitrust Division of the United States Department of Justice (“DOJ”) as required by the HSR Act (the “HSR Filings”), and (ii) any filings required under the Securities Act of 1933, as amended, the Securities Exchange Act of 1934, as amended, any applicable state or securities or “blue sky” laws and the securities laws of any foreign country, or any other applicable Law relating to the Mergers. Each Party will cause all documents that such Party is responsible for filing with any Governmental Authority under this Section 5.6 to comply in all material respects with all applicable Law.</w:t>
      </w:r>
    </w:p>
    <w:p>
      <w:pPr>
        <w:spacing w:after="0" w:line="126" w:lineRule="exact"/>
        <w:rPr>
          <w:rFonts w:ascii="Arial" w:cs="Arial" w:eastAsia="Arial" w:hAnsi="Arial"/>
          <w:sz w:val="17"/>
          <w:szCs w:val="17"/>
          <w:color w:val="auto"/>
        </w:rPr>
      </w:pPr>
    </w:p>
    <w:p>
      <w:pPr>
        <w:jc w:val="both"/>
        <w:ind w:firstLine="656"/>
        <w:spacing w:after="0" w:line="286" w:lineRule="auto"/>
        <w:tabs>
          <w:tab w:leader="none" w:pos="129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Acquirer agrees to use reasonable best efforts to promptly take any and all steps necessary to avoid or eliminate each and every impediment under the HSR Act and any other applicable Antitrust Law that may be asserted by any Governmental Authority or any other Person so as to enable the Parties to expeditiously close the Transactions. For the avoidance of doubt and notwithstanding anything else in this agreement, Acquirer shall not be required to (i) propose, negotiate, commit to or effect, by consent decree, hold, separate order, or otherwise, the sale, the divestiture or disposition of any of its assets, properties or businesses, including those of Affiliates, or of the assets, properties or businesses to be acquired by it pursuant to this Agreement, and (ii) otherwise taking or committing to take actions that after the Closing Date would limit Acquirer’s or its Affiliates’ freedom of action with respect to, or its or their ability to retain, one or more of the businesses, product lines or assets of the Company (the foregoing actions individual and in the aggregate being “Remedial Actions”), in each case, as may be required in order to avoid the entry of, or to effect the dissolution of, any preliminary or permanent injunction, in any Proceeding under the HSR Act or any other Antitrust Law, which would otherwise have the effect of preventing or delaying the Closing, unless such Remedial Actions would not, individually or in the aggregate, reasonably be expected to be materially detrimental to the benefits to be derived by Acquirer and its Affiliates as a result of the Mergers and the other Transactions. Further, Acquirer and its Affiliates shall not be obligated to contest, administratively or in court, any litigated Proceeding under the HSR Act or any other Antitrust Law seeking to enjoin the Mergers and the other Transactions, or to impose any Remedial Actions upon the Acquirer, Seller or the Company and their respective Affiliates.</w:t>
      </w:r>
    </w:p>
    <w:p>
      <w:pPr>
        <w:spacing w:after="0" w:line="119" w:lineRule="exact"/>
        <w:rPr>
          <w:rFonts w:ascii="Arial" w:cs="Arial" w:eastAsia="Arial" w:hAnsi="Arial"/>
          <w:sz w:val="16"/>
          <w:szCs w:val="16"/>
          <w:color w:val="auto"/>
        </w:rPr>
      </w:pPr>
    </w:p>
    <w:p>
      <w:pPr>
        <w:jc w:val="both"/>
        <w:ind w:firstLine="656"/>
        <w:spacing w:after="0" w:line="269" w:lineRule="auto"/>
        <w:tabs>
          <w:tab w:leader="none" w:pos="129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Each of the Parties shall work together and promptly supply the other with any information which may be required and reasonable assistance as the other may request in order to effectuate any filings or applications pursuant to Section 5.6. Except where prohibited by applicable Antitrust Laws relating to the exchange of information, and subject to the Confidentiality Agreement, each of Seller and the Company Parties, on one hand, and Acquirer,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this Agreement or the Transactions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this Agreement or the Transactions (though sensitive negotiation and deal valuation materials may be redacted); provided that the final determination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strategy for dealing with the FTC, the DOJ or any other applicable Governmental Authority shall be made by Acquirer.</w:t>
      </w:r>
    </w:p>
    <w:p>
      <w:pPr>
        <w:spacing w:after="0" w:line="171" w:lineRule="exact"/>
        <w:rPr>
          <w:sz w:val="20"/>
          <w:szCs w:val="20"/>
          <w:color w:val="auto"/>
        </w:rPr>
      </w:pPr>
    </w:p>
    <w:p>
      <w:pPr>
        <w:jc w:val="both"/>
        <w:ind w:firstLine="656"/>
        <w:spacing w:after="0" w:line="259" w:lineRule="auto"/>
        <w:tabs>
          <w:tab w:leader="none" w:pos="12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Further, neither Party shall participate in any meeting or material discussion with any Governmental Authorities with respect to any such filings, applications, investigation, or other inquiry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spacing w:after="0" w:line="132" w:lineRule="exact"/>
        <w:rPr>
          <w:rFonts w:ascii="Arial" w:cs="Arial" w:eastAsia="Arial" w:hAnsi="Arial"/>
          <w:sz w:val="18"/>
          <w:szCs w:val="18"/>
          <w:color w:val="auto"/>
        </w:rPr>
      </w:pPr>
    </w:p>
    <w:p>
      <w:pPr>
        <w:jc w:val="both"/>
        <w:ind w:firstLine="656"/>
        <w:spacing w:after="0" w:line="279" w:lineRule="auto"/>
        <w:tabs>
          <w:tab w:leader="none" w:pos="129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Acquirer and Seller shall equally split (i) all filing fees and local counsel fees payable in connection with the filings described in this Section, and (ii) all fees of economists and any other expert fees deemed advisable or necessary by counsel for the Parties in connection with compliance with a “second request” issued by the FTC or DOJ pursuant to the HSR Act, or to respond to any investigation of the agreements contemplated herein by a Governmental Authority prior to Closing. (with Holdco2’s portion of such fees being included in Transaction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Third-Party Consents; Notices; Seller Contracts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3" w:lineRule="auto"/>
        <w:tabs>
          <w:tab w:leader="none" w:pos="129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Promptly after the Agreement Date, following consultation with Acquirer, Seller or the applicable Company Party will send each notice and will use their respective commercially reasonable efforts to obtain all consents, waivers and approvals from all Persons that are necessary for the execution and delivery of, and the performance of its obligations pursuant to, this Agreement and the Ancillary Agreements, including under any Permit or Contract whereby the consummation of the Transactions would, in the absence of the Consent of a third party, constitute or give rise to (A) a breach of applicable Law or such Contract; (B) loss of any material rights or benefits under such Contract; or (C) an entitlement to accelerate, terminate, forfeit or dispose of such Contract. Such notices, consents, waivers and approvals will be in a form reasonably acceptable to Acquirer.</w:t>
      </w:r>
    </w:p>
    <w:p>
      <w:pPr>
        <w:spacing w:after="0" w:line="123" w:lineRule="exact"/>
        <w:rPr>
          <w:rFonts w:ascii="Arial" w:cs="Arial" w:eastAsia="Arial" w:hAnsi="Arial"/>
          <w:sz w:val="17"/>
          <w:szCs w:val="17"/>
          <w:color w:val="auto"/>
        </w:rPr>
      </w:pPr>
    </w:p>
    <w:p>
      <w:pPr>
        <w:jc w:val="both"/>
        <w:ind w:firstLine="656"/>
        <w:spacing w:after="0" w:line="290" w:lineRule="auto"/>
        <w:tabs>
          <w:tab w:leader="none" w:pos="129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 respect to the Seller Contracts, prior to the Closing Date, the Company shall use its commercially reasonable efforts to enter into new Contracts on substantially similar terms as the Seller Contracts with the respective Third Parties thereto, including such new Contracts with respect to the Seller Contracts to which Top Customers, Top Suppliers and Top Payors are parties (such new Contracts with Top Customers, Top Suppliers and Top Payors, “Required Closing Contracts” ). If any Seller Contract is not Transferred on or prior to the Closing Date, Seller hereby agrees to use commercially reasonable efforts in cooperation with Acquirer to (i) implement arrangements (including subleasing, sublicensing or subcontracting) (A) to provide the underlying rights and benefits of the Company to Acquirer, the Surviving Entity and their designated Affiliates and (B) for the Surviving Entity or Acquirer or their designated Affiliate to assume all Company obligations thereunder and (ii) obtain any requisite Consent, substitution, novation, or amendment required to Transfer the portion of the Seller Contract attributable to the Business to Acquirer, the Surviving Entity, or their designated Affiliate.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Developments.</w:t>
      </w:r>
    </w:p>
    <w:p>
      <w:pPr>
        <w:spacing w:after="0" w:line="171"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During the Pre-Closing Period:</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of Acquirer, on the one hand, and Seller and the Company Parties, on the other, will promptly advise the other Party in writing of any event or circumstance that would reasonably be expected to result in any representation or warranty made by it in this Agreement becoming untrue or inaccurate in any material respect so as to cause the Closing conditions set forth in Section 6.1 or in Section 6.2 or Section 6.3, respectively, to fail to be satisfied.</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93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of Acquirer, on the one hand, and Seller and the Company Parties, on the other, will promptly advise the other Party in writing of any event or circumstance that would reasonably be expected to result in the failure by it to comply with or satisfy any covenant, condition or agreement to be complied with or satisfied by it under this Agreement prior to the Effective Time in any respect so as to cause the Closing conditions set forth in Section 6.1 or in Section 6.2 or Section 6.3, respectively, to fail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4" w:lineRule="exact"/>
        <w:rPr>
          <w:sz w:val="20"/>
          <w:szCs w:val="20"/>
          <w:color w:val="auto"/>
        </w:rPr>
      </w:pPr>
    </w:p>
    <w:p>
      <w:pPr>
        <w:ind w:right="20" w:firstLine="1304"/>
        <w:spacing w:after="0" w:line="308" w:lineRule="auto"/>
        <w:tabs>
          <w:tab w:leader="none" w:pos="194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Seller or Holdco2, as applicable, will promptly advise Acquirer in writing of any change or event having, or which is reasonably likely to have, alone or in combination with other changes or events, a Material Adverse Effect with respect to the Company Group.</w:t>
      </w:r>
    </w:p>
    <w:p>
      <w:pPr>
        <w:spacing w:after="0" w:line="92" w:lineRule="exact"/>
        <w:rPr>
          <w:rFonts w:ascii="Arial" w:cs="Arial" w:eastAsia="Arial" w:hAnsi="Arial"/>
          <w:sz w:val="17"/>
          <w:szCs w:val="17"/>
          <w:color w:val="auto"/>
        </w:rPr>
      </w:pPr>
    </w:p>
    <w:p>
      <w:pPr>
        <w:jc w:val="both"/>
        <w:ind w:firstLine="1304"/>
        <w:spacing w:after="0" w:line="257" w:lineRule="auto"/>
        <w:tabs>
          <w:tab w:leader="none" w:pos="193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Seller or Holdco2, as applicable, will promptly advise Acquirer in writing of any Proceeding initiated by or against any member of the Company Group or, to the Company’s Knowledge, any Proceeding threatened against any member of the Company Group, or brought or threatened against any director, officer, or equityholder of any member of the Company Group, in each case in its capacity as such (a “New Litigation Claim”), and notify Acquirer of ongoing material developments in any New Litigation Claim and consult in good faith with Acquirer regarding the conduct of the defense of any New Litigation Claim.</w:t>
      </w:r>
    </w:p>
    <w:p>
      <w:pPr>
        <w:spacing w:after="0" w:line="133" w:lineRule="exact"/>
        <w:rPr>
          <w:rFonts w:ascii="Arial" w:cs="Arial" w:eastAsia="Arial" w:hAnsi="Arial"/>
          <w:sz w:val="18"/>
          <w:szCs w:val="18"/>
          <w:color w:val="auto"/>
        </w:rPr>
      </w:pPr>
    </w:p>
    <w:p>
      <w:pPr>
        <w:jc w:val="both"/>
        <w:ind w:firstLine="1304"/>
        <w:spacing w:after="0" w:line="263" w:lineRule="auto"/>
        <w:tabs>
          <w:tab w:leader="none" w:pos="193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Seller or Holdco2, as applicable, will promptly advise Acquirer in writing of any written notice from any Person (from which Acquirer and Seller shall have not previously determined to obtain consent), alleging that the consent of such Person is or may be required in connection with the Mergers.</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3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Seller or Holdco2, as applicable, will deliver to Acquirer as soon as practicable, but in any event within three Business Days, of applicable Governmental Authority contact, copies of any associated correspondence. Neither the Seller, Holdco2 or any member of the Company Group shall have any further communication with such Applicable Government Authority without prior written notice to Acquirer.</w:t>
      </w:r>
    </w:p>
    <w:p>
      <w:pPr>
        <w:spacing w:after="0" w:line="111" w:lineRule="exact"/>
        <w:rPr>
          <w:rFonts w:ascii="Arial" w:cs="Arial" w:eastAsia="Arial" w:hAnsi="Arial"/>
          <w:sz w:val="17"/>
          <w:szCs w:val="17"/>
          <w:color w:val="auto"/>
        </w:rPr>
      </w:pPr>
    </w:p>
    <w:p>
      <w:pPr>
        <w:jc w:val="both"/>
        <w:ind w:firstLine="656"/>
        <w:spacing w:after="0" w:line="259" w:lineRule="auto"/>
        <w:tabs>
          <w:tab w:leader="none" w:pos="129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notification pursuant to this Section 5.8 will be deemed to prevent or cure any breach of, or inaccuracy in, amend or supplement any Section of the Company Disclosure Schedules or the Acquirer Disclosure Schedules, or otherwise disclose an exception to, or affect in any manner, the representations, warranties, covenants or agreements of the Parties (or remedies with respect thereto) or the conditions to the obligations of the parties under this Agreement or the Ancillary Agreements.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Regulatory Matters</w:t>
      </w:r>
      <w:r>
        <w:rPr>
          <w:rFonts w:ascii="Arial" w:cs="Arial" w:eastAsia="Arial" w:hAnsi="Arial"/>
          <w:sz w:val="17"/>
          <w:szCs w:val="17"/>
          <w:color w:val="auto"/>
        </w:rPr>
        <w:t>. During the Pre-Closing Period, the Seller and the Company Parties shall use and shall cause their respective Affiliates to use commercially reasonable efforts to make available to Acquirer and its Representatives, as and to the extent requested by Acquirer, complete and accurate copies of all written correspondence between any member of the Company Group, on the one hand, and the applicable Regulatory Authorities, on the other, other than routine, non-material communications in the Ordinary Course of Business, that is or comes into the Seller’s, its Affiliates’ or the Company Group’s possession or control during the Pre-Closing Period promptly after Seller or the Company Parties obtain such possession or control thereof, except to the extent any such material is immaterial to the Company Group. The Company Parties shall, and shall cause their respective Representatives to consult and reasonably cooperate with Acquirer, as and to the extent reasonably requested by Acquirer, and take into good faith consideration the views of Acquirer in connection with any clinical and preclinical trials and any regulatory filings, and any communications with any Regulatory Authority, in each case with respect to the Company Group, during the Pre-Closing Period.</w:t>
      </w:r>
    </w:p>
    <w:p>
      <w:pPr>
        <w:spacing w:after="0" w:line="12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Delivery of Financial Statements</w:t>
      </w:r>
      <w:r>
        <w:rPr>
          <w:rFonts w:ascii="Arial" w:cs="Arial" w:eastAsia="Arial" w:hAnsi="Arial"/>
          <w:sz w:val="17"/>
          <w:szCs w:val="17"/>
          <w:color w:val="auto"/>
        </w:rPr>
        <w:t xml:space="preserve">. During the Pre-Closing Period, Seller or Holdco2 will deliver to Acquirer, (a) not later than eight Business Days after the end of each calendar month, an unaudited consolidated balance sheet as of the end of such month and unaudited consolidated statements of operations and cash flows for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cash flow statements need only be included on a quarterly basis; and (b)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Closing, audited consolidated financial statements, including consolidated balance sheets and consolidated statements of income, changes in stockholder equity, and cash flows, of the Company Group for the twelve (12) months ended December 31, 2021 prepared in accordance with the Accounting Standards (the “</w:t>
      </w:r>
      <w:r>
        <w:rPr>
          <w:rFonts w:ascii="Arial" w:cs="Arial" w:eastAsia="Arial" w:hAnsi="Arial"/>
          <w:sz w:val="17"/>
          <w:szCs w:val="17"/>
          <w:b w:val="1"/>
          <w:bCs w:val="1"/>
          <w:i w:val="1"/>
          <w:iCs w:val="1"/>
          <w:color w:val="auto"/>
        </w:rPr>
        <w:t>Interim Financial Statements</w:t>
      </w:r>
      <w:r>
        <w:rPr>
          <w:rFonts w:ascii="Arial" w:cs="Arial" w:eastAsia="Arial" w:hAnsi="Arial"/>
          <w:sz w:val="17"/>
          <w:szCs w:val="17"/>
          <w:color w:val="auto"/>
        </w:rPr>
        <w:t>”), and provide such additional supporting or related information as may be reasonably requested by Acquirer in respect of such Interim Financial Statements. Holdco2 covenants and agrees that such financial statements and the notes thereto, if any, will fairly present in all material respects the financial condition of the Company Group at the respective dates thereof and the results of its operations for the respective months then ended, and will be prepared in accordance with the books and records of the Company Group in conformity with the Accounting Standards, consistently applied with the Financial Statements, except for the omission of footnotes and normal, immaterial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left="-8" w:firstLine="656"/>
        <w:spacing w:after="0" w:line="275" w:lineRule="auto"/>
        <w:tabs>
          <w:tab w:leader="none" w:pos="128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Cooperation. Without limiting any of the other provisions of this Section 5.11, the Parties shall cooperate fully, as and to the extent reasonably requested by any of them, in connection with the filing of Tax Returns and any audit, litigation or other Proceeding with respect to Taxes. In this regard, Acquirer shall retain all books and records with respect to Tax matters of the Company Group which are or may be pertinent to any Tax period beginning before the Closing Date until the expiration of the applicable statute of limitations and shall make them available to Seller in connection with any audit, litigation or other Proceeding relating to the Company Group or with respect to which the Company Group is relevant.</w:t>
      </w:r>
    </w:p>
    <w:p>
      <w:pPr>
        <w:spacing w:after="0" w:line="122" w:lineRule="exact"/>
        <w:rPr>
          <w:rFonts w:ascii="Arial" w:cs="Arial" w:eastAsia="Arial" w:hAnsi="Arial"/>
          <w:sz w:val="17"/>
          <w:szCs w:val="17"/>
          <w:color w:val="auto"/>
        </w:rPr>
      </w:pPr>
    </w:p>
    <w:p>
      <w:pPr>
        <w:jc w:val="both"/>
        <w:ind w:left="-8" w:firstLine="656"/>
        <w:spacing w:after="0" w:line="254" w:lineRule="auto"/>
        <w:tabs>
          <w:tab w:leader="none" w:pos="128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Transfer Taxes. All transfer, documentary, sales, use, stamp, registration and other such Taxes, and any conveyance fees, recording charges and other fees and charges (including any penalties and interest) incurred in connection with consummation of the Transactions (“Transfer Taxes”), if any, shall be borne and paid fifty percent (50%) by Seller and fifty percent (50%) by Acquirer; provided that any Transfer Taxes incurred as a result of or in connection with the Pre-Closing Restructuring shall be borne and paid 100% by, and be the sole responsibility of, Seller. Seller or Acquirer (as required by applicable Law) shall prepare and timely file (or cause to be prepared and timely filed) at its own expense all Tax Returns required to be filed in respect of any such Taxes, provided, however, that Taxes relating to such Tax Returns shall be borne and paid by the Seller and Acquirer as provided in the preceding sentence.</w:t>
      </w:r>
    </w:p>
    <w:p>
      <w:pPr>
        <w:spacing w:after="0" w:line="140" w:lineRule="exact"/>
        <w:rPr>
          <w:rFonts w:ascii="Arial" w:cs="Arial" w:eastAsia="Arial" w:hAnsi="Arial"/>
          <w:sz w:val="18"/>
          <w:szCs w:val="18"/>
          <w:color w:val="auto"/>
        </w:rPr>
      </w:pPr>
    </w:p>
    <w:p>
      <w:pPr>
        <w:jc w:val="both"/>
        <w:ind w:left="-8" w:firstLine="656"/>
        <w:spacing w:after="0" w:line="289" w:lineRule="auto"/>
        <w:tabs>
          <w:tab w:leader="none" w:pos="128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Straddle Periods. For purposes of determining the liability for Taxes (as well as any refund or credit with respect thereto) of or in respect of, or payable by, Holdco2 or the Company Group in respect of any Straddle Period, (i) the amount of any such Taxes based on or measured by income, sales, use, receipts, or other similar items of the Company Group that constitute a Tax in respect of a Pre-Closing Tax Period shall be determined based on an interim closing of the books as of the close of business on the Closing Date and (ii) the amount of any other Taxes of the Company Group for a Straddle Period that relate to and constitute a Tax in respect of a Pre-Closing Tax Period shall be deemed to be the amount of such Tax for the entire Straddle Period multiplied by a fraction the numerator of which is the number of days in the portion of the Straddle Period ending on the Closing Date and the denominator of which is the number of days in the entire Straddle Period. For purposes of determining the amount of Taxes attributable to the pre-Closing portion of any Straddle Periods under this Agreement, all applicable Transaction Tax Deductions shall be allocated to and deducted in the pre-Closing portion of any Straddle Period to the extent permitted by applicable Law on a “more likely than not” basis.</w:t>
      </w:r>
    </w:p>
    <w:p>
      <w:pPr>
        <w:spacing w:after="0" w:line="112" w:lineRule="exact"/>
        <w:rPr>
          <w:rFonts w:ascii="Arial" w:cs="Arial" w:eastAsia="Arial" w:hAnsi="Arial"/>
          <w:sz w:val="16"/>
          <w:szCs w:val="16"/>
          <w:color w:val="auto"/>
        </w:rPr>
      </w:pPr>
    </w:p>
    <w:p>
      <w:pPr>
        <w:jc w:val="both"/>
        <w:ind w:left="-8" w:firstLine="656"/>
        <w:spacing w:after="0" w:line="287" w:lineRule="auto"/>
        <w:tabs>
          <w:tab w:leader="none" w:pos="1282" w:val="left"/>
        </w:tabs>
        <w:numPr>
          <w:ilvl w:val="1"/>
          <w:numId w:val="283"/>
        </w:numPr>
        <w:rPr>
          <w:rFonts w:ascii="Arial" w:cs="Arial" w:eastAsia="Arial" w:hAnsi="Arial"/>
          <w:sz w:val="16"/>
          <w:szCs w:val="16"/>
          <w:color w:val="auto"/>
        </w:rPr>
      </w:pPr>
      <w:r>
        <w:rPr>
          <w:rFonts w:ascii="Arial" w:cs="Arial" w:eastAsia="Arial" w:hAnsi="Arial"/>
          <w:sz w:val="16"/>
          <w:szCs w:val="16"/>
          <w:color w:val="auto"/>
        </w:rPr>
        <w:t>Tax Returns. At the cost and expense of Seller, Seller or Parent shall prepare and file (or cause to be prepared and filed) all Tax Returns of or relating to the Company Group for any Pre- Closing Tax Period that are due after the Closing. Seller shall provide a copy of such Tax Return to Acquirer at least fifteen (15) days before the due date for filing such Tax Return (or as soon as reasonably practicable, if such due date is less than fifteen</w:t>
      </w:r>
    </w:p>
    <w:p>
      <w:pPr>
        <w:spacing w:after="0" w:line="2" w:lineRule="exact"/>
        <w:rPr>
          <w:rFonts w:ascii="Arial" w:cs="Arial" w:eastAsia="Arial" w:hAnsi="Arial"/>
          <w:sz w:val="16"/>
          <w:szCs w:val="16"/>
          <w:color w:val="auto"/>
        </w:rPr>
      </w:pPr>
    </w:p>
    <w:p>
      <w:pPr>
        <w:jc w:val="both"/>
        <w:ind w:left="-8" w:firstLine="8"/>
        <w:spacing w:after="0" w:line="290"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days after the Closing Date) for Acquirer’s review. Seller or Parent, as applicable, shall consider in good faith all reasonable written comments made by Acquirer with respect to such Tax Returns within five Business Days prior to the due date for filing such Tax Return. All such Tax Returns shall be timely filed as finally prepared by Seller. Tax Returns for any Pre-Closing Tax Periods and Straddle Periods shall include therein as deductions all Transaction Tax Deductions to the extent permitted by applicable Law on a “more likely than not” basis. Notwithstanding anything to the contrary in this Agreement, Seller, Parent and Subsidiaries of Parent shall not be required to provide any Person with any Tax Return or copy of any Tax Return of (i) Parent or any Subsidiary of Parent, or (ii) a consolidated, combined, affiliated or unitary group that includes Parent or any Subsidiary of Parent.</w:t>
      </w:r>
    </w:p>
    <w:p>
      <w:pPr>
        <w:spacing w:after="0" w:line="109" w:lineRule="exact"/>
        <w:rPr>
          <w:rFonts w:ascii="Arial" w:cs="Arial" w:eastAsia="Arial" w:hAnsi="Arial"/>
          <w:sz w:val="16"/>
          <w:szCs w:val="16"/>
          <w:color w:val="auto"/>
        </w:rPr>
      </w:pPr>
    </w:p>
    <w:p>
      <w:pPr>
        <w:jc w:val="both"/>
        <w:ind w:left="-8" w:firstLine="656"/>
        <w:spacing w:after="0" w:line="254" w:lineRule="auto"/>
        <w:tabs>
          <w:tab w:leader="none" w:pos="128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Tax Proceedings. Acquirer shall inform Seller of the receipt by Acquirer or its Affiliates (including the Surviving Entity after the Closing) of notice of any deficiency, proposed adjustment, adjustment, assessment, audit, claim, inquiry, examination, suit, dispute or other proceeding relating to Taxes with respect to which Acquirer intends to seek indemnification under Article 8 (a “Tax Proceeding”). Seller shall not be relieved of its indemnification obligations hereunder if such notice is not delivered promptly except to the extent Seller is materially prejudiced thereby. Seller or Parent shall have the exclusive right to control, conduct and settle any Tax Proceeding. Seller or Parent shall keep Acquirer reasonably informed of all material developments of such Tax Proceeding. Notwithstanding anything in Article 8 to the contrary, this Section 5.11(d), and not Section 8.3, shall govern the conduct of Tax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32"/>
          </w:cols>
          <w:pgMar w:left="328" w:top="1440" w:right="339" w:bottom="1440" w:gutter="0" w:footer="0" w:header="0"/>
        </w:sectPr>
      </w:pPr>
    </w:p>
    <w:bookmarkStart w:id="408" w:name="page409"/>
    <w:bookmarkEnd w:id="408"/>
    <w:p>
      <w:pPr>
        <w:spacing w:after="0" w:line="144" w:lineRule="exact"/>
        <w:rPr>
          <w:sz w:val="20"/>
          <w:szCs w:val="20"/>
          <w:color w:val="auto"/>
        </w:rPr>
      </w:pPr>
    </w:p>
    <w:p>
      <w:pPr>
        <w:jc w:val="both"/>
        <w:ind w:left="-8" w:firstLine="656"/>
        <w:spacing w:after="0" w:line="268" w:lineRule="auto"/>
        <w:tabs>
          <w:tab w:leader="none" w:pos="127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Tax Free Reorganization Matters. The Parties intend that, for United States federal income tax purposes,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“Intended Tax Treatment”). The Mergers shall be reported by the Parties for all Tax and other purposes in accordance with the foregoing and will not take any position inconsistent with the Intended Tax Treatment, unless otherwise required by a Governmental Authority as a result of a “determination” within the meaning of Section 1313(a) of the Code. Notwithstanding any other provisions of this Agreement, the composition of payments under this Agreement shall be consistent with the qualification of the transactions contemplated hereby as a Reorganization, including the requirements of Treasury Regulations Section 1.368-1(e) and a minimum proprietary interest under such regulations of at least forty percent (40%), and adjustments shall be made to the composition of payments and satisfaction of indemnity claims as between Acquirer Stock, cash and any other items to the extent necessary to comply with the foregoing. The Parties shall consult and cooperate with each other in good faith for purposes of making any such adjustments. The parties covenant and agree that they will not take any actions before or after the Closing that would be reasonably expected to adversely affect the status of the Mergers as a Reorganization. The Parties shall cooperate with each other and their respective counsel to document and support the Tax treatment of transactions contemplated by this Agreement consistently with the Intended Tax Treatment, including providing factual support letters and customary tax representations to counsel for purposes of rendering any Tax opinions that may be provided by counsel. Each Party shall promptly notify the other Party in writing if, before the Closing Date, such Party knows or has reason to believe that the transactions contemplated by this Agreement may not qualify for the Intended Tax Treatment.</w:t>
      </w:r>
    </w:p>
    <w:p>
      <w:pPr>
        <w:spacing w:after="0" w:line="125" w:lineRule="exact"/>
        <w:rPr>
          <w:rFonts w:ascii="Arial" w:cs="Arial" w:eastAsia="Arial" w:hAnsi="Arial"/>
          <w:sz w:val="17"/>
          <w:szCs w:val="17"/>
          <w:color w:val="auto"/>
        </w:rPr>
      </w:pPr>
    </w:p>
    <w:p>
      <w:pPr>
        <w:jc w:val="both"/>
        <w:ind w:left="-8" w:firstLine="656"/>
        <w:spacing w:after="0" w:line="284" w:lineRule="auto"/>
        <w:tabs>
          <w:tab w:leader="none" w:pos="128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Tax Refunds. All refunds of Taxes of any member of the Company Group for any Pre-Closing Tax Period (or portion of a Straddle Period ending on the Closing Date as determined in accordance with the same principles provided for in Section 5.11(c)) (whether in the form of cash received or a credit or offset against Taxes otherwise payable) shall be for the benefit of the Seller. To the extent that the Acquirer, any member of the Company Group, or any of their Affiliates receives a Tax refund that is for the benefit of the Sellers that was not included in the calculation of Company Net Working Capital, the Acquirer shall pay to the Seller the amount of such Tax refund (and interest received from the Governmental Authority with respect to such refund), net of out-of-pocket Taxes and reasonable professional fees and expenses incurred to obtain such. Tax refund. The amount due to the Seller shall be payable ten (10) days after receipt of the refund from the applicable Governmental Authority (or, if the Tax refund is in the form of a credit or offset, ten</w:t>
      </w:r>
    </w:p>
    <w:p>
      <w:pPr>
        <w:spacing w:after="0" w:line="2" w:lineRule="exact"/>
        <w:rPr>
          <w:rFonts w:ascii="Arial" w:cs="Arial" w:eastAsia="Arial" w:hAnsi="Arial"/>
          <w:sz w:val="16"/>
          <w:szCs w:val="16"/>
          <w:color w:val="auto"/>
        </w:rPr>
      </w:pPr>
    </w:p>
    <w:p>
      <w:pPr>
        <w:jc w:val="both"/>
        <w:ind w:left="-8" w:firstLine="8"/>
        <w:spacing w:after="0" w:line="269" w:lineRule="auto"/>
        <w:tabs>
          <w:tab w:leader="none" w:pos="34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days after the due date of the Tax Return claiming such credit. or offset). The Acquirer shall, and shall cause the members of the Company Group, to take all reasonable actions necessary, or requested by the Seller, to timely claim any Tax refunds that will give rise to a payment under this Section 5.11(g). Notwithstanding the foregoing, in the event it is subsequently determined that any Tax refund or Tax credit for which the Acquirer made a payment hereunder was improperly obtained or otherwise disallowed, the Seller shall pay to the Acquirer an amount equal to the amount such Tax refund or Tax credit so disallowed (not exceeding the amount of the applicable Tax refund or Tax credit for which Acquirer made a payment to the Seller Representative under this Section 5.11(g)) within ten (10) days after delivery of a written notice to the Seller of such determination or disallowance. Payments under this paragraph (g) shall be treated as adjustments to the Merger Consideration.</w:t>
      </w:r>
    </w:p>
    <w:p>
      <w:pPr>
        <w:spacing w:after="0" w:line="126" w:lineRule="exact"/>
        <w:rPr>
          <w:rFonts w:ascii="Arial" w:cs="Arial" w:eastAsia="Arial" w:hAnsi="Arial"/>
          <w:sz w:val="17"/>
          <w:szCs w:val="17"/>
          <w:color w:val="auto"/>
        </w:rPr>
      </w:pPr>
    </w:p>
    <w:p>
      <w:pPr>
        <w:jc w:val="both"/>
        <w:ind w:left="-8" w:firstLine="656"/>
        <w:spacing w:after="0" w:line="289" w:lineRule="auto"/>
        <w:tabs>
          <w:tab w:leader="none" w:pos="128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Post-Closing Actions. Acquirer shall not permit the Company or any of its Affiliates to take any action on the Closing Date that could increase Seller’s liability for Taxes or reduce the amount of any Tax refund or Tax credit of Seller. None of the Acquirer, the Company Group nor any of their respective Affiliates shall (or shall cause or permit any members of the Company Group or their Subsidiaries) to (i) file, amend, re-file or otherwise modify any Tax Return relating in whole or in part to the Company or any of its Subsidiaries, with respect to any Pre-Closing Tax Period, (ii) make any Tax election pursuant to Sections 336 or 338 of the Code in connection with the transactions contemplated hereby, or any other election that has retroactive effect to any Pre-Closing Tax Period of any member of the Company Group or their Subsidiaries or Affiliates, (iii) file any ruling or request with any taxing authority that relates to Taxes or Tax Returns of the Company or any of its Subsidiaries or their Affiliates for a Pre-Closing Tax Period, or (iv) enter into any voluntary disclosure with any taxing authority regarding any Tax or Tax Returns of the Company or any of its Subsidiaries for a Pre-Closing Tax Period (including any voluntary disclosure with a taxing authority with respect to filing Tax Returns or paying Taxes for any Pre-Closing Tax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32"/>
          </w:cols>
          <w:pgMar w:left="328" w:top="1440" w:right="339" w:bottom="1440" w:gutter="0" w:footer="0" w:header="0"/>
        </w:sectPr>
      </w:pPr>
    </w:p>
    <w:bookmarkStart w:id="409" w:name="page410"/>
    <w:bookmarkEnd w:id="40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jurisdiction that the Company did not previously file a Tax Return or pay Taxes), in each case, without the prior written consent of the Seller, which shall not be unreasonably withheld, delayed or conditioned.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5.12</w:t>
      </w:r>
      <w:r>
        <w:rPr>
          <w:rFonts w:ascii="Arial" w:cs="Arial" w:eastAsia="Arial" w:hAnsi="Arial"/>
          <w:sz w:val="18"/>
          <w:szCs w:val="18"/>
          <w:u w:val="single" w:color="auto"/>
          <w:color w:val="auto"/>
        </w:rPr>
        <w:t>Insurance; Indemnification of Directors and Officers.</w:t>
      </w:r>
    </w:p>
    <w:p>
      <w:pPr>
        <w:spacing w:after="0" w:line="171"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_________Insurance.</w:t>
      </w:r>
    </w:p>
    <w:p>
      <w:pPr>
        <w:spacing w:after="0" w:line="171" w:lineRule="exact"/>
        <w:rPr>
          <w:rFonts w:ascii="Arial" w:cs="Arial" w:eastAsia="Arial" w:hAnsi="Arial"/>
          <w:sz w:val="18"/>
          <w:szCs w:val="18"/>
          <w:color w:val="auto"/>
        </w:rPr>
      </w:pPr>
    </w:p>
    <w:p>
      <w:pPr>
        <w:jc w:val="both"/>
        <w:ind w:firstLine="1304"/>
        <w:spacing w:after="0" w:line="285" w:lineRule="auto"/>
        <w:tabs>
          <w:tab w:leader="none" w:pos="193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_________Following the Closing and for the duration of the term of the Transition Services Agreement, with respect to claims for events or Damages related to the Company Products with respect to pre-Closing occurrences that are covered by Seller’s occurrence-based third-party liability insurance policies (the “Available Insurance Policies”), subject in all cases to the terms and limitations of such policies (such claims, the “Valid Pre-Closing Claims”), (A) Acquirer may promptly notify Seller in writing of any matter that is reasonably expected to give rise to a Valid Pre-Closing Claim under any such Available Insurance Policy (provided that the failure to promptly notify Seller shall not relieve Seller from its obligations under clause (B), except to the extent that such failure invalidates the validity of any purportedly Valid Pre-Closing Claim), and (B) Seller shall, and shall cause its Affiliates to, (1) make Valid Pre-Closing Claims and reasonably pursue and seek to recover on such claims under the terms of the applicable Available Insurance Policies and (2) reasonably promptly deliver to Acquirer any insurance proceeds received with respect thereto (calculated net of reasonable expenses incurred in procuring such recovery and any increase in premiums or retroactive premium adjustments or chargebacks paid by or on behalf of Seller to the extent resulting from such claims, and taking into account the available coverage under each Available Insurance Policy, it being understood that such coverage shall first be available to satisfy other claims of Seller or its Affiliates that are pending under such policy at the time the claim for the benefit of Acquirer is made); provided that, unless otherwise deducted from the proceeds received by Acquirer, Acquirer shall pay (or reimburse Seller for), without duplication, any deductibles, retentions, loss-sensitive, self-insurance amounts or other costs, in each case, to the extent resulting from any Valid Pre-Closing Claim made by Seller or its Affiliates on behalf of any of Acquirer or the Company Group under such policies for Valid Pre-Closing Claims. For the avoidance of doubt, Acquirer shall be liable for all uninsured, uncovered, unavailable or uncollectible Damages associated with any such Valid Pre-Closing Claim. Following the Closing, if permitted under the applicable Available Insurance Policy, Seller hereby authorizes Acquirer and its Subsidiaries, under the direction and control of Seller, to notify, make and pursue Valid Pre-Closing Claims as contemplated by this Section 5.12(a)(i) under the Available Insurance Policies, subject to the payment and reimbursement provisions set forth in the prior sentence. Notwithstanding anything to the contrary herein, Seller shall not have any Liability or obligation to bring any Proceedings to obtain any insurance coverage for any Valid Pre-Closing Claim.</w:t>
      </w:r>
    </w:p>
    <w:p>
      <w:pPr>
        <w:spacing w:after="0" w:line="114" w:lineRule="exact"/>
        <w:rPr>
          <w:rFonts w:ascii="Arial" w:cs="Arial" w:eastAsia="Arial" w:hAnsi="Arial"/>
          <w:sz w:val="16"/>
          <w:szCs w:val="16"/>
          <w:color w:val="auto"/>
        </w:rPr>
      </w:pPr>
    </w:p>
    <w:p>
      <w:pPr>
        <w:jc w:val="both"/>
        <w:ind w:firstLine="1304"/>
        <w:spacing w:after="0" w:line="272" w:lineRule="auto"/>
        <w:tabs>
          <w:tab w:leader="none" w:pos="193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In connection with the pursuit of any Valid Pre-Closing Claim, Acquirer shall, and shall cause the Company Group to, fully cooperate with Seller in pursuing coverage for any Valid Pre-Closing Claim. If Acquirer or any of its Affiliates breach, or cause any member of Seller to breach, any terms or conditions of any Available Insurance Policies with respect to any Valid Pre-Closing Claim, Acquirer shall be solely responsible for, and shall bear the risk of any loss of coverage cause by such breach (and, in all events, the Acquirer shall bear the risk of any lack of coverage under the Available Insurance Policies). Acquirer shall, and shall cause the Company Group to, use commercially reasonable efforts to pursue rights of recovery against third parties with respect to claims7, Liabilities, occurrences, accidents, events, matters, Proceedings or Damages for which the Company Group has the ability to mitigate via contract or tort and shall cooperate with Seller with respect to the pursuit of such rights.</w:t>
      </w:r>
    </w:p>
    <w:p>
      <w:pPr>
        <w:spacing w:after="0" w:line="123" w:lineRule="exact"/>
        <w:rPr>
          <w:rFonts w:ascii="Arial" w:cs="Arial" w:eastAsia="Arial" w:hAnsi="Arial"/>
          <w:sz w:val="17"/>
          <w:szCs w:val="17"/>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171" w:lineRule="exact"/>
        <w:rPr>
          <w:rFonts w:ascii="Arial" w:cs="Arial" w:eastAsia="Arial" w:hAnsi="Arial"/>
          <w:sz w:val="18"/>
          <w:szCs w:val="18"/>
          <w:color w:val="auto"/>
        </w:rPr>
      </w:pPr>
    </w:p>
    <w:p>
      <w:pPr>
        <w:jc w:val="both"/>
        <w:ind w:firstLine="1304"/>
        <w:spacing w:after="0" w:line="293" w:lineRule="auto"/>
        <w:tabs>
          <w:tab w:leader="none" w:pos="193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Each of Acquirer, Seller and Holdco2 agree that all rights to indemnification, advancement of expenses and exculpation from liability for or in connection with acts or omissions occurring at any time prior to or on the Closing Date (including in connection with this Agreement and the Transactions), that now exist in favor of any Person who prior to or on the Closing Date is or was a current or former director, manager, officer or employee of any member of the Company Group, or who at the request of Seller, Holdco2 or any of their respective Affiliates served prior to or on the Closing Date as a director, officer, member, manager, employee, trustee or fiduciary of any other entity of any type (each a “D&amp;O Indemnified Person”), including as provided in the Governing Documents of any member of the Company Group (an “Indemnity Agreement”), will survive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will continue in full force and effect following the Closing Date. In furtherance (and not in limitation of) the foregoing, for the six (6) year period following the Closing Date, Acquirer will cause the Company Group to, and the Company Group will maintain in the Governing Documents of each applicable member of the Company Group provisions with respect to indemnification, advancement of expenses and exculpation from liability that in each such respect are at least as favorable to each D&amp;O Indemnified Person as those contained in such member’s Governing Documents as in effect on the date hereof, which provisions will not be amended, repealed or otherwise modified in any manner that would adversely affect the rights thereunder of any D&amp;O Indemnified Person. Each Indemnity Agreement shall continue without termination, revocation, amendment or other modification that would adversely affect the rights thereunder of any D&amp;O Indemnified Person, in each case in accordance with its terms.</w:t>
      </w:r>
    </w:p>
    <w:p>
      <w:pPr>
        <w:spacing w:after="0" w:line="123" w:lineRule="exact"/>
        <w:rPr>
          <w:sz w:val="20"/>
          <w:szCs w:val="20"/>
          <w:color w:val="auto"/>
        </w:rPr>
      </w:pPr>
    </w:p>
    <w:p>
      <w:pPr>
        <w:jc w:val="both"/>
        <w:ind w:firstLine="1304"/>
        <w:spacing w:after="0" w:line="279" w:lineRule="auto"/>
        <w:tabs>
          <w:tab w:leader="none" w:pos="193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Acquirer or any member of the Company Group (or any of its successors or assigns) (A) consolidates with or merges into any other Person and is not the continuing or surviving corporation or entity of such consolidation or merger or (B) transfers all or substantially all of its properties and assets to any other Person (including by dissolution, liquidation, assignment for the benefit of creditors or similar action), then, and in each such case, proper provision will be made so that such other Person fully assumes the obligations set forth in this Section 5.12(b).</w:t>
      </w:r>
    </w:p>
    <w:p>
      <w:pPr>
        <w:spacing w:after="0" w:line="117" w:lineRule="exact"/>
        <w:rPr>
          <w:rFonts w:ascii="Arial" w:cs="Arial" w:eastAsia="Arial" w:hAnsi="Arial"/>
          <w:sz w:val="17"/>
          <w:szCs w:val="17"/>
          <w:color w:val="auto"/>
        </w:rPr>
      </w:pPr>
    </w:p>
    <w:p>
      <w:pPr>
        <w:jc w:val="both"/>
        <w:ind w:firstLine="1304"/>
        <w:spacing w:after="0" w:line="269" w:lineRule="auto"/>
        <w:tabs>
          <w:tab w:leader="none" w:pos="194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provisions of this Section 5.12(b) shall survive the Closing. This Section 5.12(b) shall be for the irrevocable benefit of, and will be enforceable by, each D&amp;O Indemnified Person and his or her respective heirs, executors, administrators, estates, successors and assigns, and each such Person will be an express intended third party beneficiary of this Agreement for such purposes. Acquirer will pay, or will cause the applicable member of the Company Group, as and when incurred by any Person referred to in the immediately preceding sentence, all fees, costs, charges and expenses (including attorneys’ fees and expenses) incurred by such Person in enforcing such Person’s rights under this Section 5.12(b). Notwithstanding anything in this Agreement to the contrary, the obligations under this Section 5.12(b) will not be terminated, revoked, modified or amended in any way so as to adversely affect any Person referred to in the second sentence of this Section 5.12(b)(iii) without the written consent of such Person. With respect to any right to indemnification or advancement for actual or claimed acts or omissions occurring prior to or on the Closing Date (including in connection with this Agreement and the Transactions), the applicable member of the Company Group will be the indemnitor of first resort, responsible for all such indemnification and advancement that any D&amp;O Indemnified Person may otherwise have from any direct or indirect stockholder or equity holder of any of the members of the Company Group (or any Affiliate of such stockholder or equity holder).</w:t>
      </w:r>
    </w:p>
    <w:p>
      <w:pPr>
        <w:spacing w:after="0" w:line="127" w:lineRule="exact"/>
        <w:rPr>
          <w:rFonts w:ascii="Arial" w:cs="Arial" w:eastAsia="Arial" w:hAnsi="Arial"/>
          <w:sz w:val="17"/>
          <w:szCs w:val="17"/>
          <w:color w:val="auto"/>
        </w:rPr>
      </w:pPr>
    </w:p>
    <w:p>
      <w:pPr>
        <w:jc w:val="both"/>
        <w:ind w:firstLine="1304"/>
        <w:spacing w:after="0" w:line="279" w:lineRule="auto"/>
        <w:tabs>
          <w:tab w:leader="none" w:pos="193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5.12(b), Seller’s directors and officers insurance policies, in each case as in effect as of the Closing Date, shall be the first and primary recourse for any indemnification to which any D&amp;O Indemnified Person may be entitled under this Section 5.12(b). For the six (6) year period following the Closing Date, Seller agrees to treat any such claim for indemnification against its directors and officers insurance policies as a Valid Pre-Closing Claim in accordance with Section 5.1(a).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5.13</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129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Continuing Employees shall continue as employees of the Company Group as of and immediately following the Closing. For a period of at least one (1) year following the Closing Date, Acquirer shall cause to be provided to the Continuing Employees (i) base salary or wages, as applicable, and cash bonus opportunities (and excluding, for the avoidance of doubt, equity or equity-based bonus opportunities), in each case no less favorable than those provided to such Continuing Employees as of the Agreement Date and (ii) employee benefits that are no less favorable in the aggregate than those provided to the Continuing Employees as of the Agreement Date.</w:t>
      </w:r>
    </w:p>
    <w:p>
      <w:pPr>
        <w:spacing w:after="0" w:line="133"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As of the Closing Date, the Company Group shall cease to be participating employers in the Seller Benefit Plans that provide retirement, health or welfare benefits. With respect to each benefit plan, program, practice, policy or arrangement maintained by the Acquirer or any of its Affiliates (including the Company) following the Closing Date and in which any of the Continuing Employees participate (the “Acquirer Plans”), each Continuing Employee shall be credited with the same amount of service as was credited by the Company Group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Closing under similar or comparable Company Benefit Plans (including for purposes of eligibility to participate, vesting, benefit accrual and eligibility to receive benefits), except to the extent such service credit would result in any duplication of benefits. Acquirer shall use commercially reasonable efforts to cause each applicable Acquirer Plan to waive, to the extent permitted by applicable Law, eligibility waiting periods, evidence of insurability requirements and pre-existing condition limitations. To the extent permitted by applicable Law and to the extent applicable in the plan year that contains the Closing Date, Acquirer shall use commercially reasonable efforts to give the Continuing Employees credit under the applicable Acquirer Plan for amounts paid prior to the Closing Date during the calendar year in which the Closing Date occurs under a corresponding benefit plan for purposes of applying deductibles, co-payments and out of pocket maximums, as though such amounts had been paid in accordance with the terms and conditions of the Acquirer Plan.</w:t>
      </w:r>
    </w:p>
    <w:p>
      <w:pPr>
        <w:spacing w:after="0" w:line="138" w:lineRule="exact"/>
        <w:rPr>
          <w:sz w:val="20"/>
          <w:szCs w:val="20"/>
          <w:color w:val="auto"/>
        </w:rPr>
      </w:pPr>
    </w:p>
    <w:p>
      <w:pPr>
        <w:jc w:val="both"/>
        <w:ind w:firstLine="656"/>
        <w:spacing w:after="0" w:line="255" w:lineRule="auto"/>
        <w:tabs>
          <w:tab w:leader="none" w:pos="129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Acquirer shall cause an Acquirer Plan that is intended to be tax qualified under Section 401(a) of the Code (“Acquirer 401(k) Plan” ) to permit Continuing Employees with account balances in a Seller Benefit Plan intended to be qualified under Section 401(a) of the Code (“Seller 401(k) Plan” ) to roll over their account balances, and shall use commercially reasonable efforts to include any loans, to such Acquirer 401(k) Plan. Seller shall provide a matching contribution under the Seller 401(k) Plan with respect to each Continuing Employee’s accrued matching contribution under the Seller 401(k) Plan as of the Closing Date for the portion of the plan year that includes the Closing Date for compensation earned prior to the Closing Date by contributing the Accrued 2022 401(k) Match to the Seller 401(k) Plan.</w:t>
      </w:r>
    </w:p>
    <w:p>
      <w:pPr>
        <w:spacing w:after="0" w:line="138" w:lineRule="exact"/>
        <w:rPr>
          <w:rFonts w:ascii="Arial" w:cs="Arial" w:eastAsia="Arial" w:hAnsi="Arial"/>
          <w:sz w:val="18"/>
          <w:szCs w:val="18"/>
          <w:color w:val="auto"/>
        </w:rPr>
      </w:pPr>
    </w:p>
    <w:p>
      <w:pPr>
        <w:jc w:val="both"/>
        <w:ind w:firstLine="656"/>
        <w:spacing w:after="0" w:line="254"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the Company Group shall pay discretionary annual bonuses for the performance period ended December 31, 2021, as determined in Seller’s sole discretion, and any commissions or other cash incentives with respect to performance periods ending on or before the Closing Date to the extent payable prior to the Closing in the Ordinary Course of Business. With respect to any other commissions or other cash incentives for performance periods ending on or after January 1, 2022 and on or before the Closing Date, Acquirer shall cause the Company Group to pay out the incentives thereunder in accordance with the terms thereof and consistent with past practice. With respect to performance periods in progress as of the Closing Date for any annual cash bonuses, commissions or other cash incentives, Acquirer shall cause the Company Group to maintain the terms of such programs in effect for the remainder of such performance periods and to pay out the incentives thereunder in accordance with such terms and consistent with past practice.</w:t>
      </w:r>
    </w:p>
    <w:p>
      <w:pPr>
        <w:spacing w:after="0" w:line="137" w:lineRule="exact"/>
        <w:rPr>
          <w:rFonts w:ascii="Arial" w:cs="Arial" w:eastAsia="Arial" w:hAnsi="Arial"/>
          <w:sz w:val="18"/>
          <w:szCs w:val="18"/>
          <w:color w:val="auto"/>
        </w:rPr>
      </w:pPr>
    </w:p>
    <w:p>
      <w:pPr>
        <w:jc w:val="both"/>
        <w:ind w:firstLine="656"/>
        <w:spacing w:after="0" w:line="263" w:lineRule="auto"/>
        <w:tabs>
          <w:tab w:leader="none" w:pos="129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Seller may in its sole discretion accelerate the vesting of equity and equity based incentive awards held by Company Employees under Seller’s equity incentive plans, and may in its sole discretion extend the exercise period of stock options held by Company Employees under Seller’s equity incentive plans to the one (1) year anniversary of the Closing Date.</w:t>
      </w:r>
    </w:p>
    <w:p>
      <w:pPr>
        <w:spacing w:after="0" w:line="129" w:lineRule="exact"/>
        <w:rPr>
          <w:rFonts w:ascii="Arial" w:cs="Arial" w:eastAsia="Arial" w:hAnsi="Arial"/>
          <w:sz w:val="18"/>
          <w:szCs w:val="18"/>
          <w:color w:val="auto"/>
        </w:rPr>
      </w:pPr>
    </w:p>
    <w:p>
      <w:pPr>
        <w:jc w:val="both"/>
        <w:ind w:firstLine="656"/>
        <w:spacing w:after="0" w:line="286" w:lineRule="auto"/>
        <w:tabs>
          <w:tab w:leader="none" w:pos="128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Acquirer shall provide COBRA continuation coverage to each Continuing Employee who is an “M&amp;A qualified beneficiary” (within the meaning of Treasury Regulation Section 54.4980B-9) in connection with the Transactions. Seller shall provide COBRA continuation coverage to each individual who is an M&amp;A qualified beneficiary in connection with the Transactions and is not a Continuing Employee.</w:t>
      </w:r>
    </w:p>
    <w:p>
      <w:pPr>
        <w:spacing w:after="0" w:line="111" w:lineRule="exact"/>
        <w:rPr>
          <w:rFonts w:ascii="Arial" w:cs="Arial" w:eastAsia="Arial" w:hAnsi="Arial"/>
          <w:sz w:val="17"/>
          <w:szCs w:val="17"/>
          <w:color w:val="auto"/>
        </w:rPr>
      </w:pPr>
    </w:p>
    <w:p>
      <w:pPr>
        <w:ind w:firstLine="656"/>
        <w:spacing w:after="0" w:line="277"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soon as practicable following the Agreement Date, Acquirer and the Company’s Chief Executive Officer shall mutually consult regarding the terms of an equity and cash retention pool for the benefit of certain Company Employees.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the Company shall use its commercially reasonable efforts (which for the avoidance of doubt shall not require the Company to pay any consideration) to obtain executed confirmatory assignments of Intellectual Property, in form and substance reasonably satisfactory to Acquirer, from any Authors that have not previously executed such agreements.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Nothing contained in this Section 5.13 shall, or shall be construed so as to,</w:t>
      </w:r>
    </w:p>
    <w:p>
      <w:pPr>
        <w:spacing w:after="0" w:line="171" w:lineRule="exact"/>
        <w:rPr>
          <w:rFonts w:ascii="Arial" w:cs="Arial" w:eastAsia="Arial" w:hAnsi="Arial"/>
          <w:sz w:val="18"/>
          <w:szCs w:val="18"/>
          <w:color w:val="auto"/>
        </w:rPr>
      </w:pPr>
    </w:p>
    <w:p>
      <w:pPr>
        <w:jc w:val="both"/>
        <w:ind w:firstLine="656"/>
        <w:spacing w:after="0" w:line="311" w:lineRule="auto"/>
        <w:tabs>
          <w:tab w:leader="none" w:pos="129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prevent or restrict in any way the right of Acquirer to terminate reassign, promote or demote any employee, consultant, director or other service provider (or to cause any of the foregoing actions) at any time following the Closing, or to change (or cause the change of) the title, powers, duties, responsibilities, functions, locations, or conditions of employment or service, to the extent not covered by this Section 5.13,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employee, consultant, director or other service provider at any time following the Closing, (ii) constitute an amendment or modification of any Company Benefit Plan or other employee benefit plan, (iii) create any third-party rights in any such current or former employee, consultant, director or other service provider (including any beneficiary or dependent thereof) or (iv) except as set forth in Section 5.13(c)obligate Acquirer or any of its Affiliates to adopt or maintain any particular plan or program or other compensatory or benefits arrangement at any time or prevent Acquirer or any of its Affiliates from modifying or terminating any such plan, program or other compensatory or benefits arrangement at any time.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5.14</w:t>
      </w:r>
      <w:r>
        <w:rPr>
          <w:rFonts w:ascii="Arial" w:cs="Arial" w:eastAsia="Arial" w:hAnsi="Arial"/>
          <w:sz w:val="18"/>
          <w:szCs w:val="18"/>
          <w:u w:val="single" w:color="auto"/>
          <w:color w:val="auto"/>
        </w:rPr>
        <w:t>Transition Services Agreement and Accounts Receivable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1293"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During the Pre-Closing Period, the Parties shall cooperate with each other and promptly negotiate and finalize the Transition Services Agreement covering the provision of certain transition services from Seller and its relevant Affiliates to the Company Group, acting reasonably and in good faith. In connection with the foregoing, Seller and Acquirer will take any other actions reasonably required to identify and define the services provided by Seller and its relevant Affiliates to the Company Group prior to Closing that are material to or reasonably necessary for the conduct of the Business following the Closing. The Transition Services Agreement shall cover transition services permitted under applicable Law and reasonably necessary for the conduct of Business by the Company Group following the Closing and provision that relate to the matters set forth in Schedule 5.14(a). All such transition services will be provided at Seller’s cost, without markup or margin, in accordance with applicable Laws and at the same or better standard of service as such services were provided to the Company Group prior to Closing. Individual Transition Services Agreements shall be established for each jurisdiction other than the United States in which the applicable Business, service recipients or service providers are located or are organized, as mutually agreed by Seller and Acquirer, in substantially the form of the Transition Services Agreement.</w:t>
      </w:r>
    </w:p>
    <w:p>
      <w:pPr>
        <w:spacing w:after="0" w:line="131"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following the Closing, Seller or any of its Affiliates receive payment of a receivable that should have been paid to Company Group, Seller shall notify Acquirer and deliver such payment to Acquirer or its designee promptly following the receipt thereof. Acquirer may direct all relevant trade debtors to make payment on such receivables to Acquirer’s specified address and/or account.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5.15</w:t>
      </w:r>
      <w:r>
        <w:rPr>
          <w:rFonts w:ascii="Arial" w:cs="Arial" w:eastAsia="Arial" w:hAnsi="Arial"/>
          <w:sz w:val="18"/>
          <w:szCs w:val="18"/>
          <w:u w:val="single" w:color="auto"/>
          <w:color w:val="auto"/>
        </w:rPr>
        <w:t>Prohibited Activities.</w:t>
      </w:r>
    </w:p>
    <w:p>
      <w:pPr>
        <w:spacing w:after="0" w:line="171" w:lineRule="exact"/>
        <w:rPr>
          <w:sz w:val="20"/>
          <w:szCs w:val="20"/>
          <w:color w:val="auto"/>
        </w:rPr>
      </w:pPr>
    </w:p>
    <w:p>
      <w:pPr>
        <w:jc w:val="both"/>
        <w:ind w:firstLine="656"/>
        <w:spacing w:after="0" w:line="290" w:lineRule="auto"/>
        <w:tabs>
          <w:tab w:leader="none" w:pos="129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Seller shall not, and shall not permit or cause any of its controlled Affiliates to, at any time prior to four (4) years from the Closing, directly or indirectly, (i) solicit the employment or services (whether as an employee, consultant, independent contractor or otherwise) of any employee of the Company Group as of Closing or any Person who had been an employee of the Company Group within the twelve (12) month period immediately preceding the Closing, without Acquirer’s prior written consent, or (ii) hire in any capacity (whether as an employee, consultant, independent contractor or otherwise) any Key Employee, unless such Person has been terminated by Acquirer or any of its Affiliates subsequent to the Closing and who has not been employed or engaged by the Company Group for a period of at least six (6) months prior to the date of such hire, without Acquirer’s prior written consent. For purposes of this Section 5.15(a), the terms “solicit the employment or services” shall be deemed not to include generalized searches for employees through media advertisements of general circulation, employment search firms, open job fairs or otherwise.</w:t>
      </w:r>
    </w:p>
    <w:p>
      <w:pPr>
        <w:spacing w:after="0" w:line="111"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Seller shall not, and shall not permit, cause or encourage any of its controlled Affiliates to, for a period of four (4) years following the Closing, directly or indirectly, for Seller or on behalf of or in conjunction with any other Person (other than Acquirer and its Affiliates, including the Company Group) engage in the Business anywhere in the world.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5.16</w:t>
      </w:r>
      <w:r>
        <w:rPr>
          <w:rFonts w:ascii="Arial" w:cs="Arial" w:eastAsia="Arial" w:hAnsi="Arial"/>
          <w:sz w:val="18"/>
          <w:szCs w:val="18"/>
          <w:u w:val="single" w:color="auto"/>
          <w:color w:val="auto"/>
        </w:rPr>
        <w:t>Subsidiary Compliance</w:t>
      </w:r>
      <w:r>
        <w:rPr>
          <w:rFonts w:ascii="Arial" w:cs="Arial" w:eastAsia="Arial" w:hAnsi="Arial"/>
          <w:sz w:val="18"/>
          <w:szCs w:val="18"/>
          <w:color w:val="auto"/>
        </w:rPr>
        <w:t>. Acquirer shall cause each Merger Sub to comply with all of such Merger Sub’s obligations under or relating to this Agreement and, prior to the Closing, each of Seller, the Company and Holdco2 shall cause the Company Group to comply with all of the Company Group’s obligations under or relating to this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5.17</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Seller and the Company Parties shall use their respective reasonable best efforts to, as soon as reasonably practicable following the Agreement Date, complete the Pre-Closing Restructuring in accordance with the steps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and obtain and deliver to Acquirer written confirmation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IRS (or other evidence reasonably satisfactory to Acquirer) stating that the Company will retain its EIN following completion of the Transactions.</w:t>
      </w:r>
    </w:p>
    <w:p>
      <w:pPr>
        <w:spacing w:after="0" w:line="17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MERGERS</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consummate the Transactions shall be subject to the satisfaction or waiver in writing at or prior to the Closing of each of the following conditions:</w:t>
      </w:r>
    </w:p>
    <w:p>
      <w:pPr>
        <w:spacing w:after="0" w:line="116" w:lineRule="exact"/>
        <w:rPr>
          <w:sz w:val="20"/>
          <w:szCs w:val="20"/>
          <w:color w:val="auto"/>
        </w:rPr>
      </w:pPr>
    </w:p>
    <w:p>
      <w:pPr>
        <w:ind w:right="20" w:firstLine="656"/>
        <w:spacing w:after="0" w:line="277" w:lineRule="auto"/>
        <w:tabs>
          <w:tab w:leader="none" w:pos="129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Stockholder Approval. The Holdco2 Stockholder Approval shall have been duly and validly obtained and the Acquirer Stockholder Approval shall have been duly and validly obtained.</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Illegality. No Order issued by any court of competent jurisdiction preventing the consummation of the Mergers shall be in effect, and no action shall have been taken by any Governmental Authority seeking the foregoing, and no Law or Order shall have been enacted or entered that makes the consummation of the Mergers illegal.</w:t>
      </w:r>
    </w:p>
    <w:p>
      <w:pPr>
        <w:spacing w:after="0" w:line="129" w:lineRule="exact"/>
        <w:rPr>
          <w:rFonts w:ascii="Arial" w:cs="Arial" w:eastAsia="Arial" w:hAnsi="Arial"/>
          <w:sz w:val="18"/>
          <w:szCs w:val="18"/>
          <w:color w:val="auto"/>
        </w:rPr>
      </w:pPr>
    </w:p>
    <w:p>
      <w:pPr>
        <w:jc w:val="both"/>
        <w:ind w:firstLine="656"/>
        <w:spacing w:after="0" w:line="279" w:lineRule="auto"/>
        <w:tabs>
          <w:tab w:leader="none" w:pos="129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Governmental Approvals. All filings with and approvals of any Governmental Authority required to be made or obtained prior to the Closing and in connection with the Mergers shall have been made or obtained and shall be in full force and effect, and the applicable waiting period under the HSR Act, including any extensions thereof agreed to by the parties and the relevant Governmental Authority, shall have expired or early termination of such waiting period shall have been granted by the applicable Governmental Authority (the “Antitrust Condition”).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Seller and the Company Group</w:t>
      </w:r>
      <w:r>
        <w:rPr>
          <w:rFonts w:ascii="Arial" w:cs="Arial" w:eastAsia="Arial" w:hAnsi="Arial"/>
          <w:sz w:val="18"/>
          <w:szCs w:val="18"/>
          <w:color w:val="auto"/>
        </w:rPr>
        <w:t>. The obligations of Seller and the Company Parties to consummate the Transactions shall be subject to the satisfaction or waiver at or prior to the Closing of each of the following conditions (it being understood and agreed that each such condition is solely for the benefit of Seller and the Company Parties and may be waived only by Seller (on behalf of itself and/or the Company Parties) in writing in its sole discretion without notice or Liability to any Person):</w:t>
      </w:r>
    </w:p>
    <w:p>
      <w:pPr>
        <w:spacing w:after="0" w:line="133" w:lineRule="exact"/>
        <w:rPr>
          <w:sz w:val="20"/>
          <w:szCs w:val="20"/>
          <w:color w:val="auto"/>
        </w:rPr>
      </w:pPr>
    </w:p>
    <w:p>
      <w:pPr>
        <w:jc w:val="both"/>
        <w:ind w:firstLine="656"/>
        <w:spacing w:after="0" w:line="254" w:lineRule="auto"/>
        <w:tabs>
          <w:tab w:leader="none" w:pos="129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Representations, Warranties and Covenants. The representations and warranties made by Acquirer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Acquirer shall have performed and complied in all material respects with all covenants, agreements and obligations herein required to be performed and complied with by Acquirer at or prior to the Closing.</w:t>
      </w:r>
    </w:p>
    <w:p>
      <w:pPr>
        <w:spacing w:after="0" w:line="140"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Receipt of Closing Deliveries. Seller, the Company or Holdco2 shall have received each of the agreements, instruments, certificates and other documents set forth in Section 2.3(c) (other than clause (iv) thereof, which shall be delivered upon Closing as set forth in and in accordance with Section 2.5(a)(i)).</w:t>
      </w:r>
    </w:p>
    <w:p>
      <w:pPr>
        <w:spacing w:after="0" w:line="129" w:lineRule="exact"/>
        <w:rPr>
          <w:rFonts w:ascii="Arial" w:cs="Arial" w:eastAsia="Arial" w:hAnsi="Arial"/>
          <w:sz w:val="18"/>
          <w:szCs w:val="18"/>
          <w:color w:val="auto"/>
        </w:rPr>
      </w:pPr>
    </w:p>
    <w:p>
      <w:pPr>
        <w:ind w:firstLine="656"/>
        <w:spacing w:after="0" w:line="308" w:lineRule="auto"/>
        <w:tabs>
          <w:tab w:leader="none" w:pos="1293"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 Material Adverse Effect. There shall not have occurred a Material Adverse Effect (substituting, in each case, “the Acquirer” for references to the Company Group or Company Parties) with respect to the Acquirer and its Subsidiaries (taken as a whole) that is continuing.</w:t>
      </w:r>
    </w:p>
    <w:p>
      <w:pPr>
        <w:spacing w:after="0" w:line="92" w:lineRule="exact"/>
        <w:rPr>
          <w:rFonts w:ascii="Arial" w:cs="Arial" w:eastAsia="Arial" w:hAnsi="Arial"/>
          <w:sz w:val="17"/>
          <w:szCs w:val="17"/>
          <w:color w:val="auto"/>
        </w:rPr>
      </w:pPr>
    </w:p>
    <w:p>
      <w:pPr>
        <w:ind w:firstLine="656"/>
        <w:spacing w:after="0" w:line="342" w:lineRule="auto"/>
        <w:tabs>
          <w:tab w:leader="none" w:pos="129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Nasdaq Listing. The Stock Consideration issuable pursuant to this Agreement in connection with the Mergers (including pursuant to Section 2.7) shall have been approved for listing on Nasdaq (or any successor national securities exchange thereto), subject to official notice of issuance.</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the Obligations of Acquirer</w:t>
      </w:r>
      <w:r>
        <w:rPr>
          <w:rFonts w:ascii="Arial" w:cs="Arial" w:eastAsia="Arial" w:hAnsi="Arial"/>
          <w:sz w:val="18"/>
          <w:szCs w:val="18"/>
          <w:color w:val="auto"/>
        </w:rPr>
        <w:t>. The obligations of Acquirer and the Merger Subs to consummate the Transactions shall be subject to the satisfaction or waiver at or prior to the Closing of each of the following conditions (it being understood and agreed that each such condition is solely for the benefit of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 Merger Subs and may be waived by Acquirer (on behalf of itself and/or Merger Sub) in writing in its sole discretion without notice or Liability to any Person):</w:t>
      </w:r>
    </w:p>
    <w:p>
      <w:pPr>
        <w:spacing w:after="0" w:line="116" w:lineRule="exact"/>
        <w:rPr>
          <w:sz w:val="20"/>
          <w:szCs w:val="20"/>
          <w:color w:val="auto"/>
        </w:rPr>
      </w:pPr>
    </w:p>
    <w:p>
      <w:pPr>
        <w:jc w:val="both"/>
        <w:ind w:firstLine="656"/>
        <w:spacing w:after="0" w:line="283" w:lineRule="auto"/>
        <w:tabs>
          <w:tab w:leader="none" w:pos="129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Representations, Warranties and Covenants. (i) The Company Fundamental Representations (other than those representations and warranties contained in Section 3.12 (Taxes))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(ii) all other representations and warranties (including those contained in Section 3.12 (Taxes)) made by the Company Parties and Seller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and</w:t>
      </w:r>
    </w:p>
    <w:p>
      <w:pPr>
        <w:spacing w:after="0" w:line="5" w:lineRule="exact"/>
        <w:rPr>
          <w:rFonts w:ascii="Arial" w:cs="Arial" w:eastAsia="Arial" w:hAnsi="Arial"/>
          <w:sz w:val="16"/>
          <w:szCs w:val="16"/>
          <w:color w:val="auto"/>
        </w:rPr>
      </w:pPr>
    </w:p>
    <w:p>
      <w:pPr>
        <w:ind w:firstLine="8"/>
        <w:spacing w:after="0" w:line="260" w:lineRule="auto"/>
        <w:tabs>
          <w:tab w:leader="none" w:pos="33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of Seller and the Company Parties shall have performed and complied in all material respects with all covenants, agreements and obligations herein required to be performed and complied with by Seller and the Company Parties, respectively, at or prior to the Closing.</w:t>
      </w:r>
    </w:p>
    <w:p>
      <w:pPr>
        <w:spacing w:after="0" w:line="131" w:lineRule="exact"/>
        <w:rPr>
          <w:rFonts w:ascii="Arial" w:cs="Arial" w:eastAsia="Arial" w:hAnsi="Arial"/>
          <w:sz w:val="18"/>
          <w:szCs w:val="18"/>
          <w:color w:val="auto"/>
        </w:rPr>
      </w:pPr>
    </w:p>
    <w:p>
      <w:pPr>
        <w:ind w:firstLine="656"/>
        <w:spacing w:after="0" w:line="277"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Receipt of Closing Deliveries. Acquirer shall have received each of the agreements, instruments, certificates and other documents set forth in Section 2.3(b).</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Injunctions or Restraints on Conduct of Business. No Order issued by any court of competent jurisdiction or other legal or regulatory restraint or prohibition materially limiting or restricting Acquirer’s ownership, conduct or operation of the Business following the Closing shall be in effect, and no Proceeding seeking any of the foregoing shall be pending or threatened.</w:t>
      </w:r>
    </w:p>
    <w:p>
      <w:pPr>
        <w:spacing w:after="0" w:line="129" w:lineRule="exact"/>
        <w:rPr>
          <w:rFonts w:ascii="Arial" w:cs="Arial" w:eastAsia="Arial" w:hAnsi="Arial"/>
          <w:sz w:val="18"/>
          <w:szCs w:val="18"/>
          <w:color w:val="auto"/>
        </w:rPr>
      </w:pPr>
    </w:p>
    <w:p>
      <w:pPr>
        <w:ind w:right="20" w:firstLine="656"/>
        <w:spacing w:after="0" w:line="277"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No Material Adverse Effect. There shall not have occurred a Material Adverse Effect with respect to the Company Group (taken as a whole) that is continuing.</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Financial Statements. Holdco2 shall have delivered to Acquirer, on or prior to five days prior to the Closing, the Required Financial Statements; provided that, the financial statements required by Item 9.01(a) and (b) of Form 8-K shall not be a condition to the Closing if the 71-day grace period provided by Item 9.01(a)(3) of Form 8-K shall then be available to Acquirer.</w:t>
      </w:r>
    </w:p>
    <w:p>
      <w:pPr>
        <w:spacing w:after="0" w:line="129" w:lineRule="exact"/>
        <w:rPr>
          <w:rFonts w:ascii="Arial" w:cs="Arial" w:eastAsia="Arial" w:hAnsi="Arial"/>
          <w:sz w:val="18"/>
          <w:szCs w:val="18"/>
          <w:color w:val="auto"/>
        </w:rPr>
      </w:pPr>
    </w:p>
    <w:p>
      <w:pPr>
        <w:jc w:val="both"/>
        <w:ind w:firstLine="656"/>
        <w:spacing w:after="0" w:line="259" w:lineRule="auto"/>
        <w:tabs>
          <w:tab w:leader="none" w:pos="128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Completion of the Pre-Closing Restructuring. Prior to the Closing, Seller and the Company Parties shall have completed the Pre-Closing Restructuring in accordance with the steps set forth on Schedule D and Holdco2 shall have delivered to Acquirer written confirmation from the IRS (or other evidence reasonably satisfactory to Acquirer) stating that the Company will retain its EIN following completion of the Transactions (the “Pre-Closing Restructuring Condition”).</w:t>
      </w:r>
    </w:p>
    <w:p>
      <w:pPr>
        <w:spacing w:after="0" w:line="132" w:lineRule="exact"/>
        <w:rPr>
          <w:rFonts w:ascii="Arial" w:cs="Arial" w:eastAsia="Arial" w:hAnsi="Arial"/>
          <w:sz w:val="18"/>
          <w:szCs w:val="18"/>
          <w:color w:val="auto"/>
        </w:rPr>
      </w:pPr>
    </w:p>
    <w:p>
      <w:pPr>
        <w:jc w:val="both"/>
        <w:ind w:firstLine="656"/>
        <w:spacing w:after="0" w:line="259"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Key Employee. Katherine Stueland shall have remained continuously employed on a full-time basis with the Company through the Closing, Ms. Stueland’s Key Employment Agreement shall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spacing w:after="0" w:line="132" w:lineRule="exact"/>
        <w:rPr>
          <w:rFonts w:ascii="Arial" w:cs="Arial" w:eastAsia="Arial" w:hAnsi="Arial"/>
          <w:sz w:val="18"/>
          <w:szCs w:val="18"/>
          <w:color w:val="auto"/>
        </w:rPr>
      </w:pPr>
    </w:p>
    <w:p>
      <w:pPr>
        <w:ind w:firstLine="656"/>
        <w:spacing w:after="0" w:line="342" w:lineRule="auto"/>
        <w:tabs>
          <w:tab w:leader="none" w:pos="129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Required Closing Contracts. A member of the Company Group and the applicable Third Parties shall have entered into the Required Closing Contracts and delivered copies thereof to Acquirer (together with the condition set forth in Section 2.3(b)(xii), the “Required Consent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At any time prior to the Closing, this Agreement may be terminated and the Mergers abandoned by authorized action taken by the terminating Party or Parties, whether before or after the Holdco2 Stockholder Approval is obtained:</w:t>
      </w:r>
    </w:p>
    <w:p>
      <w:pPr>
        <w:spacing w:after="0" w:line="116"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mutual written consent of Acquirer and Seller duly authorized by the Acquirer Board and the Seller Board, respectively;</w:t>
      </w:r>
    </w:p>
    <w:p>
      <w:pPr>
        <w:spacing w:after="0" w:line="171" w:lineRule="exact"/>
        <w:rPr>
          <w:rFonts w:ascii="Arial" w:cs="Arial" w:eastAsia="Arial" w:hAnsi="Arial"/>
          <w:sz w:val="18"/>
          <w:szCs w:val="18"/>
          <w:color w:val="auto"/>
        </w:rPr>
      </w:pPr>
    </w:p>
    <w:p>
      <w:pPr>
        <w:jc w:val="both"/>
        <w:ind w:firstLine="656"/>
        <w:spacing w:after="0" w:line="271" w:lineRule="auto"/>
        <w:tabs>
          <w:tab w:leader="none" w:pos="129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by either Acquirer or Seller, by written notice to the other, if the Closing shall not have occurred on or before August 14, 2022 or such other date that Acquirer and Seller may agree upon in writing (the “Termination Date”); provided that Acquirer or Seller may, by written notice to the other such Party, extend the Termination Date to October 14, 2022 if, as of the initial Termination Date, (A) any one or more of the Antitrust Condition, Pre-Closing Restructuring Condition and Required Consent Condition shall not have been satisfied and (B) all of the other conditions to the Closing set forth in Article 6 shall have been satisfied or waived (other than the conditions that, by their terms, are intended to be satisfied at the Closing, which conditions only need to be capable of being satisfied at the Closing); provided, further, that the right to terminate this Agreement under this Section 7.1(b) shall not be available to any party whose breach of any covenant, agreement or obligation hereunder will have been the principal cause of, or shall have directly resulted in, the failure of the Closing to occur on or before the Termination Date;</w:t>
      </w:r>
    </w:p>
    <w:p>
      <w:pPr>
        <w:spacing w:after="0" w:line="124" w:lineRule="exact"/>
        <w:rPr>
          <w:rFonts w:ascii="Arial" w:cs="Arial" w:eastAsia="Arial" w:hAnsi="Arial"/>
          <w:sz w:val="17"/>
          <w:szCs w:val="17"/>
          <w:color w:val="auto"/>
        </w:rPr>
      </w:pPr>
    </w:p>
    <w:p>
      <w:pPr>
        <w:ind w:firstLine="656"/>
        <w:spacing w:after="0" w:line="277" w:lineRule="auto"/>
        <w:tabs>
          <w:tab w:leader="none" w:pos="129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either Acquirer or Seller, by written notice to the other, if any Order of a Governmental Authority of competent authority preventing the consummation of the Mergers shall have become final and non-appealable;</w:t>
      </w:r>
    </w:p>
    <w:p>
      <w:pPr>
        <w:spacing w:after="0" w:line="116"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Acquirer, by written notice to Seller, if (i) there shall have been an inaccuracy in any representation or warranty made by, or a breach of any covenant, agreement or obligation of, the Company Parties or Seller herein and such inaccuracy or breach shall not have been cured within 30 days after receipt by Seller of written notice from Acquirer of such inaccuracy or breach and, if not cured within such period and at or prior to the Closing, such inaccuracy or breach would result in the failure of any of the conditions set forth in Section 6.1 or Section 6.3 to be satisfied (provided that no such cure period shall be available or applicable to any such breach that by its nature cannot be cured); (ii) the Holdco2 Stockholder Approval is not obtained within seven (7) days following the execution of this Agreement; or</w:t>
      </w:r>
    </w:p>
    <w:p>
      <w:pPr>
        <w:spacing w:after="0" w:line="138"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by Seller, by written notice to Acquirer, if there shall have been an inaccuracy in any representation or warranty made by, or a breach of any covenant, agreement or obligation of, Acquirer or any of the Acquirer Parties herein and such inaccuracy or breach shall not have been cured within 30 days after receipt by Acquirer of written notice from Seller of such inaccuracy or breach and, if not cured within such period and at or prior to the Closing, such breach would result in the failure of any of the conditions set forth in Section 6.1 or Section 6.2 to be satisfied (provided that no such cure period shall be available or applicable to any such inaccuracy or breach that by its nature cannot be cured).</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as provided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this Agreement shall forthwith become void and there shall be no Liability on the part of the Parties or their respective officers, directors, stockholders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(Confidentiality; Public Disclosure),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(Effect of Termination),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(Miscellaneous) and any related definition provisions in or referenced in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(Definitions) and the Confidentiality Agreement shall remain in full force and effect and survive any termination of this Agreement and (ii) nothing herein shall relieve any party hereto from Liability in connection with any intentional misrepresentation made by, or a willful breach of any covenant, agreement or obligation of, such party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 of Representations; Claims Period.</w:t>
      </w:r>
    </w:p>
    <w:p>
      <w:pPr>
        <w:spacing w:after="0" w:line="171" w:lineRule="exact"/>
        <w:rPr>
          <w:sz w:val="20"/>
          <w:szCs w:val="20"/>
          <w:color w:val="auto"/>
        </w:rPr>
      </w:pPr>
    </w:p>
    <w:p>
      <w:pPr>
        <w:jc w:val="both"/>
        <w:ind w:firstLine="656"/>
        <w:spacing w:after="0" w:line="272" w:lineRule="auto"/>
        <w:tabs>
          <w:tab w:leader="none" w:pos="129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representations and warranties contained in Article 3 and Article 4 that are not Fundamental Representations shall survive the Closing until the date that is 12 months following the Closing Date and the Fundamental Representations shall survive until the expiration of the applicable statute of limitations. All of the covenants and other agreements of the Parties contained in this Agreement to be performed at or prior to the Closing shall survive until the date that is 12 months following the Closing Date and all other covenants and other agreements of the Parties contained in this Agreement shall survive until fully performed or fulfilled. The period during which an Acquirer Indemnified Party may assert a claim for indemnification in respect of any of the matters set forth in clauses (iii) through (vi) of Section 8.2(a) shall survive indefinitely, except for the Repayment Obligations Indemnity, which period shall expire on the date that is two years following the Closing Date.</w:t>
      </w:r>
    </w:p>
    <w:p>
      <w:pPr>
        <w:spacing w:after="0" w:line="123"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claim for indemnification under this Article 8 must be asserted by a Claim Notice within the applicable survival period contemplated by Section 8.1(a), and if such a Claim Notice is given within such applicable period, the survival period for such representation, warranty, covenant or other agreement solely with respect to such claim shall continue until the claim is fully resolved.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Indemnification.</w:t>
      </w:r>
    </w:p>
    <w:p>
      <w:pPr>
        <w:spacing w:after="0" w:line="171" w:lineRule="exact"/>
        <w:rPr>
          <w:sz w:val="20"/>
          <w:szCs w:val="20"/>
          <w:color w:val="auto"/>
        </w:rPr>
      </w:pPr>
    </w:p>
    <w:p>
      <w:pPr>
        <w:jc w:val="both"/>
        <w:ind w:firstLine="656"/>
        <w:spacing w:after="0" w:line="255" w:lineRule="auto"/>
        <w:tabs>
          <w:tab w:leader="none" w:pos="129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From and after the Closing, subject to the provisions of this Article 8, Seller shall indemnify, defend and hold harmless each Acquirer Party and each of its Affiliates (including, after the Closing, the Surviving Entity and the other members of the Company Group) and each Acquirer Party’s Representatives (the “Acquirer Indemnified Parties”) from and against any and all damages, claims, losses, costs, Liabilities, expenses or amounts paid in settlement, including interest, fines, penalties, reasonable attorneys’ fees and expenses of investigation, defense, enforcement of this Agreement and remedial action (collectively, “Damages”), asserted against, suffered, sustained, accrued or incurred by such Acquirer Indemnified Party as a result of or relating to:</w:t>
      </w:r>
    </w:p>
    <w:p>
      <w:pPr>
        <w:spacing w:after="0" w:line="138" w:lineRule="exact"/>
        <w:rPr>
          <w:rFonts w:ascii="Arial" w:cs="Arial" w:eastAsia="Arial" w:hAnsi="Arial"/>
          <w:sz w:val="18"/>
          <w:szCs w:val="18"/>
          <w:color w:val="auto"/>
        </w:rPr>
      </w:pPr>
    </w:p>
    <w:p>
      <w:pPr>
        <w:jc w:val="both"/>
        <w:ind w:firstLine="1304"/>
        <w:spacing w:after="0" w:line="290" w:lineRule="auto"/>
        <w:tabs>
          <w:tab w:leader="none" w:pos="193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breach of, or any inaccuracy in, any representation or warranty of the Company Parties or Seller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provided that (x)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and (y) and with respect to the representations and warranties in Sections 3.19(b), 3.19(h), 3.19(i), 3.19(p), 3.20(a), 3.20(e), 3.20(f) and 3.20(g) all Knowledge qualifications (such as , “to the Knowledge of the Company”) shall be disregarded for purposes of determining whether or not a breach has occurred);</w:t>
      </w:r>
    </w:p>
    <w:p>
      <w:pPr>
        <w:spacing w:after="0" w:line="111" w:lineRule="exact"/>
        <w:rPr>
          <w:rFonts w:ascii="Arial" w:cs="Arial" w:eastAsia="Arial" w:hAnsi="Arial"/>
          <w:sz w:val="16"/>
          <w:szCs w:val="16"/>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the Company or Seller under this Agreement;</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Liabilities not related to the Business;</w:t>
      </w:r>
    </w:p>
    <w:p>
      <w:pPr>
        <w:spacing w:after="0" w:line="171" w:lineRule="exact"/>
        <w:rPr>
          <w:rFonts w:ascii="Arial" w:cs="Arial" w:eastAsia="Arial" w:hAnsi="Arial"/>
          <w:sz w:val="18"/>
          <w:szCs w:val="18"/>
          <w:color w:val="auto"/>
        </w:rPr>
      </w:pPr>
    </w:p>
    <w:p>
      <w:pPr>
        <w:ind w:firstLine="1304"/>
        <w:spacing w:after="0" w:line="277" w:lineRule="auto"/>
        <w:tabs>
          <w:tab w:leader="none" w:pos="193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Indebtedness of the Company Group or Transaction Expenses to the extent not taken into account in the calculation of the Cash Consideration in accordance with this Agreement, as finally determined in accordance with Section 2.6;</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Pre-Closing Taxes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matter set forth on Schedule 8.2(a)(vi).</w:t>
      </w:r>
    </w:p>
    <w:p>
      <w:pPr>
        <w:spacing w:after="0" w:line="171" w:lineRule="exact"/>
        <w:rPr>
          <w:rFonts w:ascii="Arial" w:cs="Arial" w:eastAsia="Arial" w:hAnsi="Arial"/>
          <w:sz w:val="18"/>
          <w:szCs w:val="18"/>
          <w:color w:val="auto"/>
        </w:rPr>
      </w:pPr>
    </w:p>
    <w:p>
      <w:pPr>
        <w:ind w:firstLine="656"/>
        <w:spacing w:after="0" w:line="277" w:lineRule="auto"/>
        <w:tabs>
          <w:tab w:leader="none" w:pos="129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From and after the Closing, subject to the provisions of this Article 8, Acquirer shall indemnify, defend and hold harmless Seller and each of its Affiliates (excluding, after the Closing, the Surviving Entity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members of the Company Group) and Seller and such Affiliates’ respective Representatives (the “Seller Indemnified Parties” and together with the Acquirer Indemnified Parties, the “Indemnified Parties”) from and against any and all Damages asserted against, suffered, sustained, accrued or incurred by such Seller Indemnified Party as a result of or relating to:</w:t>
      </w:r>
    </w:p>
    <w:p>
      <w:pPr>
        <w:spacing w:after="0" w:line="130" w:lineRule="exact"/>
        <w:rPr>
          <w:sz w:val="20"/>
          <w:szCs w:val="20"/>
          <w:color w:val="auto"/>
        </w:rPr>
      </w:pPr>
    </w:p>
    <w:p>
      <w:pPr>
        <w:jc w:val="both"/>
        <w:ind w:firstLine="1304"/>
        <w:spacing w:after="0" w:line="291" w:lineRule="auto"/>
        <w:tabs>
          <w:tab w:leader="none" w:pos="193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breach of, or any inaccuracy in, any representation or warranty of the Acquirer Parties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or in the case of a Third Party Claim, any allegation that, if true, would constitute or evidence such a breach of, or inaccuracy in, any such representation or warranty; provided that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or</w:t>
      </w:r>
    </w:p>
    <w:p>
      <w:pPr>
        <w:spacing w:after="0" w:line="112" w:lineRule="exact"/>
        <w:rPr>
          <w:rFonts w:ascii="Arial" w:cs="Arial" w:eastAsia="Arial" w:hAnsi="Arial"/>
          <w:sz w:val="16"/>
          <w:szCs w:val="16"/>
          <w:color w:val="auto"/>
        </w:rPr>
      </w:pPr>
    </w:p>
    <w:p>
      <w:pPr>
        <w:ind w:left="1940" w:hanging="636"/>
        <w:spacing w:after="0"/>
        <w:tabs>
          <w:tab w:leader="none" w:pos="19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Company Parties or Seller under this Agreement.</w:t>
      </w:r>
    </w:p>
    <w:p>
      <w:pPr>
        <w:spacing w:after="0" w:line="171" w:lineRule="exact"/>
        <w:rPr>
          <w:rFonts w:ascii="Arial" w:cs="Arial" w:eastAsia="Arial" w:hAnsi="Arial"/>
          <w:sz w:val="18"/>
          <w:szCs w:val="18"/>
          <w:color w:val="auto"/>
        </w:rPr>
      </w:pPr>
    </w:p>
    <w:p>
      <w:pPr>
        <w:jc w:val="both"/>
        <w:ind w:firstLine="656"/>
        <w:spacing w:after="0" w:line="296" w:lineRule="auto"/>
        <w:tabs>
          <w:tab w:leader="none" w:pos="129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term “Damages” as used in this Article 8 is not limited to Third Party Claims, but includes Damages incurred or sustained by an Indemnified Party in the absence of Third Party Claims, and payments by an Indemnified Party shall not be a condition precedent to recovery; provided that Damages shall only include punitive damages to the extent such Indemnified Party is actually determined to be liable by a final judgment of the highest court with jurisdiction over the matter to a Third Party for such Damages in connection with a Third Party Claim and such Damages are indemnifiable pursuant to this Article 8. “Damages” shall not include consequential damages (except to the extent such damages would be reasonably foreseeable).</w:t>
      </w:r>
    </w:p>
    <w:p>
      <w:pPr>
        <w:spacing w:after="0" w:line="107"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Other than with respect to any claim for Fraud, no Indemnified Party shall be required to show reliance on any representation, warranty, covenant or agreement in order for such Indemnified Party to be entitled to indemnification, compensation or reimbursement in accordance with this Article 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Notice of Claims.</w:t>
      </w:r>
    </w:p>
    <w:p>
      <w:pPr>
        <w:spacing w:after="0" w:line="171" w:lineRule="exact"/>
        <w:rPr>
          <w:sz w:val="20"/>
          <w:szCs w:val="20"/>
          <w:color w:val="auto"/>
        </w:rPr>
      </w:pPr>
    </w:p>
    <w:p>
      <w:pPr>
        <w:jc w:val="both"/>
        <w:ind w:firstLine="656"/>
        <w:spacing w:after="0" w:line="271" w:lineRule="auto"/>
        <w:tabs>
          <w:tab w:leader="none" w:pos="129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Any Indemnified Party seeking indemnification hereunder shall, within the relevant limitation period provided for in Section 8.1, give to the relevant indemnifying Party (the “Indemnifying Party”) a notice (a “Claim Notice”) describing in reasonable detail the facts giving rise to such claim for indemnification and shall include in such Claim Notice whether such claim relates to a claim by a Third Party against such Indemnified Party (a “Third Party Claim”) and (if then known) the amount or the method of computation of the amount of such claim, and a reference to the provision of this Agreement or Transaction Certificate upon which such claim is based; provided, that a Claim Notice in respect of any Proceeding by or against a Third Party as to which indemnification shall be sought shall be given promptly after the Indemnified Party becomes aware that such Proceeding has been commenced; and provided, further, that failure to give such notice shall not affect such Indemnified Party’s right to indemnification hereunder except to the extent the Indemnifying Party shall have been materially prejudiced by such failure.</w:t>
      </w:r>
    </w:p>
    <w:p>
      <w:pPr>
        <w:spacing w:after="0" w:line="124" w:lineRule="exact"/>
        <w:rPr>
          <w:rFonts w:ascii="Arial" w:cs="Arial" w:eastAsia="Arial" w:hAnsi="Arial"/>
          <w:sz w:val="17"/>
          <w:szCs w:val="17"/>
          <w:color w:val="auto"/>
        </w:rPr>
      </w:pPr>
    </w:p>
    <w:p>
      <w:pPr>
        <w:jc w:val="both"/>
        <w:ind w:firstLine="656"/>
        <w:spacing w:after="0" w:line="257" w:lineRule="auto"/>
        <w:tabs>
          <w:tab w:leader="none" w:pos="129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Except in the case of a Third Party Claim, the Indemnifying Party shall have twenty (20) Business Days following receipt of any Claim Notice pursuant hereto to (i) agree to such indemnification claims and the amount or method of determination set forth in the Claim Notice and satisfy such indemnification claim in accordance with Section 8.6 or (ii) to provide such Indemnified Party with notice that it disagrees with any such indemnification claim or the amount or method of determination set forth in the Claim Notice and thereafter comply with the dispute resolution provisions set forth in Section 2.9(a).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129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Indemnifying Party shall have the right to conduct (at the Indemnifying Party’s expense) the defense of a Third Party Claim with counsel reasonably satisfactory to the Indemnified Party, upon delivery of notice to such Indemnified Party (the “Defense Notice”) within twenty (20) days after the Indemnifying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receipt of the Claim Notice; provided that the Defense Notice shall specify the counsel the Indemnifying Party will appoint to defend such Third Party Claim. The Indemnified Party shall be entitled to be indemnified for the reasonable fees and expenses of counsel for any period during which the Indemnifying Party has not assumed the defense of any such Third Party Claim in accordance herewith. If the Indemnifying Party delivers a Defense Notice and thereby elects to conduct the defense of the Third Party Claim, (i) such Indemnified Party will reasonably cooperate with and make available to the Indemnifying Party such assistance and materials as the Indemnifying Party may reasonably request, all at the sole expense of the Indemnifying Party,</w:t>
      </w:r>
    </w:p>
    <w:p>
      <w:pPr>
        <w:spacing w:after="0" w:line="2" w:lineRule="exact"/>
        <w:rPr>
          <w:sz w:val="20"/>
          <w:szCs w:val="20"/>
          <w:color w:val="auto"/>
        </w:rPr>
      </w:pPr>
    </w:p>
    <w:p>
      <w:pPr>
        <w:jc w:val="both"/>
        <w:ind w:firstLine="8"/>
        <w:spacing w:after="0" w:line="268" w:lineRule="auto"/>
        <w:tabs>
          <w:tab w:leader="none" w:pos="27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Indemnified Party shall have the right at its sole expense to participate in the defense (including any discussions or negotiations in connection with the settlement, adjustment or compromise) of such Third Party Claim assisted by counsel of its own choosing, (iii) the Indemnifying Party shall deliver to the Indemnified Party, reasonably in advance so as to provide the Indemnified Party a reasonable opportunity to review and comment, copies of all pleadings, notices, offers of settlement and communications with respect to such Third Party Claim to the extent that receipt of such documents does not affect any privilege relating to the Indemnifying Party, subject to execution by the Indemnified Party of the Indemnifying Party’s (and, if required, such third party’s) standard non-disclosure agreement if and to the extent that such materials contain confidential or proprietary information and (iv) the Indemnifying Party shall keep the Indemnified Party reasonably apprised of developments with respect to such Third Party Claim and the defense thereof, and shall consider, in good faith, any recommendations made by the Indemnified Party with respect thereto.</w:t>
      </w:r>
    </w:p>
    <w:p>
      <w:pPr>
        <w:spacing w:after="0" w:line="129" w:lineRule="exact"/>
        <w:rPr>
          <w:rFonts w:ascii="Arial" w:cs="Arial" w:eastAsia="Arial" w:hAnsi="Arial"/>
          <w:sz w:val="17"/>
          <w:szCs w:val="17"/>
          <w:color w:val="auto"/>
        </w:rPr>
      </w:pPr>
    </w:p>
    <w:p>
      <w:pPr>
        <w:jc w:val="both"/>
        <w:ind w:firstLine="656"/>
        <w:spacing w:after="0" w:line="285" w:lineRule="auto"/>
        <w:tabs>
          <w:tab w:leader="none" w:pos="129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Notwithstanding the foregoing, the Indemnifying Party shall not be entitled to control the defense of any Third Party Claim if: (i) such claim for indemnification is with respect to a Proceeding (A) by a Governmental Authority, (B) that would reasonably be expected to result in a Material Adverse Effect with respect to the Surviving Entity and the probable Damage with respect to such Third Party Claim exceed the amount for which the Indemnifying Party could be liable pursuant to this this Article 8, or (C) regarding material Company IP, (ii) the applicable Indemnified Party has been advised by counsel that a material conflict of interest exists between the Indemnifying Party and such Indemnified Party with respect to such Third Party Claim, (iii) the Indemnifying Party has failed to deliver the Defense Notice or is failing to adequately prosecute or defend such Third Party Claim, (iv) such Third Party Claim seeks an injunction or other equitable relief against such Indemnified Party, (v) the amount of such claim for indemnification exceeds the Merger Consideration or (vi) such Third Party Claim relates to the Repayment Obligations Indemnity. In the event of any of the foregoing circumstances where the Indemnified Party has nonetheless permitted the Indemnifying Party to control the defense of a Third Party Claim, the Indemnified Party shall be entitled to retain one counsel, at the expense of the Indemnifying Party;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one counsel to the Indemnified Party. If the Indemnifying Party elects not to compromise or defend such Third Party Claim or is not entitled to assume the defense under the terms of this Agreement, the Indemnified Party may pay, settle, compromise and defend such Third Party Claim and seek indemnification for any and all Damages to the extent indemnifiable pursuant to Section 8.2(a). If an Indemnified Party settles a Third Party Claim without the prior written consent of the applicable Indemnifying Party (such consent not to be unreasonably withheld, conditioned or delayed), such settlement shall not be determinative of the amount or existence of Damages for which the Indemnifying Party is liable hereunder; provided, that, in no event shall the Indemnifying Party be liable for any amount in excess of the Damages awarded or agreed upon with respect to such settlement, together with the reasonable expenses of defending such claim and pursuing recovery hereunder.</w:t>
      </w:r>
    </w:p>
    <w:p>
      <w:pPr>
        <w:spacing w:after="0" w:line="114" w:lineRule="exact"/>
        <w:rPr>
          <w:rFonts w:ascii="Arial" w:cs="Arial" w:eastAsia="Arial" w:hAnsi="Arial"/>
          <w:sz w:val="16"/>
          <w:szCs w:val="16"/>
          <w:color w:val="auto"/>
        </w:rPr>
      </w:pPr>
    </w:p>
    <w:p>
      <w:pPr>
        <w:jc w:val="both"/>
        <w:ind w:firstLine="656"/>
        <w:spacing w:after="0" w:line="275" w:lineRule="auto"/>
        <w:tabs>
          <w:tab w:leader="none" w:pos="1293"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The Indemnifying Party shall not, without the prior written consent of the applicable Indemnified Party: (i) settle a Third Party Claim or consent to the entry of any Proceeding which does not include an unconditional, duly authorized, fully executed and acknowledged written release by the claimant or plaintiff of the Indemnified Parties from all liability in respect of the Third Party Claim; (i) settle any Third Party Claim if the settlement imposes equitable remedies or other obligations on any Indemnified Party; or (iii) settle any Third Party Claim if the result is to admit civil or criminal liability or culpability on the part of any Indemnified Party that could give rise to criminal liability with respect to any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Limitations on Indemnity.</w:t>
      </w:r>
    </w:p>
    <w:p>
      <w:pPr>
        <w:spacing w:after="0" w:line="171" w:lineRule="exact"/>
        <w:rPr>
          <w:sz w:val="20"/>
          <w:szCs w:val="20"/>
          <w:color w:val="auto"/>
        </w:rPr>
      </w:pPr>
    </w:p>
    <w:p>
      <w:pPr>
        <w:jc w:val="both"/>
        <w:ind w:firstLine="656"/>
        <w:spacing w:after="0" w:line="263" w:lineRule="auto"/>
        <w:tabs>
          <w:tab w:leader="none" w:pos="12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Deductible; Liability Cap. With respect to any claim for indemnification pursuant to Section 8.2(a)(i), Section 8.2(a)(ii), Section 8.2(b)(i) or Section 8.2(b)(ii) (other than in respect of Fundamental Representations, covenants to be performed following the Closing or Fraud) (collectively, “General Claims”):</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(“De Minimis Claims”), and no De Minimis Claims shall be included in the calculation used to determine whether the Deductible shall have been satisfied;</w:t>
      </w:r>
    </w:p>
    <w:p>
      <w:pPr>
        <w:spacing w:after="0" w:line="132" w:lineRule="exact"/>
        <w:rPr>
          <w:rFonts w:ascii="Arial" w:cs="Arial" w:eastAsia="Arial" w:hAnsi="Arial"/>
          <w:sz w:val="18"/>
          <w:szCs w:val="18"/>
          <w:color w:val="auto"/>
        </w:rPr>
      </w:pPr>
    </w:p>
    <w:p>
      <w:pPr>
        <w:jc w:val="both"/>
        <w:ind w:firstLine="1304"/>
        <w:spacing w:after="0" w:line="311" w:lineRule="auto"/>
        <w:tabs>
          <w:tab w:leader="none" w:pos="1934"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Indemnifying Party shall not be liable for any such General Claims (or series of related General Claims) unless and until the aggregate of all indemnifiable Damages that may be recovered from such Indemnifying Party pursuant to Section 8.2(a)(i) or Section 8.2(b)(i), as applicable, exceeds $5,565,000 (the “Deductible”) and then such Indemnifying Party shall be liable only for those amount in excess of the Deductible; and</w:t>
      </w:r>
    </w:p>
    <w:p>
      <w:pPr>
        <w:spacing w:after="0" w:line="94" w:lineRule="exact"/>
        <w:rPr>
          <w:rFonts w:ascii="Arial" w:cs="Arial" w:eastAsia="Arial" w:hAnsi="Arial"/>
          <w:sz w:val="16"/>
          <w:szCs w:val="16"/>
          <w:color w:val="auto"/>
        </w:rPr>
      </w:pPr>
    </w:p>
    <w:p>
      <w:pPr>
        <w:ind w:left="1960" w:hanging="656"/>
        <w:spacing w:after="0"/>
        <w:tabs>
          <w:tab w:leader="none" w:pos="196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maximum aggregate Liability of an Indemnifying Party with respect to General Claims shall not exceed an amount equal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Escrow Amount.</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Maximum Liability Absent Fraud.</w:t>
      </w:r>
    </w:p>
    <w:p>
      <w:pPr>
        <w:spacing w:after="0" w:line="171" w:lineRule="exact"/>
        <w:rPr>
          <w:rFonts w:ascii="Arial" w:cs="Arial" w:eastAsia="Arial" w:hAnsi="Arial"/>
          <w:sz w:val="18"/>
          <w:szCs w:val="18"/>
          <w:color w:val="auto"/>
        </w:rPr>
      </w:pPr>
    </w:p>
    <w:p>
      <w:pPr>
        <w:jc w:val="both"/>
        <w:ind w:firstLine="1304"/>
        <w:spacing w:after="0" w:line="301" w:lineRule="auto"/>
        <w:tabs>
          <w:tab w:leader="none" w:pos="193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Except in the case of (i) Fundamental Claims involving Third Party Claims and (ii) Fraud, no Indemnifying Party shall be liable under this Article 8 for an aggregate amount in excess of the actual amount of the Merger Consideration paid to Seller (it being agreed that, for purposes of calculating such amount, the shares of Acquirer Stock received by Seller shall be deemed to have a value equal to the Share Value); provided that, with respect to the Repayment Obligations Indemnity, Seller’s maximum liability under this Article 8 shall not exceed an amount equal to $35,000,000.</w:t>
      </w:r>
    </w:p>
    <w:p>
      <w:pPr>
        <w:spacing w:after="0" w:line="103" w:lineRule="exact"/>
        <w:rPr>
          <w:rFonts w:ascii="Arial" w:cs="Arial" w:eastAsia="Arial" w:hAnsi="Arial"/>
          <w:sz w:val="16"/>
          <w:szCs w:val="16"/>
          <w:color w:val="auto"/>
        </w:rPr>
      </w:pPr>
    </w:p>
    <w:p>
      <w:pPr>
        <w:jc w:val="both"/>
        <w:ind w:firstLine="1304"/>
        <w:spacing w:after="0" w:line="263" w:lineRule="auto"/>
        <w:tabs>
          <w:tab w:leader="none" w:pos="193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In the case of (i) Fundamental Claims (other than the Repayment Obligations Indemnity, which shall be limited as set forth in Section 8.5(b)(i)) involving Third Party Claims or (ii) Fraud, no Indemnifying Party shall be liable under this Article 8 for an aggregate amount in excess of the actual amount of the Total Merger Consideration paid to Seller.</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Insurance Proceeds; Tax Benefits.</w:t>
      </w:r>
    </w:p>
    <w:p>
      <w:pPr>
        <w:spacing w:after="0" w:line="171" w:lineRule="exact"/>
        <w:rPr>
          <w:rFonts w:ascii="Arial" w:cs="Arial" w:eastAsia="Arial" w:hAnsi="Arial"/>
          <w:sz w:val="18"/>
          <w:szCs w:val="18"/>
          <w:color w:val="auto"/>
        </w:rPr>
      </w:pPr>
    </w:p>
    <w:p>
      <w:pPr>
        <w:jc w:val="both"/>
        <w:ind w:firstLine="1304"/>
        <w:spacing w:after="0" w:line="254" w:lineRule="auto"/>
        <w:tabs>
          <w:tab w:leader="none" w:pos="193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amount of any Damages suffered by any Indemnified Party shall be calculated after giving effect to any payments from insurance, indemnity, contribution or other similar sources of recovery, in each case net of any related costs and expenses of the Indemnified Party, including the aggregate cost of pursuing insurance claims, incremental increases in insurance premiums or other chargebacks, legal fees, costs of investigation and other related expenses (each, a “Net Payment”). If an Indemnified Party receives a Net Payment after receiving payment from an Indemnifying Party with respect to the same Damages, and as a result the Indemnified Party has recovered amounts in excess of the total amount of the Damages, then the Indemnified Party shall promptly reimburse the Indemnifying Party the amount of such excess. With respect to any indemnifiable Damages, if and to the extent required by applicable Law, an Indemnified Party shall use its commercially reasonable efforts to mitigate any Damages for which it seeks indemnity hereunder.</w:t>
      </w:r>
    </w:p>
    <w:p>
      <w:pPr>
        <w:spacing w:after="0" w:line="137" w:lineRule="exact"/>
        <w:rPr>
          <w:rFonts w:ascii="Arial" w:cs="Arial" w:eastAsia="Arial" w:hAnsi="Arial"/>
          <w:sz w:val="18"/>
          <w:szCs w:val="18"/>
          <w:color w:val="auto"/>
        </w:rPr>
      </w:pPr>
    </w:p>
    <w:p>
      <w:pPr>
        <w:jc w:val="both"/>
        <w:ind w:firstLine="1304"/>
        <w:spacing w:after="0" w:line="293" w:lineRule="auto"/>
        <w:tabs>
          <w:tab w:leader="none" w:pos="1934"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amount of any Damages for which an indemnity is to be provided hereunder shall be reduced by the amount of any actual net reduction in Taxes paid by the Company Group, their Subsidiaries and Affiliates (including Acquirer and any parent corporation of a consolidated or combined group which any member of the Company Group and/or its Subsidiaries may become a member of) as a result of incurring such Damages to the extent such reduction in Taxes arises in the year in which such Damages are incurred or in the three (3) years immediately after the year in which such Damages are incurred, determined on a “with and without” basis. To the extent an Indemnified Party or any of its Affiliates realizes a greater Tax benefit with respect to particular Damages in the year the Damages are incurred or in the three (3) years immediately after the year in which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were incurred subsequent to a payment by the Indemnifying Party in respect of such Damages than was taken into account at the time of such payment, then such Indemnified Party shall promptly reimburse the Indemnifying Party for any such payment up to the amount of such greater Tax benefit.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Payment of Indemnification Claims; Release of Escrow Amount; Set-off.</w:t>
      </w:r>
    </w:p>
    <w:p>
      <w:pPr>
        <w:spacing w:after="0" w:line="171" w:lineRule="exact"/>
        <w:rPr>
          <w:sz w:val="20"/>
          <w:szCs w:val="20"/>
          <w:color w:val="auto"/>
        </w:rPr>
      </w:pPr>
    </w:p>
    <w:p>
      <w:pPr>
        <w:ind w:firstLine="656"/>
        <w:spacing w:after="0" w:line="277" w:lineRule="auto"/>
        <w:tabs>
          <w:tab w:leader="none" w:pos="129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In the event a claim for indemnification under this Article 8 shall have been finally determined, the amount of the related Damages (after taking into account the limitations of Section 8.5):</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8" w:val="left"/>
        </w:tabs>
        <w:numPr>
          <w:ilvl w:val="2"/>
          <w:numId w:val="306"/>
        </w:numPr>
        <w:rPr>
          <w:rFonts w:ascii="Arial" w:cs="Arial" w:eastAsia="Arial" w:hAnsi="Arial"/>
          <w:sz w:val="18"/>
          <w:szCs w:val="18"/>
          <w:color w:val="auto"/>
        </w:rPr>
      </w:pPr>
      <w:r>
        <w:rPr>
          <w:rFonts w:ascii="Arial" w:cs="Arial" w:eastAsia="Arial" w:hAnsi="Arial"/>
          <w:sz w:val="18"/>
          <w:szCs w:val="18"/>
          <w:color w:val="auto"/>
        </w:rPr>
        <w:t>shall, in the case of a General Claim, not exceed the Escrow Amount and, subject to Section 8.6(b), the Acquirer Indemnified Parties’ sole and exclusive recourse against Seller shall be against the Escrow Account (with any such recoveries satisfied 25% in cash and 75% in shares of Acquirer Stock (based on the Share Value)); and</w:t>
      </w:r>
    </w:p>
    <w:p>
      <w:pPr>
        <w:spacing w:after="0" w:line="129" w:lineRule="exact"/>
        <w:rPr>
          <w:rFonts w:ascii="Arial" w:cs="Arial" w:eastAsia="Arial" w:hAnsi="Arial"/>
          <w:sz w:val="18"/>
          <w:szCs w:val="18"/>
          <w:color w:val="auto"/>
        </w:rPr>
      </w:pPr>
    </w:p>
    <w:p>
      <w:pPr>
        <w:jc w:val="both"/>
        <w:ind w:firstLine="1304"/>
        <w:spacing w:after="0" w:line="291" w:lineRule="auto"/>
        <w:tabs>
          <w:tab w:leader="none" w:pos="1934" w:val="left"/>
        </w:tabs>
        <w:numPr>
          <w:ilvl w:val="2"/>
          <w:numId w:val="306"/>
        </w:numPr>
        <w:rPr>
          <w:rFonts w:ascii="Arial" w:cs="Arial" w:eastAsia="Arial" w:hAnsi="Arial"/>
          <w:sz w:val="16"/>
          <w:szCs w:val="16"/>
          <w:color w:val="auto"/>
        </w:rPr>
      </w:pPr>
      <w:r>
        <w:rPr>
          <w:rFonts w:ascii="Arial" w:cs="Arial" w:eastAsia="Arial" w:hAnsi="Arial"/>
          <w:sz w:val="16"/>
          <w:szCs w:val="16"/>
          <w:color w:val="auto"/>
        </w:rPr>
        <w:t>may, in the case of any claim for indemnification under Section 8.2(a) or Section 8.2(b) (including in respect of Fundamental Representations and covenants to be performed following the Closing) that is not a General Claim (collectively, the “Fundamental Claims”), be satisfied:</w:t>
      </w:r>
    </w:p>
    <w:p>
      <w:pPr>
        <w:jc w:val="both"/>
        <w:ind w:firstLine="8"/>
        <w:spacing w:after="0" w:line="273" w:lineRule="auto"/>
        <w:tabs>
          <w:tab w:leader="none" w:pos="30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 the case of claims against Seller: (1) against the Escrow Account, (2) by way of set-off against any Milestone Payment or (3) directly against Seller (it being agreed that, unless otherwise directed by Acquirer, Seller shall satisfy its portion of any such claim through a combination of cash payment and surrender to Acquirer of the number of shares of Acquirer Stock based on the Share Value pro rata in proportion to the relative proportions of Stock Consideration and Cash Consideration) and (B) in the case of claims against Acquirer, directly against Acquirer.</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claim, the Indemnifying Party’s Liability therefor and the amount of the related Damages shall be “</w:t>
      </w:r>
      <w:r>
        <w:rPr>
          <w:rFonts w:ascii="Arial" w:cs="Arial" w:eastAsia="Arial" w:hAnsi="Arial"/>
          <w:sz w:val="18"/>
          <w:szCs w:val="18"/>
          <w:b w:val="1"/>
          <w:bCs w:val="1"/>
          <w:i w:val="1"/>
          <w:iCs w:val="1"/>
          <w:color w:val="auto"/>
        </w:rPr>
        <w:t>finally determined</w:t>
      </w:r>
      <w:r>
        <w:rPr>
          <w:rFonts w:ascii="Arial" w:cs="Arial" w:eastAsia="Arial" w:hAnsi="Arial"/>
          <w:sz w:val="18"/>
          <w:szCs w:val="18"/>
          <w:color w:val="auto"/>
        </w:rPr>
        <w:t>” when the parties to such claim have so determined by mutual written agreement or, if disputed, when a final and non-appealable Order of a court of competent jurisdiction shall have been entered concerning such matters.</w:t>
      </w:r>
    </w:p>
    <w:p>
      <w:pPr>
        <w:spacing w:after="0" w:line="130" w:lineRule="exact"/>
        <w:rPr>
          <w:sz w:val="20"/>
          <w:szCs w:val="20"/>
          <w:color w:val="auto"/>
        </w:rPr>
      </w:pPr>
    </w:p>
    <w:p>
      <w:pPr>
        <w:jc w:val="both"/>
        <w:ind w:firstLine="656"/>
        <w:spacing w:after="0" w:line="254" w:lineRule="auto"/>
        <w:tabs>
          <w:tab w:leader="none" w:pos="129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amounts that an Acquirer Indemnified Party recovers from the Escrow Account with respect to Fundamental Claims shall not reduce the amount that an Acquirer Indemnified Party may recover with respect to General Claims. By way of illustration and not limitation, assuming there are no other claims for indemnification, compensation or reimbursement, in the event that Damages resulting from a Fundamental Claim are first satisfied from the Escrow Account and such recovery fully depletes the Escrow Account, the maximum amount recoverable by an Acquirer Indemnified Party pursuant to a subsequent General Claim shall continue to be the Escrow Amount irrespective of the fact that the Escrow Account was used to satisfy such Fundamental Claim, such that the amount recoverable for such two claims would be the same regardless of the chronological order in which they were made.</w:t>
      </w:r>
    </w:p>
    <w:p>
      <w:pPr>
        <w:spacing w:after="0" w:line="140" w:lineRule="exact"/>
        <w:rPr>
          <w:rFonts w:ascii="Arial" w:cs="Arial" w:eastAsia="Arial" w:hAnsi="Arial"/>
          <w:sz w:val="18"/>
          <w:szCs w:val="18"/>
          <w:color w:val="auto"/>
        </w:rPr>
      </w:pPr>
    </w:p>
    <w:p>
      <w:pPr>
        <w:jc w:val="both"/>
        <w:ind w:firstLine="656"/>
        <w:spacing w:after="0" w:line="271" w:lineRule="auto"/>
        <w:tabs>
          <w:tab w:leader="none" w:pos="129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Escrow Agent will hold the Escrow Amount in the Escrow Account until the Escrow Expiration Date. On or before the second (2nd) Business Day after the Escrow Expiration Date, Acquirer shall notify Seller in writing of the amount that Acquirer reasonably determines in good faith to be necessary to satisfy all pending claims for indemnification that have been asserted in any Claim Notice that was delivered to Seller at or prior to 11:59 p.m. Eastern time on the Escrow Expiration Date, but not resolved, at or prior to such time (each such claim a “Continuing Claim” and such amount, the “Unresolved Escrow Amount”). Within five Business Days following the Escrow Expiration Date, (i) Acquirer and Seller shall deliver a joint instruction to the Escrow Agent instructing the Escrow Agent to release and distribute to Seller (A) the amount then-remaining in the Escrow Account as of the Escrow Expiration Date, minus (B) an amount equal to the Unresolved Escrow Amount and (ii) Acquirer shall direct its transfer agent to remove any restrictive escrow legends from any shares of Acquirer Stock to be released from escrow to Seller.</w:t>
      </w:r>
    </w:p>
    <w:p>
      <w:pPr>
        <w:spacing w:after="0" w:line="124" w:lineRule="exact"/>
        <w:rPr>
          <w:rFonts w:ascii="Arial" w:cs="Arial" w:eastAsia="Arial" w:hAnsi="Arial"/>
          <w:sz w:val="17"/>
          <w:szCs w:val="17"/>
          <w:color w:val="auto"/>
        </w:rPr>
      </w:pPr>
    </w:p>
    <w:p>
      <w:pPr>
        <w:jc w:val="both"/>
        <w:ind w:firstLine="656"/>
        <w:spacing w:after="0" w:line="296" w:lineRule="auto"/>
        <w:tabs>
          <w:tab w:leader="none" w:pos="129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Following the Escrow Expiration Date, after resolution and payment of a Continuing Claim, (i) Acquirer and Seller shall deliver a joint instruction to the Escrow Agent instructing the Escrow Agent to release to Seller from the Escrow Account an amount in the aggregate equal to (A) the amount then-remaining in the Escrow Account as of the date of such resolution and payment, minus (B) the amounts then being held in the Escrow Account in respect of Continuing Claims that have not been resolved (which amounts will continue to be held as the Unresolved Escrow Amount) and (ii) Acquirer shall direct its transfer agent to remove any restrictive escrow legends from any shares of Acquirer Stock to be so released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44" w:lineRule="exact"/>
        <w:rPr>
          <w:sz w:val="20"/>
          <w:szCs w:val="20"/>
          <w:color w:val="auto"/>
        </w:rPr>
      </w:pPr>
    </w:p>
    <w:p>
      <w:pPr>
        <w:jc w:val="both"/>
        <w:ind w:firstLine="656"/>
        <w:spacing w:after="0" w:line="275" w:lineRule="auto"/>
        <w:tabs>
          <w:tab w:leader="none" w:pos="129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If an amount has been claimed under a Claim Notice by an Acquirer Indemnified Party pursuant to Section 8.3(a) and finally determined, and if the Milestone Payments have not yet been fully paid pursuant to Article 2, Acquirer may set-off such finally determined amounts against any Milestone Payments not yet paid pursuant to Article 2, by deducting (i) cash on a dollar-for-dollar basis with respect to any portion of the Milestone Payments made in cash and/or (ii) by deducting a number of shares of Acquirer Stock equal to such finally determined amount divided by the Share Value with respect to Milestone Payments made in Acquirer Stock, subject to the limitations set forth in Section 8.5.</w:t>
      </w:r>
    </w:p>
    <w:p>
      <w:pPr>
        <w:spacing w:after="0" w:line="122" w:lineRule="exact"/>
        <w:rPr>
          <w:rFonts w:ascii="Arial" w:cs="Arial" w:eastAsia="Arial" w:hAnsi="Arial"/>
          <w:sz w:val="17"/>
          <w:szCs w:val="17"/>
          <w:color w:val="auto"/>
        </w:rPr>
      </w:pPr>
    </w:p>
    <w:p>
      <w:pPr>
        <w:jc w:val="both"/>
        <w:ind w:firstLine="656"/>
        <w:spacing w:after="0" w:line="257" w:lineRule="auto"/>
        <w:tabs>
          <w:tab w:leader="none" w:pos="12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Seller waives, and acknowledges and agrees that it shall not have and shall not exercise or assert (or attempt to exercise or assert), any right of contribution, right of indemnity or other right or remedy against any member of the Company Group for any indemnification claims asserted by any Acquirer Indemnified Party in connection with any indemnification obligation or any other Liability to which Seller may become subject under this Article 8, it being acknowledged and agreed that the representations, warranties, covenants and agreements of the Company Parties and Seller are solely for the benefit of Acquirer Indemnified Parties.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Except as provided under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from and after the Closing, the remedies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shall be the sole and exclusive monetary remedies of the Indemnified Parties with respect to any breach of the Company Parties’ and Seller’s representations, warranties, covenants and agreements set forth in this Agreement or otherwise arising out of this Agreement, regardless of the theory or cause of action pled, except for the remedies of specific performance, injunction and other equitable relief;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Party hereto shall be deemed to have waived any rights, claims, causes of action or remedies, and none of the limitations contained herein shall limit any recovery related thereto, in the case of a Party’s Fraud or such rights, claims, causes of action or remedies may not be waived under applicable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xml:space="preserve">. This Agreement and the rights and obligations of the Parties hereunder shall not be assignable or transferable by any Party (including in connection with a merger, consolidation, sale of substantially all of the assets of such Party or otherwise by operation of Law) without the prior written consent of (a) Acquirer, in the case of any such attempted assignment or transfer by Seller or any Company Party or (b) Seller, in the case of any such attempted assignment or transfer by any Acquirer Party. Any attempted assignment in violation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null and void. Subject to the foregoing, this Agreement shall be binding upon and inure to the benefit of the Parties and their respective successors and permitted assigns.</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to the other Parties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 Acquirer Party, or after the Closing, to any member of the Company Group:</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legal@sema4.com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eskerry@fenwick.com; vlupu@fenwick.com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Ethan A. Skerry; Victoria A. Lupu</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 or, prior to Closing, the Company Parties, to: OPKO Health, Inc.</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4400 Biscayne Blvd.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Steven D. Rubin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srubin@opko.com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Greenberg Traurig, P.A.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S.E. 2nd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grossmanb@gtlaw.com; altmand@gtlaw.com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L. Grossman; Drew M. Altman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Jurisdiction; Venue</w:t>
      </w:r>
      <w:r>
        <w:rPr>
          <w:rFonts w:ascii="Arial" w:cs="Arial" w:eastAsia="Arial" w:hAnsi="Arial"/>
          <w:sz w:val="16"/>
          <w:szCs w:val="16"/>
          <w:color w:val="auto"/>
        </w:rPr>
        <w:t xml:space="preserve">. Each of the Parties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in connection with any Dispute and agrees that process shall be served upon such Party in the manner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and that service in such manner shall constitute valid and sufficient service of process. Each Party waives and covenants not to assert or plead any objection that such Party might otherwise have to such jurisdiction, venue and process. Each Party hereby agrees not to commence any legal proceedings relating to or arising out of this Agreement or the Transactions in any jurisdiction or courts other than as provided herein.</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modified, superseded or canceled and any of the terms, covenants, representations, warranties or conditions hereof may be waived only by an instrument in writing signed by Acquirer and Seller, or, in the case of a waiver, by or on behalf of the Party waiving compliance (which, in the case of a waiver of any obligation of Acquirer following the Closing, shall be Seller). No course of dealing between the Parties shall be effective to amend or waive any provision of this Agreement. The waiver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Schedules; Exhibits</w:t>
      </w:r>
      <w:r>
        <w:rPr>
          <w:rFonts w:ascii="Arial" w:cs="Arial" w:eastAsia="Arial" w:hAnsi="Arial"/>
          <w:sz w:val="18"/>
          <w:szCs w:val="18"/>
          <w:color w:val="auto"/>
        </w:rPr>
        <w:t>. The Schedules and the Exhibits referenced in this Agreement are a material part hereof and shall be treated as if fully incorporated into the body of the Agreement.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xml:space="preserve">. Nothing expressed or referred to in this Agreement will be construed to give any Person other than the Parties (and their successors and permitted assigns), the D&amp;O Indemnified Persons pursuant to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and Indemnified Parties that are not Parties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any legal or equitable right, remedy, or claim under or with respect to this Agreement or any provision of this Agreement.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all fees and expenses incurred in connection with this Agreement and the Transactions, including fees and expenses of financial advisors, financial sponsors, legal counsel and other advisors, shall be paid by the Party incurring such expenses whether or not the Transactions are consummated.</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Injunctive Relief; Specific Performance</w:t>
      </w:r>
      <w:r>
        <w:rPr>
          <w:rFonts w:ascii="Arial" w:cs="Arial" w:eastAsia="Arial" w:hAnsi="Arial"/>
          <w:sz w:val="18"/>
          <w:szCs w:val="18"/>
          <w:color w:val="auto"/>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each Party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Upon the reasonable request of Acquirer or Seller, each Party will, on and after the Closing Date, 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Ancillary Agreements, the Confidentiality Agreement and the other documents and instruments specifically referred to herein, all Exhibits and Schedules hereto (which are a material part hereof and shall be treated as if fully incorporated into the body of this Agreement), and the Company Disclosure Schedules and the Acquirer Disclosure Schedules, constitutes the entire agreement among the Parties pertaining to the subject matter hereof and supersedes all prior agreements, understandings, negotiations and discussions, whether oral or written,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9.16 </w:t>
      </w:r>
      <w:r>
        <w:rPr>
          <w:rFonts w:ascii="Arial" w:cs="Arial" w:eastAsia="Arial" w:hAnsi="Arial"/>
          <w:sz w:val="16"/>
          <w:szCs w:val="16"/>
          <w:u w:val="single" w:color="auto"/>
          <w:color w:val="auto"/>
        </w:rPr>
        <w:t>Investigation and Non-Reliance</w:t>
      </w:r>
      <w:r>
        <w:rPr>
          <w:rFonts w:ascii="Arial" w:cs="Arial" w:eastAsia="Arial" w:hAnsi="Arial"/>
          <w:sz w:val="16"/>
          <w:szCs w:val="16"/>
          <w:color w:val="auto"/>
        </w:rPr>
        <w:t xml:space="preserve">. Each of Seller and the Company Parties, on one hand, and the Acquirer Parties, on the other, is a sophisticated seller or purchaser, as the case may be, and has made its own independent investigation, review and analysis regarding the other Party and the Transactions, which investigation, review and analysis were conducted by such Party together with its advisors, including legal counsel, that it has engaged for such purpose. No Party or any of their respective Affiliates or Representatives has made any representation or warranty, express or implied, as to the accuracy or completeness of any information concerning such Party made available in connection with any investigation of such Party, except as expressly set forth in this Agreement. No Party has relied and no Party is relying on any statement, representation or warranty, oral or written, express or implied, made by the other Party, or any their respective Affiliates or Representatives, except as expressly set forth in </w:t>
      </w:r>
      <w:r>
        <w:rPr>
          <w:rFonts w:ascii="Arial" w:cs="Arial" w:eastAsia="Arial" w:hAnsi="Arial"/>
          <w:sz w:val="16"/>
          <w:szCs w:val="16"/>
          <w:u w:val="single" w:color="auto"/>
          <w:color w:val="auto"/>
        </w:rPr>
        <w:t>Article 3, Article 4</w:t>
      </w:r>
      <w:r>
        <w:rPr>
          <w:rFonts w:ascii="Arial" w:cs="Arial" w:eastAsia="Arial" w:hAnsi="Arial"/>
          <w:sz w:val="16"/>
          <w:szCs w:val="16"/>
          <w:color w:val="auto"/>
        </w:rPr>
        <w:t xml:space="preserve"> or any Transaction Certificates (or, with respect to Seller and the other Lock-Up Holders, the Shareholder Agreement). No Party or any of their respective Affiliates or Representatives shall have or be subject to any liability to any other Party or any other Person resulting from the distribution to any other Party, or such other Party’s use of, any information, documents or materials made available to such Party in the Data Room. No Party or any of their respective Affiliates or Representatives is making, directly or indirectly, any representation or warranty with respect to any estimates, projections or forecasts involving the such Party or any other Person. Each Party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duly executed by their respective officers thereunto duly authorized, all as of the date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GENEDX,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Katherine Stueland</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GENEDX HOLDING 2,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Steven D. Rubin</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OPKO HEALTH,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Steven D. Rubin</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Executive Vice President,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 and Reorganization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duly executed by their respective officers thereunto duly authorized, all as of the date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ORION MERGER SUB I,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ORION MERGER SUB II,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 and Reorganization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Shareholder Agreement</w:t>
      </w:r>
    </w:p>
    <w:p>
      <w:pPr>
        <w:sectPr>
          <w:pgSz w:w="11900" w:h="16838" w:orient="portrait"/>
          <w:cols w:equalWidth="0" w:num="1">
            <w:col w:w="9019"/>
          </w:cols>
          <w:pgMar w:left="1440" w:top="1440" w:right="1440" w:bottom="1440" w:gutter="0" w:footer="0" w:header="0"/>
        </w:sectPr>
      </w:pPr>
    </w:p>
    <w:bookmarkStart w:id="428" w:name="page429"/>
    <w:bookmarkEnd w:id="42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AGREEMENT</w:t>
      </w:r>
    </w:p>
    <w:p>
      <w:pPr>
        <w:spacing w:after="0" w:line="175" w:lineRule="exact"/>
        <w:rPr>
          <w:sz w:val="20"/>
          <w:szCs w:val="20"/>
          <w:color w:val="auto"/>
        </w:rPr>
      </w:pPr>
    </w:p>
    <w:p>
      <w:pPr>
        <w:jc w:val="both"/>
        <w:ind w:left="10220"/>
        <w:spacing w:after="0"/>
        <w:tabs>
          <w:tab w:leader="none" w:pos="10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-10160</wp:posOffset>
            </wp:positionV>
            <wp:extent cx="285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relates to that certain Agreement and Plan of Merger, dated as of January 14, 2022 (as amended, restated, supplemented or modified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Sema4 Holdings Corp., a Delaware corporation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Orion Merger Sub I, Inc., a Delaware corporation, Orion Merger Sub II, LLC (“</w:t>
      </w:r>
      <w:r>
        <w:rPr>
          <w:rFonts w:ascii="Arial" w:cs="Arial" w:eastAsia="Arial" w:hAnsi="Arial"/>
          <w:sz w:val="18"/>
          <w:szCs w:val="18"/>
          <w:b w:val="1"/>
          <w:bCs w:val="1"/>
          <w:i w:val="1"/>
          <w:iCs w:val="1"/>
          <w:color w:val="auto"/>
        </w:rPr>
        <w:t>Merger Sub I</w:t>
      </w:r>
      <w:r>
        <w:rPr>
          <w:rFonts w:ascii="Arial" w:cs="Arial" w:eastAsia="Arial" w:hAnsi="Arial"/>
          <w:sz w:val="18"/>
          <w:szCs w:val="18"/>
          <w:color w:val="auto"/>
        </w:rPr>
        <w:t>”), a Delaware limited liability company (“</w:t>
      </w:r>
      <w:r>
        <w:rPr>
          <w:rFonts w:ascii="Arial" w:cs="Arial" w:eastAsia="Arial" w:hAnsi="Arial"/>
          <w:sz w:val="18"/>
          <w:szCs w:val="18"/>
          <w:b w:val="1"/>
          <w:bCs w:val="1"/>
          <w:i w:val="1"/>
          <w:iCs w:val="1"/>
          <w:color w:val="auto"/>
        </w:rPr>
        <w:t>Merger Sub II</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GeneDx, Inc, a New Jersey corporation, GeneDx Holding 2, Inc., a Delaware Corporation (“</w:t>
      </w:r>
      <w:r>
        <w:rPr>
          <w:rFonts w:ascii="Arial" w:cs="Arial" w:eastAsia="Arial" w:hAnsi="Arial"/>
          <w:sz w:val="18"/>
          <w:szCs w:val="18"/>
          <w:b w:val="1"/>
          <w:bCs w:val="1"/>
          <w:i w:val="1"/>
          <w:iCs w:val="1"/>
          <w:color w:val="auto"/>
        </w:rPr>
        <w:t>Holdco2</w:t>
      </w:r>
      <w:r>
        <w:rPr>
          <w:rFonts w:ascii="Arial" w:cs="Arial" w:eastAsia="Arial" w:hAnsi="Arial"/>
          <w:sz w:val="18"/>
          <w:szCs w:val="18"/>
          <w:color w:val="auto"/>
        </w:rPr>
        <w:t>”), and OPKO Health, Inc., a Delaware Corporation (the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pursuant to which Merger Sub I will merge with and into Holdco2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with Holdco2 surviving such merger, following which Holdco2 will merge with and into Merger Sub II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with Merger Sub II continuing on as the surviving entity (the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and a wholly owned subsidiary of Acquirer, on the terms and conditions set forth therein. Capitalized terms used and not otherwise defined herein are defined in the Merger Agreement and shall have the respective meanings given to such terms in the Merger Agreement.</w:t>
      </w:r>
    </w:p>
    <w:p>
      <w:pPr>
        <w:spacing w:after="0" w:line="137" w:lineRule="exact"/>
        <w:rPr>
          <w:sz w:val="20"/>
          <w:szCs w:val="20"/>
          <w:color w:val="auto"/>
        </w:rPr>
      </w:pPr>
    </w:p>
    <w:p>
      <w:pPr>
        <w:jc w:val="both"/>
        <w:ind w:firstLine="332"/>
        <w:spacing w:after="0" w:line="281" w:lineRule="auto"/>
        <w:tabs>
          <w:tab w:leader="none" w:pos="64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In order to induce the Acquirer Parties to consummate the transactions contemplated by the Merger Agreement </w:t>
      </w:r>
      <w:r>
        <w:rPr>
          <w:rFonts w:ascii="Arial" w:cs="Arial" w:eastAsia="Arial" w:hAnsi="Arial"/>
          <w:sz w:val="20"/>
          <w:szCs w:val="20"/>
          <w:color w:val="auto"/>
          <w:vertAlign w:val="superscript"/>
        </w:rPr>
        <w:t>1</w:t>
      </w:r>
      <w:r>
        <w:rPr>
          <w:rFonts w:ascii="Arial" w:cs="Arial" w:eastAsia="Arial" w:hAnsi="Arial"/>
          <w:sz w:val="16"/>
          <w:szCs w:val="16"/>
          <w:color w:val="auto"/>
        </w:rPr>
        <w:t>[and as a condition to any transaction in which the Seller would distribute or otherwise transfer shares of Acquirer Stock to the undersigned], the undersigned hereby agrees that[, with respect to the portion of the Merger Consideration distributed or otherwise transferred to the undersigned], from the Closing Date until: (a) in the case of the stock portion of the Merger Consideration issued at the Closing, the date that is one (1) year from the Closing Date, (b) if and to the extent earned, in the case of the stock portion of the first Milestone Payment, the date that is one (1) year from the date of issuance for such payment and (c) if and to the extent earned, in the case of the stock portion of the second Milestone Payment, the date that is six (6) months from the date of issuance of such stock (the period between the Closing Date and the date indicated in clause (a) or (b), as applicable, a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and the shares to which such respective Lock-Up Period applies, the “</w:t>
      </w:r>
      <w:r>
        <w:rPr>
          <w:rFonts w:ascii="Arial" w:cs="Arial" w:eastAsia="Arial" w:hAnsi="Arial"/>
          <w:sz w:val="16"/>
          <w:szCs w:val="16"/>
          <w:b w:val="1"/>
          <w:bCs w:val="1"/>
          <w:i w:val="1"/>
          <w:iCs w:val="1"/>
          <w:color w:val="auto"/>
        </w:rPr>
        <w:t>Lock-Up Shares</w:t>
      </w:r>
      <w:r>
        <w:rPr>
          <w:rFonts w:ascii="Arial" w:cs="Arial" w:eastAsia="Arial" w:hAnsi="Arial"/>
          <w:sz w:val="16"/>
          <w:szCs w:val="16"/>
          <w:color w:val="auto"/>
        </w:rPr>
        <w:t>”), the undersigned will not (i) offer, sell, contract to sell, pledge or otherwise dispose of, directly or indirectly, any Lock-Up Shares, (ii) enter into a transaction which would have the same effect, or (iii) enter into any swap, hedge or other arrangement that transfers, in whole or in part, any of the economic consequences of ownership of such Lock-Up Shares, whether any such aforementioned transaction is to be settled by delivery of such Lock-Up Shares, in cash or otherwise, or publicly disclose the intention to make any such offer, sale, pledge or disposition, or to enter into any such transaction, swap, hedge or other arrangement (collectively, clauses (i) through (iii), the “</w:t>
      </w:r>
      <w:r>
        <w:rPr>
          <w:rFonts w:ascii="Arial" w:cs="Arial" w:eastAsia="Arial" w:hAnsi="Arial"/>
          <w:sz w:val="16"/>
          <w:szCs w:val="16"/>
          <w:b w:val="1"/>
          <w:bCs w:val="1"/>
          <w:i w:val="1"/>
          <w:iCs w:val="1"/>
          <w:color w:val="auto"/>
        </w:rPr>
        <w:t>Restricted Actions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332"/>
        <w:spacing w:after="0" w:line="260" w:lineRule="auto"/>
        <w:tabs>
          <w:tab w:leader="none" w:pos="64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Following the termination of any applicable Lock-Up Period (such date, the “</w:t>
      </w:r>
      <w:r>
        <w:rPr>
          <w:rFonts w:ascii="Arial" w:cs="Arial" w:eastAsia="Arial" w:hAnsi="Arial"/>
          <w:sz w:val="17"/>
          <w:szCs w:val="17"/>
          <w:b w:val="1"/>
          <w:bCs w:val="1"/>
          <w:i w:val="1"/>
          <w:iCs w:val="1"/>
          <w:color w:val="auto"/>
        </w:rPr>
        <w:t>Lock-Up Termination Date</w:t>
      </w:r>
      <w:r>
        <w:rPr>
          <w:rFonts w:ascii="Arial" w:cs="Arial" w:eastAsia="Arial" w:hAnsi="Arial"/>
          <w:sz w:val="17"/>
          <w:szCs w:val="17"/>
          <w:color w:val="auto"/>
        </w:rPr>
        <w:t xml:space="preserve">”) and for so long as the undersigned is the record or beneficial owner of at least 5% of the issued and outstanding Acquirer Stock, the undersigned hereby agrees that during any consecutive ninety (90) day period following the applicable Lock-Up Termination Date, the undersigned shall not, without the prior written consent of Acquirer (such consent not to be unreasonably, withheld, conditioned or delayed), take any Restricted Action that would result in the sale or other disposition of Lock-Up Shares in an amount that exceeds 25% of the total number of shares of Acquirer Stock </w:t>
      </w:r>
      <w:r>
        <w:rPr>
          <w:rFonts w:ascii="Arial" w:cs="Arial" w:eastAsia="Arial" w:hAnsi="Arial"/>
          <w:sz w:val="22"/>
          <w:szCs w:val="22"/>
          <w:color w:val="auto"/>
          <w:vertAlign w:val="superscript"/>
        </w:rPr>
        <w:t>2</w:t>
      </w:r>
      <w:r>
        <w:rPr>
          <w:rFonts w:ascii="Arial" w:cs="Arial" w:eastAsia="Arial" w:hAnsi="Arial"/>
          <w:sz w:val="17"/>
          <w:szCs w:val="17"/>
          <w:color w:val="auto"/>
        </w:rPr>
        <w:t>[received by the undersigned in the Mergers][distributed or otherwise transferred to the undersigned by Seller], except as part of a marketed sale process for which one lead Bookrunner (as defined herein) has been selected by Acquirer in its sole discretion (such discretion to be exercised reasonably). For purposes of this Section 2, a “Bookrunner” shall mean a securities dealer who either (a) purchases the applicable securities as principal in an underwritten,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1" w:lineRule="exact"/>
        <w:rPr>
          <w:sz w:val="20"/>
          <w:szCs w:val="20"/>
          <w:color w:val="auto"/>
        </w:rPr>
      </w:pPr>
    </w:p>
    <w:p>
      <w:pPr>
        <w:ind w:left="100" w:hanging="92"/>
        <w:spacing w:after="0"/>
        <w:tabs>
          <w:tab w:leader="none" w:pos="100" w:val="left"/>
        </w:tabs>
        <w:numPr>
          <w:ilvl w:val="0"/>
          <w:numId w:val="311"/>
        </w:numPr>
        <w:rPr>
          <w:rFonts w:ascii="Arial" w:cs="Arial" w:eastAsia="Arial" w:hAnsi="Arial"/>
          <w:sz w:val="9"/>
          <w:szCs w:val="9"/>
          <w:color w:val="auto"/>
        </w:rPr>
      </w:pPr>
      <w:r>
        <w:rPr>
          <w:rFonts w:ascii="Arial" w:cs="Arial" w:eastAsia="Arial" w:hAnsi="Arial"/>
          <w:sz w:val="14"/>
          <w:szCs w:val="14"/>
          <w:color w:val="auto"/>
        </w:rPr>
        <w:t>Bracketed language to be included for OPKO stockholders.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Bracketed language for each of OPKO and its stockholders.</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or other public offering registered under the Securities Act and not solely as part of such dealer’s market-making activities or (b) acts as placement agent in a private placement or offering of the applicable securities.</w:t>
      </w:r>
    </w:p>
    <w:p>
      <w:pPr>
        <w:spacing w:after="0" w:line="116" w:lineRule="exact"/>
        <w:rPr>
          <w:sz w:val="20"/>
          <w:szCs w:val="20"/>
          <w:color w:val="auto"/>
        </w:rPr>
      </w:pPr>
    </w:p>
    <w:p>
      <w:pPr>
        <w:jc w:val="both"/>
        <w:ind w:firstLine="332"/>
        <w:spacing w:after="0" w:line="272" w:lineRule="auto"/>
        <w:tabs>
          <w:tab w:leader="none" w:pos="64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For the avoidance of doubt, none of the restrictions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 shall apply to: (a) any shares of Acquirer Stock purchased by the undersigned in the open market or in any private sale transaction or otherwise or in any public or private capital raising transaction of Acquirer or otherwise, other than the Lock-up Shares; or (b) the inclusion of any Lock-Up Shares (but not the subsequent sale or transfer of such Lock-Up Shares) as part of the Initial Shelf (as defined below) or any other Registration Statement (as defined below) filed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of this Agreement. For the avoidance of any doubt, the parties hereto acknowledge and agree that the undersigned shall retain all of its rights as a stockholder of Acquirer during the applicable Lock-up Period, including, without limitation, the right to vote, and to receive any dividends and distributions in respect of, the Lock-Up Shares, subject to the terms of this Agreement.</w:t>
      </w:r>
    </w:p>
    <w:p>
      <w:pPr>
        <w:spacing w:after="0" w:line="123" w:lineRule="exact"/>
        <w:rPr>
          <w:rFonts w:ascii="Arial" w:cs="Arial" w:eastAsia="Arial" w:hAnsi="Arial"/>
          <w:sz w:val="17"/>
          <w:szCs w:val="17"/>
          <w:color w:val="auto"/>
        </w:rPr>
      </w:pPr>
    </w:p>
    <w:p>
      <w:pPr>
        <w:jc w:val="both"/>
        <w:ind w:firstLine="332"/>
        <w:spacing w:after="0" w:line="263" w:lineRule="auto"/>
        <w:tabs>
          <w:tab w:leader="none" w:pos="64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undersigned hereby authorizes Acquirer during the applicable Lock-Up Period to cause its transfer agent for the Lock-Up Shares to decline to transfer, and to note stop transfer restrictions on the stock register and other records relating to the Lock-Up Shares for which the undersigned is the record holder.</w:t>
      </w:r>
    </w:p>
    <w:p>
      <w:pPr>
        <w:spacing w:after="0" w:line="129" w:lineRule="exact"/>
        <w:rPr>
          <w:rFonts w:ascii="Arial" w:cs="Arial" w:eastAsia="Arial" w:hAnsi="Arial"/>
          <w:sz w:val="18"/>
          <w:szCs w:val="18"/>
          <w:color w:val="auto"/>
        </w:rPr>
      </w:pPr>
    </w:p>
    <w:p>
      <w:pPr>
        <w:jc w:val="both"/>
        <w:ind w:firstLine="332"/>
        <w:spacing w:after="0" w:line="284" w:lineRule="auto"/>
        <w:tabs>
          <w:tab w:leader="none" w:pos="64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Notwithstanding the foregoing, the undersigned may sell or otherwise transfer the Lock-Up Shares during the undersigned’s lifetime or on death (or, if the undersigned is not a natural person, during its existence) (a) if the undersigned is not a natural person, to its managers, partners (direct or indirect), members or other direct or indirect equity holders until the Lock-Up Shares come to be held by a natural person or to any of its other Affiliates or any subsidiary, employee, officer, director, investment fund controlling, controlled,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to the immediate family members (for purposes of this Agreement,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xml:space="preserve">” shall mean any relationship by blood, current or former marriage, domestic partnership or adoption, not more remote than first cousin) of the undersigned, (c) to a partnership, limited liability company or other entity of which the undersigned and the immediate family members of the undersigned are the legal and beneficial owner of all of the outstanding equity securities or similar interests, (d) to a family trust, foundation or partnership established for the direct or indirect benefit of the undersigned, its equity holders or any of their respective immediate family members, or if the undersigned is a trust, to a trustor or beneficiary of the trust or to the estate of a beneficiary of such trust, (e) to a charitable foundation controlled by the undersigned, its Affiliates, partners, members or other direct or indirect equityholders or any of their respective immediate family members, (f) by will or intestacy, (g) by operation of law or pursuant to an order of a court (including a qualified domestic order, divorce settlement, divorce decree or separation agreement) or regulatory agency or (h) pursuant to a bona fide third-party tender offer, merger, consolidation or other similar transaction that is approved by the Acquirer Board and made to all holders of Acquirer’s capital stock involving an Acquirer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tender offer, merger, consolidation or other similar transaction is not completed, the undersigned’s Lock-Up Shares shall remain subject to the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each of clauses (a) through (g), any such sale or transfer shall be conditioned upon entry by such transferees into a written agreement, addressed to Acquirer, agreeing to be bound by these transfer restrictions and the other terms and conditions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125" w:lineRule="exact"/>
        <w:rPr>
          <w:rFonts w:ascii="Arial" w:cs="Arial" w:eastAsia="Arial" w:hAnsi="Arial"/>
          <w:sz w:val="16"/>
          <w:szCs w:val="16"/>
          <w:color w:val="auto"/>
        </w:rPr>
      </w:pPr>
    </w:p>
    <w:p>
      <w:pPr>
        <w:jc w:val="both"/>
        <w:ind w:firstLine="332"/>
        <w:spacing w:after="0" w:line="263" w:lineRule="auto"/>
        <w:tabs>
          <w:tab w:leader="none" w:pos="64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For so long as the undersigned remains the record or beneficial owner of at least five percent (5%) of the outstanding Acquirer Stock, the undersigned agrees to vote all of his, her or its Lock-Up Shares, from time to time and at all times, in whatever manner is recommended by the Acquirer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4" w:lineRule="exact"/>
        <w:rPr>
          <w:sz w:val="20"/>
          <w:szCs w:val="20"/>
          <w:color w:val="auto"/>
        </w:rPr>
      </w:pPr>
    </w:p>
    <w:p>
      <w:pPr>
        <w:ind w:left="-332" w:firstLine="332"/>
        <w:spacing w:after="0" w:line="308" w:lineRule="auto"/>
        <w:tabs>
          <w:tab w:leader="none" w:pos="31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undersigned agrees that, for a period of twelve (12) months from the Closing Date (the “</w:t>
      </w:r>
      <w:r>
        <w:rPr>
          <w:rFonts w:ascii="Arial" w:cs="Arial" w:eastAsia="Arial" w:hAnsi="Arial"/>
          <w:sz w:val="17"/>
          <w:szCs w:val="17"/>
          <w:b w:val="1"/>
          <w:bCs w:val="1"/>
          <w:i w:val="1"/>
          <w:iCs w:val="1"/>
          <w:color w:val="auto"/>
        </w:rPr>
        <w:t>Standstill Period</w:t>
      </w:r>
      <w:r>
        <w:rPr>
          <w:rFonts w:ascii="Arial" w:cs="Arial" w:eastAsia="Arial" w:hAnsi="Arial"/>
          <w:sz w:val="17"/>
          <w:szCs w:val="17"/>
          <w:color w:val="auto"/>
        </w:rPr>
        <w:t>”), neither the undersigned nor any of its Affiliates or subsidiaries will, directly or indirectly, without the prior written consent of the Acquirer Board or Acquirer’s chief executive officer:</w:t>
      </w:r>
    </w:p>
    <w:p>
      <w:pPr>
        <w:spacing w:after="0" w:line="92" w:lineRule="exact"/>
        <w:rPr>
          <w:rFonts w:ascii="Arial" w:cs="Arial" w:eastAsia="Arial" w:hAnsi="Arial"/>
          <w:sz w:val="17"/>
          <w:szCs w:val="17"/>
          <w:color w:val="auto"/>
        </w:rPr>
      </w:pPr>
    </w:p>
    <w:p>
      <w:pPr>
        <w:jc w:val="both"/>
        <w:ind w:left="-332" w:firstLine="656"/>
        <w:spacing w:after="0" w:line="257"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acquire or agree, offer, seek or propose to acquire, or cause to be acquired, ownership (including any voting right or beneficial ownership as defined in Rule 13d-3 under the Exchange Act) of any voting securities of Acquirer or any of its subsidiaries or any option, forward contract, swap or other position with a value derived from voting securities of Acquirer or any of its subsidiaries or conveying the right to acquire or vote securities of Acquirer or any of its subsidiaries, or any ownership of any of the assets or businesses of Acquirer or any of its subsidiaries, or any rights or options to acquire any such ownership (including from a third party);</w:t>
      </w:r>
    </w:p>
    <w:p>
      <w:pPr>
        <w:spacing w:after="0" w:line="133" w:lineRule="exact"/>
        <w:rPr>
          <w:rFonts w:ascii="Arial" w:cs="Arial" w:eastAsia="Arial" w:hAnsi="Arial"/>
          <w:sz w:val="18"/>
          <w:szCs w:val="18"/>
          <w:color w:val="auto"/>
        </w:rPr>
      </w:pPr>
    </w:p>
    <w:p>
      <w:pPr>
        <w:jc w:val="both"/>
        <w:ind w:left="-332" w:firstLine="656"/>
        <w:spacing w:after="0" w:line="263"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make, or in any way participate in, any “solicitation” (as such terms is defined in Rule 14a- 1 under the Exchange Act, including any otherwise exempt solicitation pursuant to Rule 14a-2(b) under the Exchange Act) to vote or seek to advise or influence in any manner whatsoever any Person with respect to the voting of any securities of Acquirer or any of its subsidiaries;</w:t>
      </w:r>
    </w:p>
    <w:p>
      <w:pPr>
        <w:spacing w:after="0" w:line="129" w:lineRule="exact"/>
        <w:rPr>
          <w:rFonts w:ascii="Arial" w:cs="Arial" w:eastAsia="Arial" w:hAnsi="Arial"/>
          <w:sz w:val="18"/>
          <w:szCs w:val="18"/>
          <w:color w:val="auto"/>
        </w:rPr>
      </w:pPr>
    </w:p>
    <w:p>
      <w:pPr>
        <w:ind w:left="-332" w:firstLine="656"/>
        <w:spacing w:after="0" w:line="277"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form, join, or in any way participate in a “group” (within the meaning of Section 13(d)(3) of the Exchange Act) with respect to any voting securities of Acquirer or any of its subsidiaries, other than any “group” to which it already belongs as of the date of this Agreement;</w:t>
      </w:r>
    </w:p>
    <w:p>
      <w:pPr>
        <w:spacing w:after="0" w:line="116" w:lineRule="exact"/>
        <w:rPr>
          <w:rFonts w:ascii="Arial" w:cs="Arial" w:eastAsia="Arial" w:hAnsi="Arial"/>
          <w:sz w:val="18"/>
          <w:szCs w:val="18"/>
          <w:color w:val="auto"/>
        </w:rPr>
      </w:pPr>
    </w:p>
    <w:p>
      <w:pPr>
        <w:ind w:left="-332"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arrange, or in any way participate in, any financing for the purchase of any voting securities or securities convertible or exchangeable into or exercisable for any voting securities or assets of Acquirer or any of its subsidiaries;</w:t>
      </w:r>
    </w:p>
    <w:p>
      <w:pPr>
        <w:spacing w:after="0" w:line="116" w:lineRule="exact"/>
        <w:rPr>
          <w:rFonts w:ascii="Arial" w:cs="Arial" w:eastAsia="Arial" w:hAnsi="Arial"/>
          <w:sz w:val="18"/>
          <w:szCs w:val="18"/>
          <w:color w:val="auto"/>
        </w:rPr>
      </w:pPr>
    </w:p>
    <w:p>
      <w:pPr>
        <w:jc w:val="both"/>
        <w:ind w:left="-332" w:firstLine="656"/>
        <w:spacing w:after="0" w:line="259"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propose, alone or with others, to Acquirer or any of its stockholders any merger, business combination, tender or exchange offer, restructuring, recapitalization, liquidation of or other transaction with or involving Acquirer or any of its subsidiaries or otherwise act, whether alone or with others, to seek to control, change or influence the management, board of directors or policies of Acquirer, or nominate any person as a director of Acquirer, or propose any matter to be voted upon by the stockholders of Acquirer;</w:t>
      </w:r>
    </w:p>
    <w:p>
      <w:pPr>
        <w:spacing w:after="0" w:line="132" w:lineRule="exact"/>
        <w:rPr>
          <w:rFonts w:ascii="Arial" w:cs="Arial" w:eastAsia="Arial" w:hAnsi="Arial"/>
          <w:sz w:val="18"/>
          <w:szCs w:val="18"/>
          <w:color w:val="auto"/>
        </w:rPr>
      </w:pPr>
    </w:p>
    <w:p>
      <w:pPr>
        <w:jc w:val="both"/>
        <w:ind w:left="-332" w:firstLine="656"/>
        <w:spacing w:after="0" w:line="259" w:lineRule="auto"/>
        <w:tabs>
          <w:tab w:leader="none" w:pos="955"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solicit or provide any material non-public information to any Person with respect to a merger, business combination, tender or exchange offer, restructuring, recapitalization, liquidation of or other transaction with or involving Acquirer or any of its subsidiaries or any other acquisition of Acquirer or any of its subsidiaries, any acquisition of voting securities of or all or any portion of the assets of Acquirer or any of its subsidiaries, or any other similar transaction;</w:t>
      </w:r>
    </w:p>
    <w:p>
      <w:pPr>
        <w:spacing w:after="0" w:line="132" w:lineRule="exact"/>
        <w:rPr>
          <w:rFonts w:ascii="Arial" w:cs="Arial" w:eastAsia="Arial" w:hAnsi="Arial"/>
          <w:sz w:val="18"/>
          <w:szCs w:val="18"/>
          <w:color w:val="auto"/>
        </w:rPr>
      </w:pPr>
    </w:p>
    <w:p>
      <w:pPr>
        <w:ind w:left="968" w:hanging="644"/>
        <w:spacing w:after="0"/>
        <w:tabs>
          <w:tab w:leader="none" w:pos="96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advise, assist or knowingly encourage any other Person in connection with any of the foregoing;</w:t>
      </w:r>
    </w:p>
    <w:p>
      <w:pPr>
        <w:spacing w:after="0" w:line="171" w:lineRule="exact"/>
        <w:rPr>
          <w:rFonts w:ascii="Arial" w:cs="Arial" w:eastAsia="Arial" w:hAnsi="Arial"/>
          <w:sz w:val="18"/>
          <w:szCs w:val="18"/>
          <w:color w:val="auto"/>
        </w:rPr>
      </w:pPr>
    </w:p>
    <w:p>
      <w:pPr>
        <w:ind w:left="-332" w:right="20"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enter into any discussions, negotiations, arrangements or understandings with any third party with respect to, any of the foregoing, or announce an intention to do so;</w:t>
      </w:r>
    </w:p>
    <w:p>
      <w:pPr>
        <w:spacing w:after="0" w:line="116" w:lineRule="exact"/>
        <w:rPr>
          <w:rFonts w:ascii="Arial" w:cs="Arial" w:eastAsia="Arial" w:hAnsi="Arial"/>
          <w:sz w:val="18"/>
          <w:szCs w:val="18"/>
          <w:color w:val="auto"/>
        </w:rPr>
      </w:pPr>
    </w:p>
    <w:p>
      <w:pPr>
        <w:ind w:left="-332" w:right="20"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require Acquirer to make a public announcement regarding any of the types of matters set forth in this Section 7; or</w:t>
      </w:r>
    </w:p>
    <w:p>
      <w:pPr>
        <w:spacing w:after="0" w:line="116" w:lineRule="exact"/>
        <w:rPr>
          <w:rFonts w:ascii="Arial" w:cs="Arial" w:eastAsia="Arial" w:hAnsi="Arial"/>
          <w:sz w:val="18"/>
          <w:szCs w:val="18"/>
          <w:color w:val="auto"/>
        </w:rPr>
      </w:pPr>
    </w:p>
    <w:p>
      <w:pPr>
        <w:jc w:val="both"/>
        <w:ind w:left="-332" w:firstLine="656"/>
        <w:spacing w:after="0" w:line="259"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disclose any intention, plan or arrangement inconsistent with the foregoing. Notwithstanding anything to the contrary in this Section 7, nothing shall prevent a private communication to the Acquirer Board or Acquirer’s chief executive officer which does not require public disclosure by Acquirer (whether under applicable law or under the rules of its securities exchange, but other than in a proxy statement or Schedule 14d-9 with respect to a Transaction following execution of a definitive agreement between the Parties).</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71" w:lineRule="exact"/>
        <w:rPr>
          <w:rFonts w:ascii="Arial" w:cs="Arial" w:eastAsia="Arial" w:hAnsi="Arial"/>
          <w:sz w:val="18"/>
          <w:szCs w:val="18"/>
          <w:color w:val="auto"/>
        </w:rPr>
      </w:pPr>
    </w:p>
    <w:p>
      <w:pPr>
        <w:jc w:val="both"/>
        <w:ind w:left="-332" w:firstLine="656"/>
        <w:spacing w:after="0" w:line="279" w:lineRule="auto"/>
        <w:tabs>
          <w:tab w:leader="none" w:pos="961"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Acquirer agrees that, as soon as practicable, but in no event later than thirty (30) calendar days after the Closing Date (the “Filing Date”), Acquirer will file with the SEC (at Acquirer’s sole cost and expense) a registration statement registering the resale of the Registrable Securities (as defined below) held by the Holders (as defined below) from time to time as permitted by Rule 415 under the Securities Act (or any successor or similar provision adopted by the SEC then in effect) (the “Initial Shelf” and any registration statement that covers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431" w:name="page432"/>
    <w:bookmarkEnd w:id="431"/>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a “Registration Statement”), and Acquirer shall use its commercially reasonable efforts to cause the Initial Shelf to be declared effective as soon as practicable after the filing thereof, but no later than the earlier of (i) the 60th calendar day (or 90th calendar day if the SEC notifies Acquirer that it will “review” the Initial Shelf) following the Closing and (ii) the fifth (5th) Business Day after the date Acquirer is notified (orally or in writing, whichever is earlier) by the SEC that the Initial Shelf will not be “reviewed” or will not be subject to further review (such earlier date, the “Effectiveness Date”); provided that if the SEC is closed for operations due to a government shutdown or otherwise, the Effectiveness Date shall be extended by the same amount of days that the SEC remains closed for operations. Without limiting the foregoing, as soon as practicable, but in no event later than three (3) Business Days, following the resolution or clearance of all SEC comments or, if applicable, following notification by the SEC that the Initial Shelf or any amendment thereto will not be subject to review, Acquirer shall file a request for acceleration of effectiveness of such Registration Statement (to the extent required, by declaration or ordering of effectiveness, of such Registration Statement or amendment thereto by the SEC) to a time and date not later than two (2) Business Days after the submission of such request. The Initial Shelf filed with the SEC pursuant shall be on Form S-1 or such other form of registration statement as is then available to effect a registration for resale of the Registrable Securities, provided, that Acquirer shall file, within thirty (30) days of such time as Form S-3 is available for the Initial Shelf, a post- effective amendment to the Initial Shelf then in effect, or otherwise file a Registration Statement on Form S-3, registering the Registrable Securities held by the Holders for resale on Form S-3 (provided that Acquirer shall use commercially reasonable efforts to maintain the effectiveness of the Initial Shelf then in effect until such time as a Registration Statement (or post-effective amendment) on Form S-3 covering such Registrable Securities has been declared effective by the SEC). Notwithstanding anything else in this Agreement, Acquirer’s obligations to include the applicable Registrable Securities of a Holder in a Registration Statement are contingent upon such Holder furnishing in writing to Acquirer such information regarding such Holder, the securities of Acquirer held by such Holder, the intended method of disposition of the applicable Registrable Securities and such other information as shall be reasonably requested by Acquirer to effect the registration of the applicable Registrable Securities on or prior to the third (3rd) Business Day prior to the first anticipated filing date of such Registration Statement, provided that the request by Acquirer shall be made not less than ten (10) Business Days prior to the first anticipated filing date of such Registration Statement. The Holders shall execute such documents in connection with such registration as Acquirer may reasonably request that are customary of a selling stockholder in similar situations; provided that under no circumstances shall a Holder be required to sign any type of additional lock-up agreement. Any failure by Acquirer to file the Initial Shelf by the Filing Date or for the Initial Shelf to be declared effective by the Effectiveness Date shall not otherwise relieve Acquirer of its obligations to file or effect the Initial Shelf as set forth above in this Section 8(a). In no event shall a Holder be identified as a statutory underwriter in a Registration Statement unless requested by the SEC; provided that, if the SEC requests that a Holder be identified as a statutory underwriter in a Registration Statement, such Holder will have an option, in its sole and absolute discretion, to withdraw the applicable Registrable Securities from such Registration Statement. Notwithstanding the foregoing, if the SEC prevents Acquirer from including any or all of the shares proposed to be registered under any single Registration Statement filed pursuant to this Section 8(a) due to limitations on the use of Rule 415 of the Securities Act for the resale of the applicable Registrable Securities by the applicable stockholders or otherwise, Acquirer agrees to promptly (i) inform each of the Holders thereof and use its commercially reasonable efforts to file amendments to such Registration Statement as required by the SEC and (ii) as soon as practicable but in no event later than the twentieth (20th) calendar day following the first date on which such Registrable Securities may then be included in a registration statement, file an additional Registration Statement (a “New Registration Statement”), on Form S-3, or if Form S-3 is not then available to Acquirer for such Registration Statement, on such other form available to register for resale the Registrable Securities held by the Holders as a secondary offering; provided, however, that prior to filing such amendment or New Registration Statement, Acquirer shall be obligated to use its commercially reasonable efforts to advocate with the SEC for the registration of all of the Registrable Securities in accordance with any publicly- available written or oral guidance, comments, requirements or requests of the SEC staff (the “SEC Guidance”), including without limitation, the Manual of Publicly Available Telephone Interpretations D.29. The Holders shall have the right to participate or have their respective legal counsel participate in any meetings or discussions with the SEC regarding the SEC’s position and to comment or have their respective counsel comment on any written submission made to the SEC with respect thereto. No such written submission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be made to the SEC to which any such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Acquirer will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Acquirer will provide all customary and commercially reasonable cooperation necessary to enable the Holders to resell Registrable Securities pursuant to a Registration Statement or Rule 144 under the Securities Act (“Rule 144”), as applicable, qualify the Registrable Securities for listing on the primary stock exchange on which the Acquirer Stock is then listed, update or amend a Registration Statement as necessary to include Registrable Securities and provide customary notice to holders of Registrable Securities. “Holders” shall mean (i) the undersigned, (ii) [Seller][any 5% Insider (as defined below)] </w:t>
      </w:r>
      <w:r>
        <w:rPr>
          <w:rFonts w:ascii="Arial" w:cs="Arial" w:eastAsia="Arial" w:hAnsi="Arial"/>
          <w:sz w:val="20"/>
          <w:szCs w:val="20"/>
          <w:color w:val="auto"/>
          <w:vertAlign w:val="superscript"/>
        </w:rPr>
        <w:t>3</w:t>
      </w:r>
      <w:r>
        <w:rPr>
          <w:rFonts w:ascii="Arial" w:cs="Arial" w:eastAsia="Arial" w:hAnsi="Arial"/>
          <w:sz w:val="16"/>
          <w:szCs w:val="16"/>
          <w:color w:val="auto"/>
        </w:rPr>
        <w:t>that is entering into a separate shareholder agreement with Acquirer on the date hereof with registration rights that are substantially similar to the registration rights set forth in this Section 8 (an “Other Shareholder Agreement”) and (iii) any 5% Insider who hereafter becomes a party to this Agreement or such Other Shareholder Agreement pursuant to Section 8(r) hereof or the corresponding section of such Other Shareholder Agreement, as applicable. “Registrable Securities” shall mean, as of any date of determination, (a) the Lock-Up Shares held by the undersigned, (b) the Lock- Up Shares held by any other Holder, and (c) any other equity security of Acquirer issued or issuable with respect to the Lock-Up Shares referred to in clause (a) or (b) by way of share split, dividend, distribution, recapitalization, merger, exchange, replacement or similar event or otherwise. As to any particular Registrable Securities, once issued, such securities shall cease to be Registrable Securities at the earliest of: (A) when a Registration Statement with respect to the sale of such securities shall have become effective under the Securities Act and such securities shall have been sold, transferred, disposed of or exchanged in accordance with such Registration Statement; (B) the date all Registrable Securities held by such Holder may be sold without restriction under Rule 144, including without limitation, any volume and manner of sale restrictions which may be applicable to Affiliates under Rule 144, and without the requirement for Acquirer to be in compliance with the current public information required under Rule 144; (C) such securities have been otherwise transferred, new certificates for such securities not bearing a legend restricting further transfer shall have been delivered by Acquirer and subsequent public distribution of such securities shall not require registration under the Securities Act; or (D) such securities have been sold to, or through, a broker, dealer or underwriter in a public distribution or other public securities transaction.</w:t>
      </w:r>
    </w:p>
    <w:p>
      <w:pPr>
        <w:spacing w:after="0" w:line="338" w:lineRule="exact"/>
        <w:rPr>
          <w:sz w:val="20"/>
          <w:szCs w:val="20"/>
          <w:color w:val="auto"/>
        </w:rPr>
      </w:pPr>
    </w:p>
    <w:p>
      <w:pPr>
        <w:jc w:val="both"/>
        <w:ind w:firstLine="656"/>
        <w:spacing w:after="0" w:line="268" w:lineRule="auto"/>
        <w:tabs>
          <w:tab w:leader="none" w:pos="129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At any time and from time to time following the effectiveness of the Initial Shelf and following the expiration of any applicable Lock-up Period, any Holder may request to sell all or a portion of its Registrable Securities in a underwritten offering that is registered pursuant to a shelf registration statement under the Securities Act on Form S-3 pursuant to Rule 415, including by way of an underwritten offering, block sale or other distribution plan (a “Shelf Underwritten Offering”); provided that such Holder(s) reasonably expects to sell Registrable Securities yielding aggregate gross proceeds in excess of $50,000,000 from such Shelf Underwritten Offering (such amount of Registrable Securities, the “Minimum Amount”). All requests for a Shelf Underwritten Offering shall be made by giving written notice to Acquirer (the “Shelf Take Down Notice”). Each Shelf Take Down Notice shall specify the approximate number of Registrable Securities proposed to be sold in the Shelf Underwritten Offering and the expected price range (net of underwriting discounts and commissions) of such Shelf Underwritten Offering. Acquirer shall, subject to Section 8(c) (the “MNPI Provisions”), give written notice of such requested Shelf Underwritten Offering to all other Holders of Registrable Securities (the “Company Shelf Takedown Notice”) and, subject to the provisions of Section 8(e), shall include in such Shelf Underwritten Offering all Registrable Securities with respect to which Acquirer has received written requests for inclusion therein, within five (5) calendar days after sending the Company Shelf Takedown Notice. Acquirer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100" w:hanging="92"/>
        <w:spacing w:after="0"/>
        <w:tabs>
          <w:tab w:leader="none" w:pos="100" w:val="left"/>
        </w:tabs>
        <w:numPr>
          <w:ilvl w:val="0"/>
          <w:numId w:val="315"/>
        </w:numPr>
        <w:rPr>
          <w:rFonts w:ascii="Arial" w:cs="Arial" w:eastAsia="Arial" w:hAnsi="Arial"/>
          <w:sz w:val="9"/>
          <w:szCs w:val="9"/>
          <w:color w:val="auto"/>
        </w:rPr>
      </w:pPr>
      <w:r>
        <w:rPr>
          <w:rFonts w:ascii="Arial" w:cs="Arial" w:eastAsia="Arial" w:hAnsi="Arial"/>
          <w:sz w:val="14"/>
          <w:szCs w:val="14"/>
          <w:color w:val="auto"/>
        </w:rPr>
        <w:t>Bracketed alternative language to be included for either OPKO or OPKO stockholders,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or delayed) by, Acquirer and shall take all such other reasonable actions as are requested by the managing underwriter or underwriters in order to expedite or facilitate the disposition of such Registrable Securities; provided, that, notwithstanding the foregoing, the selection of one lead Bookrunner in such Shelf Underwritten Offering shall be in the sole discretion of Acquirer (such discretion to be exercised reasonably) to the extent Section 2 is applicable. In connection with any Shelf Underwritten Offering contemplated by this Section 8(b), subject to Section 8(l) and Section 8(p), the underwriting agreement into which each Holder and Acquirer shall enter shall contain such representations, covenants, indemnities and other rights and obligations of Acquirer and the selling stockholders as are customary in underwritten offerings of securities by Acquirer. The Holders may demand not more than two (2) Shelf Underwritten Offerings pursuant to this Section 8(b) in any 12-month period. At least ten (10) Business Days prior to the first anticipated filing date of a Registration Statement pursuant to Sections 8(a), 8(b), 8(d) and 8(g), Acquirer shall use reasonable efforts to notify each Holder in writing (which may be by email) of the information reasonably necessary about the Holder to include such Holder’s Registrable Securities in such Registration Statement.</w:t>
      </w:r>
    </w:p>
    <w:p>
      <w:pPr>
        <w:spacing w:after="0" w:line="112" w:lineRule="exact"/>
        <w:rPr>
          <w:sz w:val="20"/>
          <w:szCs w:val="20"/>
          <w:color w:val="auto"/>
        </w:rPr>
      </w:pPr>
    </w:p>
    <w:p>
      <w:pPr>
        <w:jc w:val="both"/>
        <w:ind w:firstLine="656"/>
        <w:spacing w:after="0" w:line="268" w:lineRule="auto"/>
        <w:tabs>
          <w:tab w:leader="none" w:pos="1293"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Notwithstanding anything in this Agreement or any Other Shareholder Agreement to the contrary, Acquirer will not provide any material, nonpublic information to any Holder without the prior written consent of such Holder, and in the event that Acquirer believes that a notice or communication required by this Agreement or any Other Shareholder Agreement to be delivered to any Holder contains material, nonpublic information relating to Acquirer, its securities, any of its Affiliates or any other Person, Acquirer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Section 8(c). Notwithstanding the foregoing, to the extent Acquirer reasonably and in good faith determines that it is necessary to disclose material non- public information to a Holder in order to comply with its obligations hereunder (a “Necessary Disclosure”), Acquirer shall inform counsel to such Holder to the extent such counsel has been identified in writing to Acquirer in advance of such determination without disclosing the applicable material non- public information, and Acquirer and such counsel on behalf of the applicable Holder shall endeavor to agree upon a process for making such Necessary Disclosure to the applicable Holder or its representatives that is mutually acceptable to such Holder and Acquirer (an “Agreed Disclosure Process”). Thereafter, Acquirer shall be permitted to make such Necessary Disclosure (only) in accordance with the Agreed Disclosure Process.</w:t>
      </w:r>
    </w:p>
    <w:p>
      <w:pPr>
        <w:spacing w:after="0" w:line="132" w:lineRule="exact"/>
        <w:rPr>
          <w:rFonts w:ascii="Arial" w:cs="Arial" w:eastAsia="Arial" w:hAnsi="Arial"/>
          <w:sz w:val="17"/>
          <w:szCs w:val="17"/>
          <w:color w:val="auto"/>
        </w:rPr>
      </w:pPr>
    </w:p>
    <w:p>
      <w:pPr>
        <w:jc w:val="both"/>
        <w:ind w:firstLine="656"/>
        <w:spacing w:after="0" w:line="267" w:lineRule="auto"/>
        <w:tabs>
          <w:tab w:leader="none" w:pos="129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Subject to the provisions of Section 8(f) and Section 8(m) hereof, and provided that Acquirer does not have an effective Registration Statement pursuant to Section 8(a) outstanding covering all of the Registrable Securities held by the Holders, following the expiration of any applicable Lock-up Period, Holders of at least a majority in interest of the then-outstanding number of Registrable Securities held by the Holders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“Demand Registration”). Subject to the MNPI Provisions, Acquirer shall, within five (5) calendar days of Acquirer’s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“Requesting Holder”) shall so notify Acquirer, in writing, within five (5) calendar days after the receipt by the Holder of the notice from Acquirer. Upon receipt by Acquirer of any such written notification from a Requesting Holder(s) to Acquirer, subject to Section 8(e) below, such Requesting Holder(s) shall be entitled to have their Registrable Securities included in a Registration Statement pursuant to a Demand Registration and Acquirer shall effect, as soon thereafter as practicable, but not more than sixty (60) calendar days immediately after Acquirer’s receipt of the Demand Registration, the registration of all Registrable Securities requested by the Demanding Holders and Requesting Holders pursuant to such Demand Registration. Under no circumstances shall Acquirer be obligated to effect more than an aggregate of three (3) registrations pursuant to a Demand Registration by the Holders under this Section 8(d) with respect to any or all Registrable Securities. Notwithstanding the foregoing, (i) Acquirer shall not be required to give effect to a Demand Registration from a Demanding Holder if Acquirer has registered Registrable Securities pursuant to a Demand Registration (which has become effective)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such Demanding Holder in the preceding one hundred and twenty (120) days, and (ii) Acquirer’s obligations with respect to any Demand Registration shall be deemed satisfied so long as the Registration Statement filed pursuant to Section 8(a) includes all of such Demanding Holder’s Registrable Securities and is effective. Subject to the provisions of Sections 8(e) and Section 8(m) hereof, if a majority-in-interest of the Demanding Holders so advise Acquirer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Section 8(d), subject to Section 8(l) and Section 8(p), shall enter into an underwriting agreement in customary form with Acquirer and the underwriter(s) selected for such underwritten offering by a majority- in-interest of the Demanding Holders initiating the Demand Registration after consultation with, and approval by, Acquirer (which shall not be unreasonably withheld, conditioned or delayed); provided, that, notwithstanding the foregoing, the selection of one lead Bookrunner in such underwritten offering shall be in the sole discretion of Acquirer (such discretion to be exercised reasonably) to the extent Section 2 is applicable.</w:t>
      </w:r>
    </w:p>
    <w:p>
      <w:pPr>
        <w:spacing w:after="0" w:line="125" w:lineRule="exact"/>
        <w:rPr>
          <w:sz w:val="20"/>
          <w:szCs w:val="20"/>
          <w:color w:val="auto"/>
        </w:rPr>
      </w:pPr>
    </w:p>
    <w:p>
      <w:pPr>
        <w:jc w:val="both"/>
        <w:ind w:firstLine="656"/>
        <w:spacing w:after="0" w:line="271" w:lineRule="auto"/>
        <w:tabs>
          <w:tab w:leader="none" w:pos="129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If a Demand Registration is to be an underwritten offering and the managing underwriter or underwriters, in good faith, advises Acquirer, the Demanding Holders and the Requesting Holders (if any) in writing that, in its opinion, the dollar amount or number of Registrable Securities that the Demanding Holders and the Requesting Holders (if any) desire to sell, taken together with all other Acquirer Stock or other equity securities that Acquirer desires to sell for its own account and the Acquirer Stock, if any, as to which a registration has been requested pursuant to separate written contractual piggy-back registration rights held by any other stockholders of Acquirer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“Maximum Number of Securities”), then Acquirer shall include in such underwritten offering, as follows:</w:t>
      </w:r>
    </w:p>
    <w:p>
      <w:pPr>
        <w:spacing w:after="0" w:line="124" w:lineRule="exact"/>
        <w:rPr>
          <w:rFonts w:ascii="Arial" w:cs="Arial" w:eastAsia="Arial" w:hAnsi="Arial"/>
          <w:sz w:val="17"/>
          <w:szCs w:val="17"/>
          <w:color w:val="auto"/>
        </w:rPr>
      </w:pPr>
    </w:p>
    <w:p>
      <w:pPr>
        <w:jc w:val="both"/>
        <w:ind w:left="660" w:firstLine="320"/>
        <w:spacing w:after="0" w:line="286" w:lineRule="auto"/>
        <w:tabs>
          <w:tab w:leader="none" w:pos="1302" w:val="left"/>
        </w:tabs>
        <w:numPr>
          <w:ilvl w:val="1"/>
          <w:numId w:val="317"/>
        </w:numPr>
        <w:rPr>
          <w:rFonts w:ascii="Arial" w:cs="Arial" w:eastAsia="Arial" w:hAnsi="Arial"/>
          <w:sz w:val="17"/>
          <w:szCs w:val="17"/>
          <w:color w:val="auto"/>
        </w:rPr>
      </w:pPr>
      <w:r>
        <w:rPr>
          <w:rFonts w:ascii="Arial" w:cs="Arial" w:eastAsia="Arial" w:hAnsi="Arial"/>
          <w:sz w:val="17"/>
          <w:szCs w:val="17"/>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that can be sold without exceeding the Maximum Number of Securities;</w:t>
      </w:r>
    </w:p>
    <w:p>
      <w:pPr>
        <w:spacing w:after="0" w:line="111" w:lineRule="exact"/>
        <w:rPr>
          <w:rFonts w:ascii="Arial" w:cs="Arial" w:eastAsia="Arial" w:hAnsi="Arial"/>
          <w:sz w:val="17"/>
          <w:szCs w:val="17"/>
          <w:color w:val="auto"/>
        </w:rPr>
      </w:pPr>
    </w:p>
    <w:p>
      <w:pPr>
        <w:jc w:val="both"/>
        <w:ind w:left="660" w:firstLine="320"/>
        <w:spacing w:after="0" w:line="259" w:lineRule="auto"/>
        <w:tabs>
          <w:tab w:leader="none" w:pos="129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(i), the Acquirer Stock of holders exercising their piggy-back registration rights pursuant to Section 2.3 of that certain Amended and Restated Registration Rights Agreement, dated as of July 22, 2021, by and among Acquirer and the other parties thereto (the “</w:t>
      </w:r>
      <w:r>
        <w:rPr>
          <w:rFonts w:ascii="Arial" w:cs="Arial" w:eastAsia="Arial" w:hAnsi="Arial"/>
          <w:sz w:val="18"/>
          <w:szCs w:val="18"/>
          <w:b w:val="1"/>
          <w:bCs w:val="1"/>
          <w:i w:val="1"/>
          <w:iCs w:val="1"/>
          <w:color w:val="auto"/>
        </w:rPr>
        <w:t>July 2021 Registration Rights Agreement</w:t>
      </w:r>
      <w:r>
        <w:rPr>
          <w:rFonts w:ascii="Arial" w:cs="Arial" w:eastAsia="Arial" w:hAnsi="Arial"/>
          <w:sz w:val="18"/>
          <w:szCs w:val="18"/>
          <w:color w:val="auto"/>
        </w:rPr>
        <w:t>”), which can be sold without exceeding the Maximum Number of Securities;</w:t>
      </w:r>
    </w:p>
    <w:p>
      <w:pPr>
        <w:spacing w:after="0" w:line="132" w:lineRule="exact"/>
        <w:rPr>
          <w:rFonts w:ascii="Arial" w:cs="Arial" w:eastAsia="Arial" w:hAnsi="Arial"/>
          <w:sz w:val="18"/>
          <w:szCs w:val="18"/>
          <w:color w:val="auto"/>
        </w:rPr>
      </w:pPr>
    </w:p>
    <w:p>
      <w:pPr>
        <w:jc w:val="both"/>
        <w:ind w:left="660" w:firstLine="320"/>
        <w:spacing w:after="0" w:line="263" w:lineRule="auto"/>
        <w:tabs>
          <w:tab w:leader="none" w:pos="130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third, to the extent that the Maximum Number of Securities has not been reached under the foregoing clauses (i) and (ii), the Acquirer Stock or other equity securities that Acquirer desires to sell for its own account, which can be sold without exceeding the Maximum Number of Securities;</w:t>
      </w:r>
    </w:p>
    <w:p>
      <w:pPr>
        <w:spacing w:after="0" w:line="129" w:lineRule="exact"/>
        <w:rPr>
          <w:rFonts w:ascii="Arial" w:cs="Arial" w:eastAsia="Arial" w:hAnsi="Arial"/>
          <w:sz w:val="18"/>
          <w:szCs w:val="18"/>
          <w:color w:val="auto"/>
        </w:rPr>
      </w:pPr>
    </w:p>
    <w:p>
      <w:pPr>
        <w:jc w:val="both"/>
        <w:ind w:left="660" w:right="20" w:firstLine="320"/>
        <w:spacing w:after="0" w:line="286" w:lineRule="auto"/>
        <w:tabs>
          <w:tab w:leader="none" w:pos="129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clauses (i), (ii) and (iii), the Registrable Securities of Holders (pro rata, based on the respective number of Registrable Securities held by each Holder) exercising their rights to register their Registrable Securities pursuant to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hereof, without exceeding the Maximum Number of Securities; and</w:t>
      </w:r>
    </w:p>
    <w:p>
      <w:pPr>
        <w:spacing w:after="0" w:line="111" w:lineRule="exact"/>
        <w:rPr>
          <w:rFonts w:ascii="Arial" w:cs="Arial" w:eastAsia="Arial" w:hAnsi="Arial"/>
          <w:sz w:val="17"/>
          <w:szCs w:val="17"/>
          <w:color w:val="auto"/>
        </w:rPr>
      </w:pPr>
    </w:p>
    <w:p>
      <w:pPr>
        <w:jc w:val="both"/>
        <w:ind w:left="660" w:firstLine="320"/>
        <w:spacing w:after="0" w:line="286" w:lineRule="auto"/>
        <w:tabs>
          <w:tab w:leader="none" w:pos="1302" w:val="left"/>
        </w:tabs>
        <w:numPr>
          <w:ilvl w:val="1"/>
          <w:numId w:val="317"/>
        </w:numPr>
        <w:rPr>
          <w:rFonts w:ascii="Arial" w:cs="Arial" w:eastAsia="Arial" w:hAnsi="Arial"/>
          <w:sz w:val="17"/>
          <w:szCs w:val="17"/>
          <w:color w:val="auto"/>
        </w:rPr>
      </w:pPr>
      <w:r>
        <w:rPr>
          <w:rFonts w:ascii="Arial" w:cs="Arial" w:eastAsia="Arial" w:hAnsi="Arial"/>
          <w:sz w:val="17"/>
          <w:szCs w:val="17"/>
          <w:color w:val="auto"/>
        </w:rPr>
        <w:t>fifth, to the extent that the Maximum Number of Securities has not been reached under the foregoing clauses (i), (ii), (iii) and (iv), the Acquirer Stock or other equity securities of other Persons or entities that Acquirer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ind w:left="-8" w:firstLine="656"/>
        <w:spacing w:after="0" w:line="283" w:lineRule="auto"/>
        <w:tabs>
          <w:tab w:leader="none" w:pos="1279"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 Demanding Holder or a Requesting Holder shall have the right to withdraw all or a portion of its Registrable Securities included in a Demand Registration pursuant to Section 8(d) or a Shelf Underwritten Offering pursuant to Section 8(b) for any or no reason whatsoever upon written notification to Acquirer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Acquirer shall cease all efforts to secure effectiveness of the applicable Registration Statement or complete the underwritten offering, as applicable. For the avoidance of doubt, any Demand Registration withdrawn pursuant to this Section 8(f) shall be counted toward the aggregate number of Demand Registrations Acquirer is obligated to effect pursuant to Section 8(d) unless (A)</w:t>
      </w:r>
    </w:p>
    <w:p>
      <w:pPr>
        <w:spacing w:after="0" w:line="4" w:lineRule="exact"/>
        <w:rPr>
          <w:rFonts w:ascii="Arial" w:cs="Arial" w:eastAsia="Arial" w:hAnsi="Arial"/>
          <w:sz w:val="16"/>
          <w:szCs w:val="16"/>
          <w:color w:val="auto"/>
        </w:rPr>
      </w:pPr>
    </w:p>
    <w:p>
      <w:pPr>
        <w:jc w:val="both"/>
        <w:ind w:left="-8" w:firstLine="8"/>
        <w:spacing w:after="0" w:line="290" w:lineRule="auto"/>
        <w:tabs>
          <w:tab w:leader="none" w:pos="26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Demanding Holders reimburse Acquirer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Acquirer or the underwriters in connection with such Demand Registration, or (B) such withdrawal or revocation occurs following the issuance by Acquirer of a Suspension Notice (as defined below). Notwithstanding anything to the contrary in this Agreement or any Other Shareholder Agreement, Acquirer shall be responsible for the Registration Expenses (as defined below) incurred by it in connection with a registration pursuant to a Demand Registration or a Shelf Underwritten Offering prior to its withdrawal under this Section 8(f).</w:t>
      </w:r>
    </w:p>
    <w:p>
      <w:pPr>
        <w:spacing w:after="0" w:line="109" w:lineRule="exact"/>
        <w:rPr>
          <w:rFonts w:ascii="Arial" w:cs="Arial" w:eastAsia="Arial" w:hAnsi="Arial"/>
          <w:sz w:val="16"/>
          <w:szCs w:val="16"/>
          <w:color w:val="auto"/>
        </w:rPr>
      </w:pPr>
    </w:p>
    <w:p>
      <w:pPr>
        <w:jc w:val="both"/>
        <w:ind w:left="-8" w:firstLine="656"/>
        <w:spacing w:after="0" w:line="284" w:lineRule="auto"/>
        <w:tabs>
          <w:tab w:leader="none" w:pos="1282" w:val="left"/>
        </w:tabs>
        <w:numPr>
          <w:ilvl w:val="1"/>
          <w:numId w:val="319"/>
        </w:numPr>
        <w:rPr>
          <w:rFonts w:ascii="Arial" w:cs="Arial" w:eastAsia="Arial" w:hAnsi="Arial"/>
          <w:sz w:val="16"/>
          <w:szCs w:val="16"/>
          <w:color w:val="auto"/>
        </w:rPr>
      </w:pPr>
      <w:r>
        <w:rPr>
          <w:rFonts w:ascii="Arial" w:cs="Arial" w:eastAsia="Arial" w:hAnsi="Arial"/>
          <w:sz w:val="16"/>
          <w:szCs w:val="16"/>
          <w:color w:val="auto"/>
        </w:rPr>
        <w:t>If Acquirer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Acquirer (or by Acquirer and by the stockholders of Acquirer including, without limitation, pursuant to Section 8(d) hereof), other than a registration statement (a) filed in connection with any employee stock option or other benefit plan, (b) for an exchange offer or offering of securities solely to Acquirer’s existing stockholders, (c) for an offering solely of debt that is convertible into equity securities of Acquirer, (d) for a dividend reinvestment plan, (e) for any issuances of securities in connection with a transaction involving a merger, consolidation, sale, exchange, issuance, transfer, reorganization or other extraordinary transaction between Acquirer or any of its Affiliates and any third party, or (f) filed pursuant to Section 8(a), then, subject to the MNPI Provisions, Acquirer shall give written notice of such proposed filing to all of the Holders of Registrable Securities as soon as practicable but not less than twenty (20) calendar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Section 8(g), and (iii) offer to all of the Holders of Registrable Securities the opportunity to register the sale of such number of Registrable Securities as such Holders may request in writing within five (5) calendar days after receipt of such written notice (such registration, a “Piggyback Registration”). Acquirer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Section 8(g) to be included in a Piggyback Registration on the same terms and conditions as any similar securities of Acquirer or the Acquirer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Section 8(g), subject to Section 8(l) and Section 8(p), shall enter into an underwriting agreement in customary form with the underwriter(s) selected for such underwritten offering by Acquirer. For purposes of clarity, any registration effected pursuant to Section 8(g) hereof shall not be counted as a registration pursuant to a Demand Registration effected under Section 8(d) hereof or a Shelf Underwritten Offering effected under Section 8(b). Any Holder of Registrable Securities shall have the right to withdraw all or any portion of its Registrable Securities in a Piggyback Registration for any or no reason whatsoever upon written notification to Acquirer and the underwriter or underwriters (if any) of his, her or its intention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436" w:name="page437"/>
    <w:bookmarkEnd w:id="436"/>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Acquirer (whether on its own good-faith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w:t>
      </w:r>
    </w:p>
    <w:p>
      <w:pPr>
        <w:spacing w:after="0" w:line="138" w:lineRule="exact"/>
        <w:rPr>
          <w:sz w:val="20"/>
          <w:szCs w:val="20"/>
          <w:color w:val="auto"/>
        </w:rPr>
      </w:pPr>
    </w:p>
    <w:p>
      <w:pPr>
        <w:jc w:val="both"/>
        <w:ind w:firstLine="656"/>
        <w:spacing w:after="0" w:line="293" w:lineRule="auto"/>
        <w:tabs>
          <w:tab w:leader="none" w:pos="129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the managing underwriter or underwriters in an underwritten registration that is to be a Piggyback Registration, in good faith, advises Acquirer and the Holders of Registrable Securities participating in the Piggyback Registration in writing that, in its opinion, the dollar amount or number of the Acquirer Stock that Acquirer desires to sell, taken together with (a) the Acquirer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8(g) hereof, and (c) the Acquirer Stock, if any, as to which registration has been requested pursuant to separate written contractual piggy-back registration rights of other stockholders of Acquirer, exceeds the Maximum Number of Securities, then:</w:t>
      </w:r>
    </w:p>
    <w:p>
      <w:pPr>
        <w:spacing w:after="0" w:line="110" w:lineRule="exact"/>
        <w:rPr>
          <w:rFonts w:ascii="Arial" w:cs="Arial" w:eastAsia="Arial" w:hAnsi="Arial"/>
          <w:sz w:val="16"/>
          <w:szCs w:val="16"/>
          <w:color w:val="auto"/>
        </w:rPr>
      </w:pPr>
    </w:p>
    <w:p>
      <w:pPr>
        <w:jc w:val="both"/>
        <w:ind w:left="660" w:firstLine="320"/>
        <w:spacing w:after="0" w:line="285" w:lineRule="auto"/>
        <w:tabs>
          <w:tab w:leader="none" w:pos="1302"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the registration is undertaken for Acquirer’s account, Acquirer shall include in any such registration (a) first, the Acquirer Stock or other equity securities that Acquirer desires to sell,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jc w:val="both"/>
        <w:ind w:left="660" w:hanging="4"/>
        <w:spacing w:after="0" w:line="292" w:lineRule="auto"/>
        <w:tabs>
          <w:tab w:leader="none" w:pos="90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and (b),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(d) fourth, to the extent that the Maximum Number of Securities has not been reached under the foregoing clauses (a),(b) and (c), the Acquirer Stock, if any, as to which registration has been requested pursuant to any other written contractual piggy-back registration rights of other stockholders of Acquirer, which can be sold without exceeding the Maximum Number of Securities; and</w:t>
      </w:r>
    </w:p>
    <w:p>
      <w:pPr>
        <w:spacing w:after="0" w:line="108" w:lineRule="exact"/>
        <w:rPr>
          <w:sz w:val="20"/>
          <w:szCs w:val="20"/>
          <w:color w:val="auto"/>
        </w:rPr>
      </w:pPr>
    </w:p>
    <w:p>
      <w:pPr>
        <w:jc w:val="both"/>
        <w:ind w:left="660" w:firstLine="320"/>
        <w:spacing w:after="0" w:line="286" w:lineRule="auto"/>
        <w:tabs>
          <w:tab w:leader="none" w:pos="129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if the registration is pursuant to a request by Persons or entities other than the Holders of Registrable Securities, then Acquirer shall include in any such registration (a) first, the Acquirer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Acquirer Stock or other equity securities that Acquirer desires to sell for its own account, which can be sold without exceeding the Maximum Number of Securities; (d) fourth, to the extent that the Maximum Number of Securities has not been reached under the foregoing clauses (a), (b) and (c),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(e) fifth, to the extent that the Maximum Number of Securities has not been reached under the foregoing clauses (a), (b), (c) and (d), the Acquirer Stock or other equity securities for the account of other Persons or entities that Acquirer is obligated to register pursuant to other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ind w:left="-340" w:firstLine="656"/>
        <w:spacing w:after="0" w:line="287" w:lineRule="auto"/>
        <w:tabs>
          <w:tab w:leader="none" w:pos="95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but subject to the restrictions set forth in Section 1 or Section 2 of this Agreement and subject to Section 8(m), if a Demanding Holder desires to effect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 (a “Block Trade”) (x) with a total offering price reasonably expected to exceed the Minimum Amount or (y) including all remaining Registrable Securities held by the Demanding Holder, then notwithstanding the time periods provided for in Section 8(b), such Demanding Holder shall notify Acquirer of the Block Trade at least five (5) Business Days prior to the day such offering is to commence and Acquirer shall as expeditiously as possible use its commercially reasonable efforts to facilitate such Block Trade; provided that the Demanding Holders wishing to engage in the Block Trade shall use commercially reasonable efforts to work with Acquirer and any underwriters or placement agents or sales agents prior to making such request in order to facilitate preparation of the registration statement, prospectus and other offering documentation related to the Block Trade. Prior to the filing of the applicable “red herring” prospectus or prospectus supplement used in connection with a Block Trade, any Demanding Holders shall have the right to submit a withdrawal notice to Acquirer and the underwriter or underwriters or placement agents or sales agents (if any) of their intention to withdraw from such Block Trade.</w:t>
      </w:r>
    </w:p>
    <w:p>
      <w:pPr>
        <w:spacing w:after="0" w:line="113" w:lineRule="exact"/>
        <w:rPr>
          <w:rFonts w:ascii="Arial" w:cs="Arial" w:eastAsia="Arial" w:hAnsi="Arial"/>
          <w:sz w:val="16"/>
          <w:szCs w:val="16"/>
          <w:color w:val="auto"/>
        </w:rPr>
      </w:pPr>
    </w:p>
    <w:p>
      <w:pPr>
        <w:ind w:left="-340" w:right="20" w:firstLine="656"/>
        <w:spacing w:after="0" w:line="342" w:lineRule="auto"/>
        <w:tabs>
          <w:tab w:leader="none" w:pos="95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In the case of the registration, qualification, exemption or compliance effected by Acquirer pursuant to this Agreement, Acquirer shall, upon reasonable request, inform the Holders as to the status of such registration, qualification, exemption and compliance. At its expense Acquirer shall:</w:t>
      </w:r>
    </w:p>
    <w:p>
      <w:pPr>
        <w:spacing w:after="0" w:line="69" w:lineRule="exact"/>
        <w:rPr>
          <w:rFonts w:ascii="Arial" w:cs="Arial" w:eastAsia="Arial" w:hAnsi="Arial"/>
          <w:sz w:val="16"/>
          <w:szCs w:val="16"/>
          <w:color w:val="auto"/>
        </w:rPr>
      </w:pPr>
    </w:p>
    <w:p>
      <w:pPr>
        <w:jc w:val="both"/>
        <w:ind w:left="320" w:firstLine="320"/>
        <w:spacing w:after="0" w:line="257" w:lineRule="auto"/>
        <w:tabs>
          <w:tab w:leader="none" w:pos="96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except for such times as Acquirer is permitted hereunder to suspend the use of the prospectus forming part of a Registration Statement or as otherwise provided in this Section 8, use its commercially reasonable efforts to keep such registration, and any qualification, exemption or compliance under state securities laws which Acquirer determines to obtain, continuously effective with respect to the Holders, and to keep the applicable Registration Statement or any subsequent shelf registration statement free of any material misstatements or omissions, until all Registrable Securities covered by such Registration Statement have been sold;</w:t>
      </w:r>
    </w:p>
    <w:p>
      <w:pPr>
        <w:spacing w:after="0" w:line="133" w:lineRule="exact"/>
        <w:rPr>
          <w:rFonts w:ascii="Arial" w:cs="Arial" w:eastAsia="Arial" w:hAnsi="Arial"/>
          <w:sz w:val="18"/>
          <w:szCs w:val="18"/>
          <w:color w:val="auto"/>
        </w:rPr>
      </w:pPr>
    </w:p>
    <w:p>
      <w:pPr>
        <w:jc w:val="both"/>
        <w:ind w:left="320" w:firstLine="320"/>
        <w:spacing w:after="0" w:line="255" w:lineRule="auto"/>
        <w:tabs>
          <w:tab w:leader="none" w:pos="95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SEC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rFonts w:ascii="Arial" w:cs="Arial" w:eastAsia="Arial" w:hAnsi="Arial"/>
          <w:sz w:val="18"/>
          <w:szCs w:val="18"/>
          <w:color w:val="auto"/>
        </w:rPr>
      </w:pPr>
    </w:p>
    <w:p>
      <w:pPr>
        <w:ind w:left="960" w:hanging="320"/>
        <w:spacing w:after="0"/>
        <w:tabs>
          <w:tab w:leader="none" w:pos="9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advise the Holders, as promptly as practicable but in any event, within two Business Days:</w:t>
      </w:r>
    </w:p>
    <w:p>
      <w:pPr>
        <w:spacing w:after="0" w:line="171"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SEC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of the issuance by the SEC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of the receipt by Acquirer of any notification with respect to the suspension of the qualification of the Registrable Securities included therein for sale in any jurisdiction or the initiation or threatening of any proceeding for such purpose; and</w:t>
      </w:r>
    </w:p>
    <w:p>
      <w:pPr>
        <w:spacing w:after="0" w:line="116" w:lineRule="exact"/>
        <w:rPr>
          <w:rFonts w:ascii="Arial" w:cs="Arial" w:eastAsia="Arial" w:hAnsi="Arial"/>
          <w:sz w:val="18"/>
          <w:szCs w:val="18"/>
          <w:color w:val="auto"/>
        </w:rPr>
      </w:pPr>
    </w:p>
    <w:p>
      <w:pPr>
        <w:jc w:val="both"/>
        <w:ind w:left="640" w:firstLine="648"/>
        <w:spacing w:after="0" w:line="259"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subject to the provisions in this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440" w:right="339" w:bottom="1440" w:gutter="0" w:footer="0" w:header="0"/>
        </w:sectPr>
      </w:pPr>
    </w:p>
    <w:bookmarkStart w:id="438" w:name="page439"/>
    <w:bookmarkEnd w:id="438"/>
    <w:p>
      <w:pPr>
        <w:spacing w:after="0" w:line="144" w:lineRule="exact"/>
        <w:rPr>
          <w:sz w:val="20"/>
          <w:szCs w:val="20"/>
          <w:color w:val="auto"/>
        </w:rPr>
      </w:pPr>
    </w:p>
    <w:p>
      <w:pPr>
        <w:ind w:right="20" w:firstLine="320"/>
        <w:spacing w:after="0" w:line="277" w:lineRule="auto"/>
        <w:tabs>
          <w:tab w:leader="none" w:pos="63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320"/>
        <w:spacing w:after="0" w:line="273" w:lineRule="auto"/>
        <w:tabs>
          <w:tab w:leader="none" w:pos="64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upon the occurrence of any event contemplated in Section 8(j)(ii)(4), except for such times as Acquirer is permitted hereunder to suspend, and has suspended, the use of a prospectus forming part of a Registration Statement, Acquirer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23" w:lineRule="exact"/>
        <w:rPr>
          <w:rFonts w:ascii="Arial" w:cs="Arial" w:eastAsia="Arial" w:hAnsi="Arial"/>
          <w:sz w:val="17"/>
          <w:szCs w:val="17"/>
          <w:color w:val="auto"/>
        </w:rPr>
      </w:pPr>
    </w:p>
    <w:p>
      <w:pPr>
        <w:jc w:val="both"/>
        <w:ind w:firstLine="320"/>
        <w:spacing w:after="0" w:line="272" w:lineRule="auto"/>
        <w:tabs>
          <w:tab w:leader="none" w:pos="63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use its commercially reasonable efforts to (1) register or qualify the Registrable Securities covered by any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(2) take such action necessary to cause such Registrable Securities covered by a Registration Statement to be registered with or approved by such other governmental authorities or securities exchanges, including the applicable Nasdaq Stock Market or such other primary securities exchange or market, if any, on which the Acquirer Stock has been listed no later than the effective date of the applicable Registration Statement on which such Registrable Securities are registered;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(vii)use its commercially reasonable efforts to take all other steps reasonably necessary to effect the registration of the Lock-Up Shares contemplated hereby and, for so long as the undersigned holds Lock-Up Shares, to enable the undersigned to sell the Lock-Up Shares under Rule 144;</w:t>
      </w:r>
    </w:p>
    <w:p>
      <w:pPr>
        <w:spacing w:after="0" w:line="130" w:lineRule="exact"/>
        <w:rPr>
          <w:sz w:val="20"/>
          <w:szCs w:val="20"/>
          <w:color w:val="auto"/>
        </w:rPr>
      </w:pPr>
    </w:p>
    <w:p>
      <w:pPr>
        <w:ind w:left="1280" w:hanging="960"/>
        <w:spacing w:after="0"/>
        <w:tabs>
          <w:tab w:leader="none" w:pos="12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provide a transfer agent and registrar for all such Registrable Securities no later than the effective date of any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156" w:lineRule="exact"/>
        <w:rPr>
          <w:rFonts w:ascii="Arial" w:cs="Arial" w:eastAsia="Arial" w:hAnsi="Arial"/>
          <w:sz w:val="17"/>
          <w:szCs w:val="17"/>
          <w:color w:val="auto"/>
        </w:rPr>
      </w:pPr>
    </w:p>
    <w:p>
      <w:pPr>
        <w:jc w:val="both"/>
        <w:ind w:firstLine="320"/>
        <w:spacing w:after="0" w:line="279" w:lineRule="auto"/>
        <w:tabs>
          <w:tab w:leader="none" w:pos="63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at least five (5) Business Days (or, in the case of a Block Trade, at least one (1) calendar day) prior to the filing of any Registration Statement or prospectus or any amendment or supplement 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17" w:lineRule="exact"/>
        <w:rPr>
          <w:rFonts w:ascii="Arial" w:cs="Arial" w:eastAsia="Arial" w:hAnsi="Arial"/>
          <w:sz w:val="17"/>
          <w:szCs w:val="17"/>
          <w:color w:val="auto"/>
        </w:rPr>
      </w:pPr>
    </w:p>
    <w:p>
      <w:pPr>
        <w:jc w:val="both"/>
        <w:ind w:firstLine="320"/>
        <w:spacing w:after="0" w:line="255" w:lineRule="auto"/>
        <w:tabs>
          <w:tab w:leader="none" w:pos="64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permit a representative of a majority-in-interest of the Holders, the underwriters, if any, and any attorney or accountant retained by such Holders or underwriter to participate, at each such Person’s own expense, in the preparation of any Registration Statement and cause Acquirer’s officers, directors and employees to supply all information reasonably requested by any such representative, underwriter, attorney or accountant in connection with the registration; provided, however, that, if requested by Acquirer, such representatives or underwriters shall be required to enter into a confidentiality agreement, in form and substance reasonably satisfactory to Acquirer, prior to the release or disclosure of any such information;</w:t>
      </w:r>
    </w:p>
    <w:p>
      <w:pPr>
        <w:spacing w:after="0" w:line="138" w:lineRule="exact"/>
        <w:rPr>
          <w:rFonts w:ascii="Arial" w:cs="Arial" w:eastAsia="Arial" w:hAnsi="Arial"/>
          <w:sz w:val="18"/>
          <w:szCs w:val="18"/>
          <w:color w:val="auto"/>
        </w:rPr>
      </w:pPr>
    </w:p>
    <w:p>
      <w:pPr>
        <w:jc w:val="both"/>
        <w:ind w:right="20" w:firstLine="320"/>
        <w:spacing w:after="0" w:line="301" w:lineRule="auto"/>
        <w:tabs>
          <w:tab w:leader="none" w:pos="63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obtain a “cold comfort” letter (including a bring-down letter dated as of the date the Registrable Securities are delivered for sale pursuant to such registration) from Acquirer’s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(xii)on the date the Registrable Securities are delivered for sale pursuant to a registration, obtain an opinion and negative assurance letter, dated such date, of counsel representing Acquirer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440" w:right="339" w:bottom="1440" w:gutter="0" w:footer="0" w:header="0"/>
        </w:sectPr>
      </w:pPr>
    </w:p>
    <w:bookmarkStart w:id="439" w:name="page440"/>
    <w:bookmarkEnd w:id="439"/>
    <w:p>
      <w:pPr>
        <w:spacing w:after="0" w:line="144" w:lineRule="exact"/>
        <w:rPr>
          <w:sz w:val="20"/>
          <w:szCs w:val="20"/>
          <w:color w:val="auto"/>
        </w:rPr>
      </w:pPr>
    </w:p>
    <w:p>
      <w:pPr>
        <w:ind w:left="320" w:right="20"/>
        <w:spacing w:after="0" w:line="277" w:lineRule="auto"/>
        <w:rPr>
          <w:sz w:val="20"/>
          <w:szCs w:val="20"/>
          <w:color w:val="auto"/>
        </w:rPr>
      </w:pPr>
      <w:r>
        <w:rPr>
          <w:rFonts w:ascii="Arial" w:cs="Arial" w:eastAsia="Arial" w:hAnsi="Arial"/>
          <w:sz w:val="18"/>
          <w:szCs w:val="18"/>
          <w:color w:val="auto"/>
        </w:rPr>
        <w:t>customarily included in such opinions and negative assurance letters, and reasonably satisfactory to a majority in interest of the participating Holders and any underwriter;</w:t>
      </w:r>
    </w:p>
    <w:p>
      <w:pPr>
        <w:spacing w:after="0" w:line="116" w:lineRule="exact"/>
        <w:rPr>
          <w:sz w:val="20"/>
          <w:szCs w:val="20"/>
          <w:color w:val="auto"/>
        </w:rPr>
      </w:pPr>
    </w:p>
    <w:p>
      <w:pPr>
        <w:ind w:left="320" w:firstLine="320"/>
        <w:spacing w:after="0" w:line="277" w:lineRule="auto"/>
        <w:tabs>
          <w:tab w:leader="none" w:pos="16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offering;</w:t>
      </w:r>
    </w:p>
    <w:p>
      <w:pPr>
        <w:spacing w:after="0" w:line="116" w:lineRule="exact"/>
        <w:rPr>
          <w:rFonts w:ascii="Arial" w:cs="Arial" w:eastAsia="Arial" w:hAnsi="Arial"/>
          <w:sz w:val="18"/>
          <w:szCs w:val="18"/>
          <w:color w:val="auto"/>
        </w:rPr>
      </w:pPr>
    </w:p>
    <w:p>
      <w:pPr>
        <w:jc w:val="both"/>
        <w:ind w:left="320" w:firstLine="320"/>
        <w:spacing w:after="0" w:line="257" w:lineRule="auto"/>
        <w:tabs>
          <w:tab w:leader="none" w:pos="161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SEC, and to make available to its security holders, as soon as reasonably practicable, an earnings statement covering the period of at least twelve (12) months, beginning with the first day of Acquirer’s first full calendar quarter after the effective date of the Registration Statement which satisfies the provisions of Section 11(a) of the Securities Act and the rules and regulations thereunder, including Rule 158 thereunder (or any successor rule promulgated thereafter by the SEC);</w:t>
      </w:r>
    </w:p>
    <w:p>
      <w:pPr>
        <w:spacing w:after="0" w:line="134" w:lineRule="exact"/>
        <w:rPr>
          <w:sz w:val="20"/>
          <w:szCs w:val="20"/>
          <w:color w:val="auto"/>
        </w:rPr>
      </w:pPr>
    </w:p>
    <w:p>
      <w:pPr>
        <w:jc w:val="both"/>
        <w:ind w:left="320" w:firstLine="324"/>
        <w:spacing w:after="0" w:line="263" w:lineRule="auto"/>
        <w:rPr>
          <w:sz w:val="20"/>
          <w:szCs w:val="20"/>
          <w:color w:val="auto"/>
        </w:rPr>
      </w:pPr>
      <w:r>
        <w:rPr>
          <w:rFonts w:ascii="Arial" w:cs="Arial" w:eastAsia="Arial" w:hAnsi="Arial"/>
          <w:sz w:val="18"/>
          <w:szCs w:val="18"/>
          <w:color w:val="auto"/>
        </w:rPr>
        <w:t>(xv)if the registration involves the registration of Registrable Securities involving gross proceeds in excess of $50,000,000, use its reasonable efforts to make available senior executives of Acquirer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left="320" w:firstLine="320"/>
        <w:spacing w:after="0" w:line="254" w:lineRule="auto"/>
        <w:tabs>
          <w:tab w:leader="none" w:pos="16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(“DWAC”) system, in any such case as such Holder or underwriter, if any, may reasonably request;</w:t>
      </w:r>
    </w:p>
    <w:p>
      <w:pPr>
        <w:spacing w:after="0" w:line="140" w:lineRule="exact"/>
        <w:rPr>
          <w:rFonts w:ascii="Arial" w:cs="Arial" w:eastAsia="Arial" w:hAnsi="Arial"/>
          <w:sz w:val="18"/>
          <w:szCs w:val="18"/>
          <w:color w:val="auto"/>
        </w:rPr>
      </w:pPr>
    </w:p>
    <w:p>
      <w:pPr>
        <w:jc w:val="both"/>
        <w:ind w:left="320" w:firstLine="320"/>
        <w:spacing w:after="0" w:line="259" w:lineRule="auto"/>
        <w:tabs>
          <w:tab w:leader="none" w:pos="1611" w:val="left"/>
        </w:tabs>
        <w:numPr>
          <w:ilvl w:val="1"/>
          <w:numId w:val="327"/>
        </w:numPr>
        <w:rPr>
          <w:rFonts w:ascii="Arial" w:cs="Arial" w:eastAsia="Arial" w:hAnsi="Arial"/>
          <w:sz w:val="18"/>
          <w:szCs w:val="18"/>
          <w:color w:val="auto"/>
        </w:rPr>
      </w:pPr>
      <w:r>
        <w:rPr>
          <w:rFonts w:ascii="Arial" w:cs="Arial" w:eastAsia="Arial" w:hAnsi="Arial"/>
          <w:sz w:val="18"/>
          <w:szCs w:val="18"/>
          <w:color w:val="auto"/>
        </w:rPr>
        <w:t>for so long as this Agreement remains effective, use reasonable best effects to (a) cause the Acquirer Stock to be eligible for clearing through DTC, through its DWAC system; (b) be eligible and participating in the Direct Registration System (DRS) of DTC with respect to the Acquirer Stock; and (c) ensure that the transfer agent for the Acquirer Stock is a participant in, and that the Acquirer Stock is eligible for transfer pursuant to, DTC’s Fast Automated Securities Transfer Program (or successor thereto);</w:t>
      </w:r>
    </w:p>
    <w:p>
      <w:pPr>
        <w:spacing w:after="0" w:line="132" w:lineRule="exact"/>
        <w:rPr>
          <w:rFonts w:ascii="Arial" w:cs="Arial" w:eastAsia="Arial" w:hAnsi="Arial"/>
          <w:sz w:val="18"/>
          <w:szCs w:val="18"/>
          <w:color w:val="auto"/>
        </w:rPr>
      </w:pPr>
    </w:p>
    <w:p>
      <w:pPr>
        <w:jc w:val="both"/>
        <w:ind w:left="320" w:firstLine="320"/>
        <w:spacing w:after="0" w:line="275" w:lineRule="auto"/>
        <w:tabs>
          <w:tab w:leader="none" w:pos="1607" w:val="left"/>
        </w:tabs>
        <w:numPr>
          <w:ilvl w:val="1"/>
          <w:numId w:val="327"/>
        </w:numPr>
        <w:rPr>
          <w:rFonts w:ascii="Arial" w:cs="Arial" w:eastAsia="Arial" w:hAnsi="Arial"/>
          <w:sz w:val="17"/>
          <w:szCs w:val="17"/>
          <w:color w:val="auto"/>
        </w:rPr>
      </w:pPr>
      <w:r>
        <w:rPr>
          <w:rFonts w:ascii="Arial" w:cs="Arial" w:eastAsia="Arial" w:hAnsi="Arial"/>
          <w:sz w:val="17"/>
          <w:szCs w:val="17"/>
          <w:color w:val="auto"/>
        </w:rPr>
        <w:t>use its commercially reasonable efforts to make and keep public information available, as those terms are understood and defined in Rule 144, and, without limiting the foregoing, as long as any Holder shall own Registrable Securities (without taking into account the exclusion of the definition of such term contained in clause (iv) thereof), Acquirer, at all times while it shall be a reporting company under the Exchange Act, covenants to file timely all reports required to be filed by Acquirer after the Closing Date pursuant to Sections 13 or 15(d) of the Exchange Act and to promptly furnish the Holders with true and complete copies of all such filings upon request; and</w:t>
      </w:r>
    </w:p>
    <w:p>
      <w:pPr>
        <w:spacing w:after="0" w:line="122" w:lineRule="exact"/>
        <w:rPr>
          <w:rFonts w:ascii="Arial" w:cs="Arial" w:eastAsia="Arial" w:hAnsi="Arial"/>
          <w:sz w:val="17"/>
          <w:szCs w:val="17"/>
          <w:color w:val="auto"/>
        </w:rPr>
      </w:pPr>
    </w:p>
    <w:p>
      <w:pPr>
        <w:ind w:left="320" w:firstLine="320"/>
        <w:spacing w:after="0" w:line="277" w:lineRule="auto"/>
        <w:tabs>
          <w:tab w:leader="none" w:pos="16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a registration.</w:t>
      </w:r>
    </w:p>
    <w:p>
      <w:pPr>
        <w:spacing w:after="0" w:line="116" w:lineRule="exact"/>
        <w:rPr>
          <w:rFonts w:ascii="Arial" w:cs="Arial" w:eastAsia="Arial" w:hAnsi="Arial"/>
          <w:sz w:val="18"/>
          <w:szCs w:val="18"/>
          <w:color w:val="auto"/>
        </w:rPr>
      </w:pPr>
    </w:p>
    <w:p>
      <w:pPr>
        <w:jc w:val="both"/>
        <w:ind w:left="-340" w:firstLine="656"/>
        <w:spacing w:after="0" w:line="290" w:lineRule="auto"/>
        <w:tabs>
          <w:tab w:leader="none" w:pos="95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Except as otherwise provided herein, the Registration Expenses (as defined below) of all registrations pursuant to this Agreement shall be borne by Acquirer.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 “Registration Expenses” shall mean the out-of-pocket expenses of a registration, including, without limitation, the following: (a) all registration, qualification and filing fees (including fees with respect to filings required to be made with the Financial Industry Regulatory Authority, Inc.) and any securities exchange on which the Acquirer Stock is then listed; (b) fees and expenses of compliance with securities or blue sky laws (including reasonable fees and disbursements of counsel for the underwriters in connection with blue sky qualifications of Registrable Securities); (c) printing, messenger, telephone and delivery expenses; (d)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660" w:top="1440" w:right="339" w:bottom="1440" w:gutter="0" w:footer="0" w:header="0"/>
        </w:sectPr>
      </w:pPr>
    </w:p>
    <w:bookmarkStart w:id="440" w:name="page441"/>
    <w:bookmarkEnd w:id="44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fees and disbursements of counsel for Acquirer; (e) reasonable fees and disbursements of all independent registered public accountants of Acquirer incurred specifically in connection with such registration; and (f) reasonable fees and expenses of one (1) legal counsel selected by the Demanding Holders, not to exceed $75,000.</w:t>
      </w:r>
    </w:p>
    <w:p>
      <w:pPr>
        <w:spacing w:after="0" w:line="130" w:lineRule="exact"/>
        <w:rPr>
          <w:sz w:val="20"/>
          <w:szCs w:val="20"/>
          <w:color w:val="auto"/>
        </w:rPr>
      </w:pPr>
    </w:p>
    <w:p>
      <w:pPr>
        <w:jc w:val="both"/>
        <w:ind w:firstLine="656"/>
        <w:spacing w:after="0" w:line="291" w:lineRule="auto"/>
        <w:tabs>
          <w:tab w:leader="none" w:pos="129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No Person may participate in any underwritten offering for equity securities of Acquirer pursuant to a registration initiated by Acquirer hereunder unless such Person (a) agrees to sell such Person’s securities on the basis provided in any underwriting arrangements approved by Acquirer and</w:t>
      </w:r>
    </w:p>
    <w:p>
      <w:pPr>
        <w:jc w:val="both"/>
        <w:ind w:firstLine="8"/>
        <w:spacing w:after="0" w:line="268" w:lineRule="auto"/>
        <w:tabs>
          <w:tab w:leader="none" w:pos="29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completes and executes all customary questionnaires, powers of attorney, indemnities, lock-up agreements, underwriting agreements and other customary documents as may be reasonably required under the terms of such underwriting arrangements. In connection with any underwritten offering of equity securities of Acquirer (other than a Block Trade), each Holder participating in the underwritten offering pursuant to the terms of this Agreement agrees that it shall not transfer any shares of Acquirer Stock or other equity securities of Acquirer (other than those included in such offering pursuant to this Agreement), without the prior written consent of Acquirer, during the 90-day period beginning on the date of pricing of such offering or such shorter period during which Acquirer agrees not to conduct an underwritten primary offering of Acquirer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 The immediately foregoing shall in no way limit the restrictions of undersigned’s Lock-Up Shares pursuant to the applicable Lock-Up Period.</w:t>
      </w:r>
    </w:p>
    <w:p>
      <w:pPr>
        <w:spacing w:after="0" w:line="127" w:lineRule="exact"/>
        <w:rPr>
          <w:rFonts w:ascii="Arial" w:cs="Arial" w:eastAsia="Arial" w:hAnsi="Arial"/>
          <w:sz w:val="17"/>
          <w:szCs w:val="17"/>
          <w:color w:val="auto"/>
        </w:rPr>
      </w:pPr>
    </w:p>
    <w:p>
      <w:pPr>
        <w:jc w:val="both"/>
        <w:ind w:firstLine="656"/>
        <w:spacing w:after="0" w:line="282" w:lineRule="auto"/>
        <w:tabs>
          <w:tab w:leader="none" w:pos="128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If (a) during the period starting with the date sixty (60) days prior to Acquirer’s good-faith estimate of the date of the filing of, and ending on a date one hundred and twenty (120) days after the effective date of, a Registration Statement in respect of an Acquirer initiated underwritten registration of its securities Acquirer receives a Demand Registration, and provided that Acquirer has delivered written notice to the Holders prior to receipt of a Demand Registration pursuant to Section 8(d) and it continues to actively employ, in good faith, all reasonable efforts to cause the applicable Acquirer-initiated registration statement to become effective, (b) the Holders have requested an underwritten registration and Acquirer and the Holders are unable to obtain the commitment of the underwriters to firmly underwrite the offer, or (c) in the good faith judgment of the Acquirer Board such registration would be seriously detrimental to Acquirer and the Acquirer Board concludes as a result that it is essential to defer the filing of such Registration Statement at such time, then in each case, Acquirer shall furnish to such Holders a certificate signed by the Chairman of the Acquirer Board stating that in the good-faith judgment of the Acquirer Board it would be seriously detrimental to Acquirer for a Registration Statement with respect to such Demand Registration to be filed in the near future and that it is therefore essential to defer the filing of such Registration Statement, Acquirer shall have the right to defer such filing for a period of not more than sixty (60) calendar days. For the avoidance of doubt, the foregoing ability to defer the filing of a Registration Statement shall not apply to Acquirer’s obligation to file the Initial Shelf pursuant to Section 8(a). Notwithstanding anything to the contrary in this Agreement, Acquirer may, subject to the MNPI Provisions and upon prompt written notice (a “Suspension Notice”) of such action to the Holders no later than three (3) Business Days from the date of such Suspension Event (as defined below), delay the filing or postpone the effectiveness of the Registration Statement, and from time to time to require the Holders not to sell under the Registration Statement or to suspend the effectiveness thereof, if (i) such filing, effectiveness or sales would require the inclusion in such Registration Statement of financial statements that are unavailable to Acquirer for reasons beyond Acquirer’s control or</w:t>
      </w:r>
    </w:p>
    <w:p>
      <w:pPr>
        <w:spacing w:after="0" w:line="11" w:lineRule="exact"/>
        <w:rPr>
          <w:rFonts w:ascii="Arial" w:cs="Arial" w:eastAsia="Arial" w:hAnsi="Arial"/>
          <w:sz w:val="16"/>
          <w:szCs w:val="16"/>
          <w:color w:val="auto"/>
        </w:rPr>
      </w:pPr>
    </w:p>
    <w:p>
      <w:pPr>
        <w:jc w:val="both"/>
        <w:ind w:firstLine="8"/>
        <w:spacing w:after="0" w:line="286" w:lineRule="auto"/>
        <w:tabs>
          <w:tab w:leader="none" w:pos="26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negotiation or consummation of a transaction by Acquirer or its subsidiaries is pending or an event has occurred, which negotiation, consummation or event, the Acquirer Board reasonably believes would require additional disclosure by Acquirer in the Registration Statement of material information that Acquirer has a bona fide business purpose for keeping confidential and the non-disclosure of which in the Registration Statement would be expected, in the reasonable determination of the Acquirer Board would be expected to cause the Registration Statement to fail to comply with applicable disclosure requirements (each such circumstance, a “Suspension Event”); provided that Acquirer may not delay or suspend the Registration Statement on more than forty-five (45) consecutive calendar days, determined in good faith by the Acquirer Board to be necessary for such purpose; provided further that Acquirer shall not defer its obligations pursuant to this Section 8(m) more than twice during any twelve (12)-month period; provided further, that in no event shall Acquirer be entitled to delay or defer the filing or effectiveness of the Initial Shelf pursuant to this Section 8(m). Upon receipt of any Suspension Notice during the period that any Registration Statement is effective or if as a result of a Suspension Event any Registration Statement or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and each other Holder agrees that (i) it will immediately discontinue offers and sales of the Registrable Securities under such Registration Statement (excluding, for the avoidance of doubt, sales conducted pursuant to Rule 144) until such Holder receives copies of a supplemental or amended prospectus (which Acquirer agrees to promptly prepare) that corrects the misstatement(s) or omission(s) referred to above and receives notice that any post-effective amendment has become effective or unless otherwise notified by Acquirer that it may resume such offers and sales, provided, for the avoidance of doubt, that the foregoing shall not restrict or otherwise affect the consummation of any sale pursuant to a contract entered into, or order placed, by any Holder prior to delivery of the Suspension Notice and (ii) it will maintain the confidentiality of any information included in such Suspension Notice unless otherwise required by law or subpoena. If so directed by Acquirer, each Holder will deliver to Acquirer or, in such Holder’s sole discretion destroy, all copies of the prospectus covering the Registrable Securities in such Holder’s possession; provided that this obligation to deliver or destroy all copies of the prospectus covering the Registrable Securities shall not apply (A) to the extent such Holder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 Acquirer shall immediately notify the Holders of the expiration of any period during which it exercised its rights under this Section 8(m).</w:t>
      </w:r>
    </w:p>
    <w:p>
      <w:pPr>
        <w:spacing w:after="0" w:line="130" w:lineRule="exact"/>
        <w:rPr>
          <w:sz w:val="20"/>
          <w:szCs w:val="20"/>
          <w:color w:val="auto"/>
        </w:rPr>
      </w:pPr>
    </w:p>
    <w:p>
      <w:pPr>
        <w:jc w:val="both"/>
        <w:ind w:firstLine="656"/>
        <w:spacing w:after="0" w:line="290" w:lineRule="auto"/>
        <w:tabs>
          <w:tab w:leader="none" w:pos="129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Holder may deliver written notice (an “Opt-Out Notice”) to Acquirer requesting that such Holder not receive notices from Acquirer otherwise required by this Section 8; provided that Holder may later revoke any such Opt-Out Notice in writing. Following receipt of an Opt-Out Notice from a Holder (unless subsequently revoked), (i) Acquirer shall not deliver any such notices to such Holder and such Holder shall no longer be entitled to the rights associated with any such notice and (ii) each time prior to such Holder’s intended use of an effective Registration Statement, such Holder will notify Acquirer in writing at least two (2) Business Days in advance of such intended use, and if a notice of a Suspension Event was previously delivered (or would have been delivered but for the provisions of this Section 8(n)) and the related suspension period remains in effect, Acquirer will so notify such Holder, within one (1) Business Day of such Holder’s notification to Acquirer, by delivering to such Holder a copy of such Suspension Notice, and thereafter will provide such Holder with the related notice of the conclusion of such Suspension Event promptly following its availability.</w:t>
      </w:r>
    </w:p>
    <w:p>
      <w:pPr>
        <w:spacing w:after="0" w:line="111" w:lineRule="exact"/>
        <w:rPr>
          <w:rFonts w:ascii="Arial" w:cs="Arial" w:eastAsia="Arial" w:hAnsi="Arial"/>
          <w:sz w:val="16"/>
          <w:szCs w:val="16"/>
          <w:color w:val="auto"/>
        </w:rPr>
      </w:pPr>
    </w:p>
    <w:p>
      <w:pPr>
        <w:jc w:val="both"/>
        <w:ind w:firstLine="656"/>
        <w:spacing w:after="0" w:line="285" w:lineRule="auto"/>
        <w:tabs>
          <w:tab w:leader="none" w:pos="129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Other than with respect to any contractual restriction applicable to any Holder pursuant to this Agreement or any Other Shareholder Agreement, the stock certificates evidencing the Registrable Securities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has sold such securities and will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SEC) as determined in good faith by counsel to Acquirer or set forth in a legal opinion delivered by nationally recognized counsel to the Holder (collectively, the “Unrestricted Conditions”). Acquirer agrees that at such time as any of the Unrestricted Conditions is met or such legend is otherwise no longer required it will, no later than two (2) Business Days following the delivery by a Holder to Acquirer or Acquirer’s transfer agent of a certificate representing any Registrable Securities, issued with a restrictive legend, (or, in the case of Registrable Securities represented by book entries, delivery by a Holder to Acquirer or Acquirer’s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DWAC system, in each case, free from all restrictive and other legends and stop transfer or similar instructions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notations. If any of the Unrestricted Conditions is met at the time of issuance of any Registrable Securities, then such securities shall be issued free of all legends.</w:t>
      </w:r>
    </w:p>
    <w:p>
      <w:pPr>
        <w:spacing w:after="0" w:line="116" w:lineRule="exact"/>
        <w:rPr>
          <w:sz w:val="20"/>
          <w:szCs w:val="20"/>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71" w:lineRule="exact"/>
        <w:rPr>
          <w:rFonts w:ascii="Arial" w:cs="Arial" w:eastAsia="Arial" w:hAnsi="Arial"/>
          <w:sz w:val="18"/>
          <w:szCs w:val="18"/>
          <w:color w:val="auto"/>
        </w:rPr>
      </w:pPr>
    </w:p>
    <w:p>
      <w:pPr>
        <w:jc w:val="both"/>
        <w:ind w:firstLine="1304"/>
        <w:spacing w:after="0" w:line="268" w:lineRule="auto"/>
        <w:tabs>
          <w:tab w:leader="none" w:pos="1938"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Acquirer shall, notwithstanding the termination of this Agreement, indemnify and hold harmless, to the extent permitted by law, each Holder and its respective directors, officers, employees, agents, trustees, partners, members, managers, stockholders, investment advisors and sub-advisors, each Person who controls such Holder (within the meaning of the Securities Act or the Exchange Act) and each Affiliate of such Holder from and against any and all losses, claims, damages, liabilities, costs and expenses (including, without limitation, any reasonable attorneys’ fees and expenses incurred in connection with defending or investigating any such action or claim) (collectively, “Losses”) that arise out of or are caused by any untrue or alleged untrue statement of material fact contained in any Registration Statement (or incorporated by reference therein), prospectus included in any Registration Statement (“Prospectus”)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Acquirer by or on behalf of such Holder expressly for use therein. Acquirer shall notify each Holder promptly of the institution, threat or assertion (to Acquirer’s knowledge) of any proceeding arising from or in connection with a Registration Statement on which such Holder’s Registrable Securities are registered; provided that the indemnification contained in this Section 8(p) shall not apply to amounts paid in settlement of any Losses if such settlement is effected without the consent of Acquirer (which consent shall not be unreasonably withheld, conditioned or delayed), nor shall Acquirer be liable for any Losses to the extent they arise out of or are based upon a violation which occurs in connection with any offers or sales effected by or on behalf of such Holder in violation of this Agreement.</w:t>
      </w:r>
    </w:p>
    <w:p>
      <w:pPr>
        <w:spacing w:after="0" w:line="127" w:lineRule="exact"/>
        <w:rPr>
          <w:rFonts w:ascii="Arial" w:cs="Arial" w:eastAsia="Arial" w:hAnsi="Arial"/>
          <w:sz w:val="17"/>
          <w:szCs w:val="17"/>
          <w:color w:val="auto"/>
        </w:rPr>
      </w:pPr>
    </w:p>
    <w:p>
      <w:pPr>
        <w:jc w:val="both"/>
        <w:ind w:firstLine="1304"/>
        <w:spacing w:after="0" w:line="287" w:lineRule="auto"/>
        <w:tabs>
          <w:tab w:leader="none" w:pos="1934"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any Holder is participating, such Holder shall furnish to Acquirer in writing such information as Acquirer reasonably requests for use in connection with any such Registration Statement or Prospectus. In connection with any Registration Statement in which any Holder is participating, such Holder agrees to indemnify and hold harmless, to the extent permitted by law, Acquirer, its directors and officers and agents and employees and each Person or entity who controls Acquirer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such Holder expressly for use therein; provided that in no event shall the aggregate liability of a Holder (including, for the avoidance of doubt, under Section 8(p)(v)) be greater in amount than the dollar amount of the net proceeds received by such Holder from the sale of its Registrable Securities pursuant to such Registration Statement giving rise to such indemnification obligation.</w:t>
      </w:r>
    </w:p>
    <w:p>
      <w:pPr>
        <w:spacing w:after="0" w:line="117" w:lineRule="exact"/>
        <w:rPr>
          <w:rFonts w:ascii="Arial" w:cs="Arial" w:eastAsia="Arial" w:hAnsi="Arial"/>
          <w:sz w:val="16"/>
          <w:szCs w:val="16"/>
          <w:color w:val="auto"/>
        </w:rPr>
      </w:pPr>
    </w:p>
    <w:p>
      <w:pPr>
        <w:jc w:val="both"/>
        <w:ind w:firstLine="1304"/>
        <w:spacing w:after="0" w:line="269" w:lineRule="auto"/>
        <w:tabs>
          <w:tab w:leader="none" w:pos="1944"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may exist between such indemnified party and any other of such indemnified parties with respect to such claim. No indemnifying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17" w:lineRule="exact"/>
        <w:rPr>
          <w:sz w:val="20"/>
          <w:szCs w:val="20"/>
          <w:color w:val="auto"/>
        </w:rPr>
      </w:pPr>
    </w:p>
    <w:p>
      <w:pPr>
        <w:jc w:val="both"/>
        <w:ind w:firstLine="1304"/>
        <w:spacing w:after="0" w:line="263" w:lineRule="auto"/>
        <w:tabs>
          <w:tab w:leader="none" w:pos="1934" w:val="left"/>
        </w:tabs>
        <w:numPr>
          <w:ilvl w:val="2"/>
          <w:numId w:val="334"/>
        </w:numPr>
        <w:rPr>
          <w:rFonts w:ascii="Arial" w:cs="Arial" w:eastAsia="Arial" w:hAnsi="Arial"/>
          <w:sz w:val="18"/>
          <w:szCs w:val="18"/>
          <w:color w:val="auto"/>
        </w:rPr>
      </w:pPr>
      <w:r>
        <w:rPr>
          <w:rFonts w:ascii="Arial" w:cs="Arial" w:eastAsia="Arial" w:hAnsi="Arial"/>
          <w:sz w:val="18"/>
          <w:szCs w:val="18"/>
          <w:color w:val="auto"/>
        </w:rPr>
        <w:t>The indemnification provided under this Agreement shall remain in full force and effect regardless of any investigation made by or on behalf of the indemnified party or any officer, director, employee, agent, affiliate or controlling Person of such indemnified party and shall survive the transfer of the Lock-Up Shares.</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38" w:val="left"/>
        </w:tabs>
        <w:numPr>
          <w:ilvl w:val="2"/>
          <w:numId w:val="334"/>
        </w:numPr>
        <w:rPr>
          <w:rFonts w:ascii="Arial" w:cs="Arial" w:eastAsia="Arial" w:hAnsi="Arial"/>
          <w:sz w:val="16"/>
          <w:szCs w:val="16"/>
          <w:color w:val="auto"/>
        </w:rPr>
      </w:pPr>
      <w:r>
        <w:rPr>
          <w:rFonts w:ascii="Arial" w:cs="Arial" w:eastAsia="Arial" w:hAnsi="Arial"/>
          <w:sz w:val="16"/>
          <w:szCs w:val="16"/>
          <w:color w:val="auto"/>
        </w:rPr>
        <w:t>If the indemnification provided under this Section 8(p)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the such indemnifying party or indemnified party; provided, however, that the liability of any Holder under this Section 8(p)(v)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Section 8(p)(i), 8(p)(ii), and 8(p)(iii),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8(p)(v) from any Person who was not guilty of such fraudulent misrepresentation.</w:t>
      </w:r>
    </w:p>
    <w:p>
      <w:pPr>
        <w:spacing w:after="0" w:line="116" w:lineRule="exact"/>
        <w:rPr>
          <w:rFonts w:ascii="Arial" w:cs="Arial" w:eastAsia="Arial" w:hAnsi="Arial"/>
          <w:sz w:val="16"/>
          <w:szCs w:val="16"/>
          <w:color w:val="auto"/>
        </w:rPr>
      </w:pPr>
    </w:p>
    <w:p>
      <w:pPr>
        <w:jc w:val="both"/>
        <w:ind w:firstLine="656"/>
        <w:spacing w:after="0" w:line="279" w:lineRule="auto"/>
        <w:tabs>
          <w:tab w:leader="none" w:pos="129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undersigned agrees that each New Holder (as defined in the July 2021 Registration Rights Agreement) shall have piggyback registration rights in respect of any Registration Statement that is filed pursuant to this Section 8, pursuant to and in accordance with Section 5.6 of the July 2021 Registration Rights Agreement, and that the provisions of the Registration Rights Agreement shall apply, mutatis mutandis, to the exercise of any such piggyback registration rights by any such New Holder in respect of any such Registration Statement.</w:t>
      </w:r>
    </w:p>
    <w:p>
      <w:pPr>
        <w:spacing w:after="0" w:line="117" w:lineRule="exact"/>
        <w:rPr>
          <w:rFonts w:ascii="Arial" w:cs="Arial" w:eastAsia="Arial" w:hAnsi="Arial"/>
          <w:sz w:val="17"/>
          <w:szCs w:val="17"/>
          <w:color w:val="auto"/>
        </w:rPr>
      </w:pPr>
    </w:p>
    <w:p>
      <w:pPr>
        <w:jc w:val="both"/>
        <w:ind w:firstLine="656"/>
        <w:spacing w:after="0" w:line="296" w:lineRule="auto"/>
        <w:tabs>
          <w:tab w:leader="none" w:pos="1287"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rights, duties and obligations of the undersigned under this Section 8 may be freely assigned or delegated by the undersigned to a 5% Insider; provided, however, that if any such assignment or delegation occurs during a Lock-Up Period, such 5% Insider must enter into a written agreement with Acquirer agreeing to be bound by the provisions of this Agreement in accordance with Section 5 of this Agreement and shall thereafter be a “Holder” for purposes of this Section 8. For purposes of this Agreement, a “5% Insider” means any stockholder of Seller that is both the record or beneficial owner of at least 5% of the outstanding shares of common stock of Seller and an insider (non-institutional) stockholder of Seller.</w:t>
      </w:r>
    </w:p>
    <w:p>
      <w:pPr>
        <w:spacing w:after="0" w:line="107" w:lineRule="exact"/>
        <w:rPr>
          <w:rFonts w:ascii="Arial" w:cs="Arial" w:eastAsia="Arial" w:hAnsi="Arial"/>
          <w:sz w:val="16"/>
          <w:szCs w:val="16"/>
          <w:color w:val="auto"/>
        </w:rPr>
      </w:pPr>
    </w:p>
    <w:p>
      <w:pPr>
        <w:jc w:val="both"/>
        <w:ind w:firstLine="332"/>
        <w:spacing w:after="0" w:line="272" w:lineRule="auto"/>
        <w:tabs>
          <w:tab w:leader="none" w:pos="64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undersigned represents and warrants that it (i) is a “qualified institutional buyer” (as defined in Rule 144A under the Securities Act) or an institutional “accredited investor” (within the meaning of Rule 501(a) under the Securities Act) satisfying the applicable requirements set forth on Schedule A, (ii) is acquiring the Lock-Up Shares only for its own account and not for the account of others, and (iii) is not acquiring the Lock-Up Shares with a view to, or for offer or sale in connection with, any distribution thereof in violation of the Securities Act or any other securities laws of the United States or any other applicable jurisdiction (and shall provide the requested information on Schedule A following the signature page hereto). The undersigned is not an entity formed for the specific purpose of acquiring the Lock-Up Shares, unless such newly formed entity is an entity in which all of the equity owners are “accredited investors” (within the meaning of Rule 501(a)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44" w:lineRule="exact"/>
        <w:rPr>
          <w:sz w:val="20"/>
          <w:szCs w:val="20"/>
          <w:color w:val="auto"/>
        </w:rPr>
      </w:pPr>
    </w:p>
    <w:p>
      <w:pPr>
        <w:jc w:val="both"/>
        <w:ind w:firstLine="332"/>
        <w:spacing w:after="0" w:line="284" w:lineRule="auto"/>
        <w:tabs>
          <w:tab w:leader="none" w:pos="64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undersigned understands that the Lock-Up Shares are being offered in a transaction not involving any public offering within the meaning of the Securities Act and that the Lock-Up Shares have not been registered under the Securities Act or any other securities laws of the United States or any other jurisdiction. The undersigned understands that it is acquiring its entire beneficial ownership interest in the Lock-Up Shares for the undersigned’s own account for investment purposes only and not with a view to any distribution of the Lock-Up Shares in any manner that would violate the securities laws of the United States or any other applicable jurisdiction. The undersigned understands that the Lock-Up Shares may not be resold, transferred, pledged or otherwise disposed of by the undersigned absent an effective registration statement under the Securities Act, except (i) to Acquirer or a subsidiary thereof,</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pursuant to offers and sales that occur in an “offshore transaction” within the meaning of Regulation S under the Securities Act, (iii) pursuant to Rule</w:t>
      </w:r>
    </w:p>
    <w:p>
      <w:pPr>
        <w:spacing w:after="0" w:line="32"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144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of the applicable conditions thereof (including those set out in Rule 144(i) which are applicable to Acquirer)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that any certificates or book- entry records representing the Lock-Up Shares shall contain a legend to such effect. The undersigned understands and agrees that the Lock-Up Shares will be subject to the foregoing restrictions and, as a result, the undersigned may not be able to readily resell the Lock-Up Shares and may be required to bear the financial risk of an investment in the Lock-Up Shares for an indefinite period of time. The undersigned understands that it has been advised to consult legal counsel prior to making any offer, resale, pledge or transfer of any of the Lock-Up Shares. By making the representations in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undersigned does not agree to hold any of the Lock-Up Shares for any minimum or other specific term and reserves the right to assign, transfer or otherwise dispose of any of the Lock-Up Shares at any time in accordance with or pursuant to a registration statement or an exemption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Lock-Up Shares shall be subject to the restrictions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w:t>
      </w:r>
    </w:p>
    <w:p>
      <w:pPr>
        <w:spacing w:after="0" w:line="131" w:lineRule="exact"/>
        <w:rPr>
          <w:rFonts w:ascii="Arial" w:cs="Arial" w:eastAsia="Arial" w:hAnsi="Arial"/>
          <w:sz w:val="16"/>
          <w:szCs w:val="16"/>
          <w:color w:val="auto"/>
        </w:rPr>
      </w:pPr>
    </w:p>
    <w:p>
      <w:pPr>
        <w:jc w:val="both"/>
        <w:ind w:firstLine="332"/>
        <w:spacing w:after="0" w:line="286" w:lineRule="auto"/>
        <w:tabs>
          <w:tab w:leader="none" w:pos="637"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permitted assigns of the undersigned from and after the Closing Date.</w:t>
      </w:r>
    </w:p>
    <w:p>
      <w:pPr>
        <w:spacing w:after="0" w:line="111" w:lineRule="exact"/>
        <w:rPr>
          <w:rFonts w:ascii="Arial" w:cs="Arial" w:eastAsia="Arial" w:hAnsi="Arial"/>
          <w:sz w:val="17"/>
          <w:szCs w:val="17"/>
          <w:color w:val="auto"/>
        </w:rPr>
      </w:pPr>
    </w:p>
    <w:p>
      <w:pPr>
        <w:jc w:val="both"/>
        <w:ind w:firstLine="332"/>
        <w:spacing w:after="0" w:line="259"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w:t>
      </w:r>
    </w:p>
    <w:p>
      <w:pPr>
        <w:spacing w:after="0" w:line="132" w:lineRule="exact"/>
        <w:rPr>
          <w:rFonts w:ascii="Arial" w:cs="Arial" w:eastAsia="Arial" w:hAnsi="Arial"/>
          <w:sz w:val="18"/>
          <w:szCs w:val="18"/>
          <w:color w:val="auto"/>
        </w:rPr>
      </w:pPr>
    </w:p>
    <w:p>
      <w:pPr>
        <w:jc w:val="both"/>
        <w:ind w:firstLine="332"/>
        <w:spacing w:after="0" w:line="255"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this Agreement and the rights and obligations of the parties hereunder shall not be assignable or transferable by any party hereto (including in connection with a merger, consolidation, sale of substantially all of the assets of such party or otherwise by operation of Law) without the prior written consent of (a) Acquirer, in the case of any such attempted assignment or transfer by the undersigned, or (b) the undersigned, in the case of any such attempted assignment or transfer by Acquirer. Any attempted assignment in violation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null and void. Subject to the foregoing, this Agreement shall be binding upon and inure to the benefit of Acquirer and the undersigned and their respective successors and permitted assigns.</w:t>
      </w:r>
    </w:p>
    <w:p>
      <w:pPr>
        <w:spacing w:after="0" w:line="138" w:lineRule="exact"/>
        <w:rPr>
          <w:rFonts w:ascii="Arial" w:cs="Arial" w:eastAsia="Arial" w:hAnsi="Arial"/>
          <w:sz w:val="18"/>
          <w:szCs w:val="18"/>
          <w:color w:val="auto"/>
        </w:rPr>
      </w:pPr>
    </w:p>
    <w:p>
      <w:pPr>
        <w:jc w:val="both"/>
        <w:ind w:firstLine="332"/>
        <w:spacing w:after="0" w:line="263"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129" w:lineRule="exact"/>
        <w:rPr>
          <w:rFonts w:ascii="Arial" w:cs="Arial" w:eastAsia="Arial" w:hAnsi="Arial"/>
          <w:sz w:val="18"/>
          <w:szCs w:val="18"/>
          <w:color w:val="auto"/>
        </w:rPr>
      </w:pPr>
    </w:p>
    <w:p>
      <w:pPr>
        <w:jc w:val="both"/>
        <w:ind w:firstLine="332"/>
        <w:spacing w:after="0" w:line="257"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30" w:lineRule="exact"/>
        <w:rPr>
          <w:sz w:val="20"/>
          <w:szCs w:val="20"/>
          <w:color w:val="auto"/>
        </w:rPr>
      </w:pPr>
    </w:p>
    <w:p>
      <w:pPr>
        <w:jc w:val="both"/>
        <w:ind w:firstLine="332"/>
        <w:spacing w:after="0" w:line="293"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hereto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110" w:lineRule="exact"/>
        <w:rPr>
          <w:rFonts w:ascii="Arial" w:cs="Arial" w:eastAsia="Arial" w:hAnsi="Arial"/>
          <w:sz w:val="16"/>
          <w:szCs w:val="16"/>
          <w:color w:val="auto"/>
        </w:rPr>
      </w:pPr>
    </w:p>
    <w:p>
      <w:pPr>
        <w:jc w:val="both"/>
        <w:ind w:firstLine="332"/>
        <w:spacing w:after="0" w:line="311"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94" w:lineRule="exact"/>
        <w:rPr>
          <w:rFonts w:ascii="Arial" w:cs="Arial" w:eastAsia="Arial" w:hAnsi="Arial"/>
          <w:sz w:val="16"/>
          <w:szCs w:val="16"/>
          <w:color w:val="auto"/>
        </w:rPr>
      </w:pPr>
    </w:p>
    <w:p>
      <w:pPr>
        <w:jc w:val="both"/>
        <w:ind w:firstLine="332"/>
        <w:spacing w:after="0" w:line="293"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notices, demands, waivers and other communications pursuant to this Agreement will be in writing and will be deemed given if delivered personally or delivered by electronic mail or globally recognized express delivery service to the parties hereto at the addresses set forth on the signature page hereto or to such other address as the party to whom notice is to be given to the other parties hereto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110" w:lineRule="exact"/>
        <w:rPr>
          <w:rFonts w:ascii="Arial" w:cs="Arial" w:eastAsia="Arial" w:hAnsi="Arial"/>
          <w:sz w:val="16"/>
          <w:szCs w:val="16"/>
          <w:color w:val="auto"/>
        </w:rPr>
      </w:pPr>
    </w:p>
    <w:p>
      <w:pPr>
        <w:ind w:firstLine="332"/>
        <w:spacing w:after="0" w:line="277" w:lineRule="auto"/>
        <w:tabs>
          <w:tab w:leader="none" w:pos="64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Agreement shall become effective on the Closing Date. This Agreement and the obligations of each party hereunder shall automatically terminate upon any termination of the Merger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1225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1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374650</wp:posOffset>
            </wp:positionV>
            <wp:extent cx="227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203200</wp:posOffset>
            </wp:positionV>
            <wp:extent cx="22713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7139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31750</wp:posOffset>
            </wp:positionV>
            <wp:extent cx="2271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_____________________________Accepted and Agreed:</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SEMA4 HOLDINGS CORP.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Address:</w:t>
            </w:r>
          </w:p>
        </w:tc>
        <w:tc>
          <w:tcPr>
            <w:tcW w:w="1840" w:type="dxa"/>
            <w:vAlign w:val="bottom"/>
          </w:tcPr>
          <w:p>
            <w:pPr>
              <w:ind w:left="220"/>
              <w:spacing w:after="0"/>
              <w:rPr>
                <w:sz w:val="20"/>
                <w:szCs w:val="20"/>
                <w:color w:val="auto"/>
              </w:rPr>
            </w:pPr>
            <w:r>
              <w:rPr>
                <w:rFonts w:ascii="Arial" w:cs="Arial" w:eastAsia="Arial" w:hAnsi="Arial"/>
                <w:sz w:val="18"/>
                <w:szCs w:val="18"/>
                <w:color w:val="auto"/>
              </w:rPr>
              <w:t>333 Ludlow Street,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40" w:type="dxa"/>
            <w:vAlign w:val="bottom"/>
          </w:tcPr>
          <w:p>
            <w:pPr>
              <w:ind w:left="220"/>
              <w:spacing w:after="0"/>
              <w:rPr>
                <w:sz w:val="20"/>
                <w:szCs w:val="20"/>
                <w:color w:val="auto"/>
              </w:rPr>
            </w:pPr>
            <w:r>
              <w:rPr>
                <w:rFonts w:ascii="Arial" w:cs="Arial" w:eastAsia="Arial" w:hAnsi="Arial"/>
                <w:sz w:val="18"/>
                <w:szCs w:val="18"/>
                <w:color w:val="auto"/>
                <w:w w:val="91"/>
              </w:rPr>
              <w:t>North Tower, 8th floor</w:t>
            </w: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1840" w:type="dxa"/>
            <w:vAlign w:val="bottom"/>
          </w:tcPr>
          <w:p>
            <w:pPr>
              <w:ind w:left="220"/>
              <w:spacing w:after="0"/>
              <w:rPr>
                <w:sz w:val="20"/>
                <w:szCs w:val="20"/>
                <w:color w:val="auto"/>
              </w:rPr>
            </w:pPr>
            <w:r>
              <w:rPr>
                <w:rFonts w:ascii="Arial" w:cs="Arial" w:eastAsia="Arial" w:hAnsi="Arial"/>
                <w:sz w:val="18"/>
                <w:szCs w:val="18"/>
                <w:color w:val="auto"/>
                <w:w w:val="98"/>
              </w:rPr>
              <w:t>Stamford, CT 06902</w:t>
            </w:r>
          </w:p>
        </w:tc>
        <w:tc>
          <w:tcPr>
            <w:tcW w:w="0" w:type="dxa"/>
            <w:vAlign w:val="bottom"/>
          </w:tcPr>
          <w:p>
            <w:pPr>
              <w:spacing w:after="0"/>
              <w:rPr>
                <w:sz w:val="1"/>
                <w:szCs w:val="1"/>
                <w:color w:val="auto"/>
              </w:rPr>
            </w:pPr>
          </w:p>
        </w:tc>
      </w:tr>
      <w:tr>
        <w:trPr>
          <w:trHeight w:val="230"/>
        </w:trPr>
        <w:tc>
          <w:tcPr>
            <w:tcW w:w="86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Shareholder Agreement]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39"/>
          </w:cols>
          <w:pgMar w:left="320" w:top="1440" w:right="1440" w:bottom="1440" w:gutter="0" w:footer="0" w:header="0"/>
          <w:type w:val="continuous"/>
        </w:sectPr>
      </w:pPr>
    </w:p>
    <w:bookmarkStart w:id="447" w:name="page448"/>
    <w:bookmarkEnd w:id="44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THE UNDERSIGNED</w:t>
      </w:r>
    </w:p>
    <w:p>
      <w:pPr>
        <w:spacing w:after="0" w:line="211" w:lineRule="exact"/>
        <w:rPr>
          <w:sz w:val="20"/>
          <w:szCs w:val="20"/>
          <w:color w:val="auto"/>
        </w:rPr>
      </w:pPr>
    </w:p>
    <w:p>
      <w:pPr>
        <w:ind w:left="440" w:hanging="414"/>
        <w:spacing w:after="0"/>
        <w:tabs>
          <w:tab w:leader="none" w:pos="4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QUALIFIED INSTITUTIONAL BUYER STATUS</w:t>
      </w:r>
    </w:p>
    <w:p>
      <w:pPr>
        <w:spacing w:after="0" w:line="225" w:lineRule="exact"/>
        <w:rPr>
          <w:sz w:val="20"/>
          <w:szCs w:val="20"/>
          <w:color w:val="auto"/>
        </w:rPr>
      </w:pPr>
    </w:p>
    <w:p>
      <w:pPr>
        <w:ind w:left="440" w:hanging="414"/>
        <w:spacing w:after="0"/>
        <w:tabs>
          <w:tab w:leader="none" w:pos="4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(Please check the applicable subparagraphs):</w:t>
      </w:r>
    </w:p>
    <w:p>
      <w:pPr>
        <w:spacing w:after="0" w:line="63" w:lineRule="exact"/>
        <w:rPr>
          <w:rFonts w:ascii="Arial" w:cs="Arial" w:eastAsia="Arial" w:hAnsi="Arial"/>
          <w:sz w:val="18"/>
          <w:szCs w:val="18"/>
          <w:color w:val="auto"/>
        </w:rPr>
      </w:pPr>
    </w:p>
    <w:p>
      <w:pPr>
        <w:ind w:left="860" w:hanging="429"/>
        <w:spacing w:after="0"/>
        <w:tabs>
          <w:tab w:leader="none" w:pos="8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We are a “qualified institutional buyer” (as defined in Rule 144A under the Securities Act (a “QIB”)).</w:t>
      </w:r>
    </w:p>
    <w:p>
      <w:pPr>
        <w:spacing w:after="0" w:line="225" w:lineRule="exact"/>
        <w:rPr>
          <w:rFonts w:ascii="Arial" w:cs="Arial" w:eastAsia="Arial" w:hAnsi="Arial"/>
          <w:sz w:val="18"/>
          <w:szCs w:val="18"/>
          <w:color w:val="auto"/>
        </w:rPr>
      </w:pPr>
    </w:p>
    <w:p>
      <w:pPr>
        <w:ind w:left="860" w:right="20" w:hanging="429"/>
        <w:spacing w:after="0" w:line="277" w:lineRule="auto"/>
        <w:tabs>
          <w:tab w:leader="none" w:pos="8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We are subscribing for the Lock-Up Shares as a fiduciary or agent for one or more investor accounts, and each owner of such account is a QIB.</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387" w:lineRule="exact"/>
        <w:rPr>
          <w:sz w:val="20"/>
          <w:szCs w:val="20"/>
          <w:color w:val="auto"/>
        </w:rPr>
      </w:pPr>
    </w:p>
    <w:p>
      <w:pPr>
        <w:ind w:left="440" w:hanging="414"/>
        <w:spacing w:after="0"/>
        <w:tabs>
          <w:tab w:leader="none" w:pos="4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25" w:lineRule="exact"/>
        <w:rPr>
          <w:sz w:val="20"/>
          <w:szCs w:val="20"/>
          <w:color w:val="auto"/>
        </w:rPr>
      </w:pPr>
    </w:p>
    <w:p>
      <w:pPr>
        <w:ind w:left="440" w:hanging="414"/>
        <w:spacing w:after="0"/>
        <w:tabs>
          <w:tab w:leader="none" w:pos="4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(Please check each of the following subparagraphs):</w:t>
      </w:r>
    </w:p>
    <w:p>
      <w:pPr>
        <w:spacing w:after="0" w:line="63" w:lineRule="exact"/>
        <w:rPr>
          <w:rFonts w:ascii="Arial" w:cs="Arial" w:eastAsia="Arial" w:hAnsi="Arial"/>
          <w:sz w:val="18"/>
          <w:szCs w:val="18"/>
          <w:color w:val="auto"/>
        </w:rPr>
      </w:pPr>
    </w:p>
    <w:p>
      <w:pPr>
        <w:jc w:val="both"/>
        <w:ind w:left="860" w:right="20" w:hanging="429"/>
        <w:spacing w:after="0" w:line="263" w:lineRule="auto"/>
        <w:tabs>
          <w:tab w:leader="none" w:pos="8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83" w:lineRule="exact"/>
        <w:rPr>
          <w:rFonts w:ascii="Arial" w:cs="Arial" w:eastAsia="Arial" w:hAnsi="Arial"/>
          <w:sz w:val="18"/>
          <w:szCs w:val="18"/>
          <w:color w:val="auto"/>
        </w:rPr>
      </w:pPr>
    </w:p>
    <w:p>
      <w:pPr>
        <w:ind w:left="860" w:hanging="429"/>
        <w:spacing w:after="0"/>
        <w:tabs>
          <w:tab w:leader="none" w:pos="8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are not a natural person.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387" w:lineRule="exact"/>
        <w:rPr>
          <w:sz w:val="20"/>
          <w:szCs w:val="20"/>
          <w:color w:val="auto"/>
        </w:rPr>
      </w:pPr>
    </w:p>
    <w:p>
      <w:pPr>
        <w:ind w:left="440" w:hanging="414"/>
        <w:spacing w:after="0"/>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25" w:lineRule="exact"/>
        <w:rPr>
          <w:sz w:val="20"/>
          <w:szCs w:val="20"/>
          <w:color w:val="auto"/>
        </w:rPr>
      </w:pPr>
    </w:p>
    <w:p>
      <w:pPr>
        <w:ind w:left="440" w:hanging="414"/>
        <w:spacing w:after="0"/>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6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UNDERSIGNED:</w:t>
      </w:r>
    </w:p>
    <w:p>
      <w:pPr>
        <w:spacing w:after="0" w:line="319" w:lineRule="exact"/>
        <w:rPr>
          <w:rFonts w:ascii="Arial" w:cs="Arial" w:eastAsia="Arial" w:hAnsi="Arial"/>
          <w:sz w:val="18"/>
          <w:szCs w:val="18"/>
          <w:color w:val="auto"/>
        </w:rPr>
      </w:pPr>
    </w:p>
    <w:p>
      <w:pPr>
        <w:ind w:left="900" w:hanging="456"/>
        <w:spacing w:after="0"/>
        <w:tabs>
          <w:tab w:leader="none" w:pos="900" w:val="left"/>
        </w:tabs>
        <w:numPr>
          <w:ilvl w:val="1"/>
          <w:numId w:val="345"/>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900" w:hanging="456"/>
        <w:spacing w:after="0"/>
        <w:tabs>
          <w:tab w:leader="none" w:pos="900" w:val="left"/>
        </w:tabs>
        <w:numPr>
          <w:ilvl w:val="1"/>
          <w:numId w:val="345"/>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“affiliate” (as defined in Rule 144 under the Securities Act) of the Acquirer or acting on behalf of an affiliate of the Acquirer.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The undersigned has indicated, by marking and initialing the appropriate box below, the provision(s) below which apply to the undersigned and under which the undersigned accordingly qualifies as an “institutional account.”</w:t>
      </w:r>
    </w:p>
    <w:p>
      <w:pPr>
        <w:spacing w:after="0" w:line="130" w:lineRule="exact"/>
        <w:rPr>
          <w:sz w:val="20"/>
          <w:szCs w:val="20"/>
          <w:color w:val="auto"/>
        </w:rPr>
      </w:pPr>
    </w:p>
    <w:p>
      <w:pPr>
        <w:ind w:left="1300" w:hanging="644"/>
        <w:spacing w:after="0"/>
        <w:tabs>
          <w:tab w:leader="none" w:pos="13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Arial" w:cs="Arial" w:eastAsia="Arial" w:hAnsi="Arial"/>
          <w:sz w:val="18"/>
          <w:szCs w:val="18"/>
          <w:color w:val="auto"/>
        </w:rPr>
      </w:pPr>
    </w:p>
    <w:p>
      <w:pPr>
        <w:ind w:left="660" w:right="20" w:hanging="4"/>
        <w:spacing w:after="0" w:line="277" w:lineRule="auto"/>
        <w:tabs>
          <w:tab w:leader="none" w:pos="130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investment adviser registered either with the SEC under Section 203 of the Investment Advisers Act or with a state securities commission (or any agency or office performing like functions);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other person (whether a natural person, corporation, partnership, trust or otherwise) with total assets of at least $50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type w:val="continuous"/>
        </w:sectPr>
      </w:pPr>
    </w:p>
    <w:bookmarkStart w:id="448" w:name="page449"/>
    <w:bookmarkEnd w:id="448"/>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undersigned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Shareholder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Acquirer reasonably believes comes within any of the below listed categories, at the time of the sale of the securities to that person. The undersigned has indicated, by marking and initialing the appropriate box below, the provision(s) below that apply to the undersigned and under which the undersigned accordingly qualifies as an “accredited investor.”</w:t>
      </w:r>
    </w:p>
    <w:p>
      <w:pPr>
        <w:spacing w:after="0" w:line="133" w:lineRule="exact"/>
        <w:rPr>
          <w:sz w:val="20"/>
          <w:szCs w:val="20"/>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Arial" w:cs="Arial" w:eastAsia="Arial" w:hAnsi="Arial"/>
          <w:sz w:val="18"/>
          <w:szCs w:val="18"/>
          <w:color w:val="auto"/>
        </w:rPr>
      </w:pPr>
    </w:p>
    <w:p>
      <w:pPr>
        <w:ind w:left="1300" w:hanging="645"/>
        <w:spacing w:after="0"/>
        <w:tabs>
          <w:tab w:leader="none" w:pos="13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 investment adviser relying on the exemption from registering with the Securities and Exchange Commission under section 203(l)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 of the Investment Advisers Act of 1940;</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Arial" w:cs="Arial" w:eastAsia="Arial" w:hAnsi="Arial"/>
          <w:sz w:val="18"/>
          <w:szCs w:val="18"/>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2(a)(48) of the Securities Act;</w:t>
      </w:r>
    </w:p>
    <w:p>
      <w:pPr>
        <w:spacing w:after="0" w:line="116" w:lineRule="exact"/>
        <w:rPr>
          <w:rFonts w:ascii="Arial" w:cs="Arial" w:eastAsia="Arial" w:hAnsi="Arial"/>
          <w:sz w:val="18"/>
          <w:szCs w:val="18"/>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Arial" w:cs="Arial" w:eastAsia="Arial" w:hAnsi="Arial"/>
          <w:sz w:val="18"/>
          <w:szCs w:val="18"/>
          <w:color w:val="auto"/>
        </w:rPr>
      </w:pPr>
    </w:p>
    <w:p>
      <w:pPr>
        <w:ind w:left="660" w:right="20" w:hanging="5"/>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Arial" w:cs="Arial" w:eastAsia="Arial" w:hAnsi="Arial"/>
          <w:sz w:val="18"/>
          <w:szCs w:val="18"/>
          <w:color w:val="auto"/>
        </w:rPr>
      </w:pPr>
    </w:p>
    <w:p>
      <w:pPr>
        <w:jc w:val="both"/>
        <w:ind w:left="660" w:hanging="4"/>
        <w:spacing w:after="0" w:line="259"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Arial" w:cs="Arial" w:eastAsia="Arial" w:hAnsi="Arial"/>
          <w:sz w:val="18"/>
          <w:szCs w:val="18"/>
          <w:color w:val="auto"/>
        </w:rPr>
      </w:pPr>
    </w:p>
    <w:p>
      <w:pPr>
        <w:ind w:left="1300" w:hanging="645"/>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Arial" w:cs="Arial" w:eastAsia="Arial" w:hAnsi="Arial"/>
          <w:sz w:val="18"/>
          <w:szCs w:val="18"/>
          <w:color w:val="auto"/>
        </w:rPr>
      </w:pPr>
    </w:p>
    <w:p>
      <w:pPr>
        <w:jc w:val="both"/>
        <w:ind w:left="660" w:hanging="4"/>
        <w:spacing w:after="0" w:line="263"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the undersigned</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Shareholder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Arial" w:cs="Arial" w:eastAsia="Arial" w:hAnsi="Arial"/>
          <w:sz w:val="18"/>
          <w:szCs w:val="18"/>
          <w:color w:val="auto"/>
        </w:rPr>
      </w:pPr>
    </w:p>
    <w:p>
      <w:pPr>
        <w:ind w:left="4" w:hanging="4"/>
        <w:spacing w:after="0" w:line="277"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Arial" w:cs="Arial" w:eastAsia="Arial" w:hAnsi="Arial"/>
          <w:sz w:val="18"/>
          <w:szCs w:val="18"/>
          <w:color w:val="auto"/>
        </w:rPr>
      </w:pPr>
    </w:p>
    <w:p>
      <w:pPr>
        <w:jc w:val="both"/>
        <w:ind w:left="4" w:hanging="4"/>
        <w:spacing w:after="0" w:line="259"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Arial" w:cs="Arial" w:eastAsia="Arial" w:hAnsi="Arial"/>
          <w:sz w:val="18"/>
          <w:szCs w:val="18"/>
          <w:color w:val="auto"/>
        </w:rPr>
      </w:pPr>
    </w:p>
    <w:p>
      <w:pPr>
        <w:jc w:val="both"/>
        <w:ind w:left="4" w:hanging="4"/>
        <w:spacing w:after="0" w:line="263"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Arial" w:cs="Arial" w:eastAsia="Arial" w:hAnsi="Arial"/>
          <w:sz w:val="18"/>
          <w:szCs w:val="18"/>
          <w:color w:val="auto"/>
        </w:rPr>
      </w:pPr>
    </w:p>
    <w:p>
      <w:pPr>
        <w:jc w:val="both"/>
        <w:ind w:left="4" w:hanging="4"/>
        <w:spacing w:after="0" w:line="254"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40" w:lineRule="exact"/>
        <w:rPr>
          <w:rFonts w:ascii="Arial" w:cs="Arial" w:eastAsia="Arial" w:hAnsi="Arial"/>
          <w:sz w:val="18"/>
          <w:szCs w:val="18"/>
          <w:color w:val="auto"/>
        </w:rPr>
      </w:pPr>
    </w:p>
    <w:p>
      <w:pPr>
        <w:jc w:val="both"/>
        <w:ind w:left="4" w:hanging="4"/>
        <w:spacing w:after="0" w:line="263"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29" w:lineRule="exact"/>
        <w:rPr>
          <w:rFonts w:ascii="Arial" w:cs="Arial" w:eastAsia="Arial" w:hAnsi="Arial"/>
          <w:sz w:val="18"/>
          <w:szCs w:val="18"/>
          <w:color w:val="auto"/>
        </w:rPr>
      </w:pPr>
    </w:p>
    <w:p>
      <w:pPr>
        <w:ind w:left="644" w:hanging="644"/>
        <w:spacing w:after="0"/>
        <w:tabs>
          <w:tab w:leader="none" w:pos="6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440" w:right="339" w:bottom="1440" w:gutter="0" w:footer="0" w:header="0"/>
        </w:sectPr>
      </w:pPr>
    </w:p>
    <w:bookmarkStart w:id="450" w:name="page451"/>
    <w:bookmarkEnd w:id="45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Support Agreement</w:t>
      </w:r>
    </w:p>
    <w:p>
      <w:pPr>
        <w:sectPr>
          <w:pgSz w:w="11900" w:h="16838" w:orient="portrait"/>
          <w:cols w:equalWidth="0" w:num="1">
            <w:col w:w="9019"/>
          </w:cols>
          <w:pgMar w:left="1440" w:top="1440" w:right="1440" w:bottom="1440" w:gutter="0" w:footer="0" w:header="0"/>
        </w:sectPr>
      </w:pPr>
    </w:p>
    <w:bookmarkStart w:id="451" w:name="page452"/>
    <w:bookmarkEnd w:id="4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Stockholder Support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January 14, 2022, by and among Sema4 Holdings Corp., a Delaware corporation (“</w:t>
      </w:r>
      <w:r>
        <w:rPr>
          <w:rFonts w:ascii="Arial" w:cs="Arial" w:eastAsia="Arial" w:hAnsi="Arial"/>
          <w:sz w:val="16"/>
          <w:szCs w:val="16"/>
          <w:b w:val="1"/>
          <w:bCs w:val="1"/>
          <w:i w:val="1"/>
          <w:iCs w:val="1"/>
          <w:color w:val="auto"/>
        </w:rPr>
        <w:t>Acquirer</w:t>
      </w:r>
      <w:r>
        <w:rPr>
          <w:rFonts w:ascii="Arial" w:cs="Arial" w:eastAsia="Arial" w:hAnsi="Arial"/>
          <w:sz w:val="16"/>
          <w:szCs w:val="16"/>
          <w:color w:val="auto"/>
        </w:rPr>
        <w:t>”), OPKO Health, Inc., a Delaware corporation (the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xml:space="preserve">”) and the Person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Capitalized terms used but not defined herein shall have the respective meanings ascribed to such terms in the Merger Agreement (as defined below).</w:t>
      </w:r>
    </w:p>
    <w:p>
      <w:pPr>
        <w:spacing w:after="0" w:line="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Stockholder is the holder of record and/or beneficial owner (as defined in Rule 13d-3 of the Exchange Act)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Acquirer Stock set forth opposite its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execution and delivery of this Agreement, Acquirer, Orion Merger Sub I, a Delaware corporation (“</w:t>
      </w:r>
      <w:r>
        <w:rPr>
          <w:rFonts w:ascii="Arial" w:cs="Arial" w:eastAsia="Arial" w:hAnsi="Arial"/>
          <w:sz w:val="16"/>
          <w:szCs w:val="16"/>
          <w:b w:val="1"/>
          <w:bCs w:val="1"/>
          <w:i w:val="1"/>
          <w:iCs w:val="1"/>
          <w:color w:val="auto"/>
        </w:rPr>
        <w:t>Merger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Sub I</w:t>
      </w:r>
      <w:r>
        <w:rPr>
          <w:rFonts w:ascii="Arial" w:cs="Arial" w:eastAsia="Arial" w:hAnsi="Arial"/>
          <w:sz w:val="16"/>
          <w:szCs w:val="16"/>
          <w:color w:val="auto"/>
        </w:rPr>
        <w:t>”), Orion Merger Sub II, LLC, a Delaware limited liability company (“</w:t>
      </w:r>
      <w:r>
        <w:rPr>
          <w:rFonts w:ascii="Arial" w:cs="Arial" w:eastAsia="Arial" w:hAnsi="Arial"/>
          <w:sz w:val="16"/>
          <w:szCs w:val="16"/>
          <w:b w:val="1"/>
          <w:bCs w:val="1"/>
          <w:i w:val="1"/>
          <w:iCs w:val="1"/>
          <w:color w:val="auto"/>
        </w:rPr>
        <w:t>Merger Sub II</w:t>
      </w:r>
      <w:r>
        <w:rPr>
          <w:rFonts w:ascii="Arial" w:cs="Arial" w:eastAsia="Arial" w:hAnsi="Arial"/>
          <w:sz w:val="16"/>
          <w:szCs w:val="16"/>
          <w:color w:val="auto"/>
        </w:rPr>
        <w:t>”), GeneDx, Inc., a New Jersey corporation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GeneDx Holding 2, Inc., a Delaware corporation (“</w:t>
      </w:r>
      <w:r>
        <w:rPr>
          <w:rFonts w:ascii="Arial" w:cs="Arial" w:eastAsia="Arial" w:hAnsi="Arial"/>
          <w:sz w:val="16"/>
          <w:szCs w:val="16"/>
          <w:b w:val="1"/>
          <w:bCs w:val="1"/>
          <w:i w:val="1"/>
          <w:iCs w:val="1"/>
          <w:color w:val="auto"/>
        </w:rPr>
        <w:t>Holdco2</w:t>
      </w:r>
      <w:r>
        <w:rPr>
          <w:rFonts w:ascii="Arial" w:cs="Arial" w:eastAsia="Arial" w:hAnsi="Arial"/>
          <w:sz w:val="16"/>
          <w:szCs w:val="16"/>
          <w:color w:val="auto"/>
        </w:rPr>
        <w:t>”), and Seller have entered into an Agreement and Plan of Merger and Reorganization (as amended or modified from time to time,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dated as of the date hereof, pursuant to which, among other transactions, on the Closing Date but following consummation of the Pre-Closing Restructuring, Merger Sub I will merge with and into Holdco2 (the “</w:t>
      </w:r>
      <w:r>
        <w:rPr>
          <w:rFonts w:ascii="Arial" w:cs="Arial" w:eastAsia="Arial" w:hAnsi="Arial"/>
          <w:sz w:val="16"/>
          <w:szCs w:val="16"/>
          <w:b w:val="1"/>
          <w:bCs w:val="1"/>
          <w:i w:val="1"/>
          <w:iCs w:val="1"/>
          <w:color w:val="auto"/>
        </w:rPr>
        <w:t>First Merger</w:t>
      </w:r>
      <w:r>
        <w:rPr>
          <w:rFonts w:ascii="Arial" w:cs="Arial" w:eastAsia="Arial" w:hAnsi="Arial"/>
          <w:sz w:val="16"/>
          <w:szCs w:val="16"/>
          <w:color w:val="auto"/>
        </w:rPr>
        <w:t>”), with Holdco2 as the surviving corporation in the First Merger and Merger Sub I will merge with and into HoldCo2 (the “</w:t>
      </w:r>
      <w:r>
        <w:rPr>
          <w:rFonts w:ascii="Arial" w:cs="Arial" w:eastAsia="Arial" w:hAnsi="Arial"/>
          <w:sz w:val="16"/>
          <w:szCs w:val="16"/>
          <w:b w:val="1"/>
          <w:bCs w:val="1"/>
          <w:i w:val="1"/>
          <w:iCs w:val="1"/>
          <w:color w:val="auto"/>
        </w:rPr>
        <w:t>First Merger</w:t>
      </w:r>
      <w:r>
        <w:rPr>
          <w:rFonts w:ascii="Arial" w:cs="Arial" w:eastAsia="Arial" w:hAnsi="Arial"/>
          <w:sz w:val="16"/>
          <w:szCs w:val="16"/>
          <w:color w:val="auto"/>
        </w:rPr>
        <w:t>”), with HoldCo2 as the surviving corporation in the First Merger, and immediately after the consummation of the First Merger, as part of the same overall transaction, Holdco2, as the surviving corporation in the First Merger, will merge with and into Merger Sub II (the “</w:t>
      </w:r>
      <w:r>
        <w:rPr>
          <w:rFonts w:ascii="Arial" w:cs="Arial" w:eastAsia="Arial" w:hAnsi="Arial"/>
          <w:sz w:val="16"/>
          <w:szCs w:val="16"/>
          <w:b w:val="1"/>
          <w:bCs w:val="1"/>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b w:val="1"/>
          <w:bCs w:val="1"/>
          <w:i w:val="1"/>
          <w:iCs w:val="1"/>
          <w:color w:val="auto"/>
        </w:rPr>
        <w:t>Mergers</w:t>
      </w:r>
      <w:r>
        <w:rPr>
          <w:rFonts w:ascii="Arial" w:cs="Arial" w:eastAsia="Arial" w:hAnsi="Arial"/>
          <w:sz w:val="16"/>
          <w:szCs w:val="16"/>
          <w:color w:val="auto"/>
        </w:rPr>
        <w:t>”), with Merger Sub II as the surviving corporation and the direct owner of all of the equity interests in GeneDx Delaware LLC.</w:t>
      </w:r>
    </w:p>
    <w:p>
      <w:pPr>
        <w:spacing w:after="0" w:line="11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or prior to the date hereof, Acquirer entered into subscription agreements (the “</w:t>
      </w:r>
      <w:r>
        <w:rPr>
          <w:rFonts w:ascii="Arial" w:cs="Arial" w:eastAsia="Arial" w:hAnsi="Arial"/>
          <w:sz w:val="16"/>
          <w:szCs w:val="16"/>
          <w:b w:val="1"/>
          <w:bCs w:val="1"/>
          <w:i w:val="1"/>
          <w:iCs w:val="1"/>
          <w:color w:val="auto"/>
        </w:rPr>
        <w:t>Subscription Agreements</w:t>
      </w:r>
      <w:r>
        <w:rPr>
          <w:rFonts w:ascii="Arial" w:cs="Arial" w:eastAsia="Arial" w:hAnsi="Arial"/>
          <w:sz w:val="16"/>
          <w:szCs w:val="16"/>
          <w:color w:val="auto"/>
        </w:rPr>
        <w:t>” with the PIPE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and on the terms and subject to the 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6"/>
          <w:szCs w:val="16"/>
          <w:b w:val="1"/>
          <w:bCs w:val="1"/>
          <w:i w:val="1"/>
          <w:iCs w:val="1"/>
          <w:color w:val="auto"/>
        </w:rPr>
        <w:t>PIPE Investment</w:t>
      </w:r>
      <w:r>
        <w:rPr>
          <w:rFonts w:ascii="Arial" w:cs="Arial" w:eastAsia="Arial" w:hAnsi="Arial"/>
          <w:sz w:val="16"/>
          <w:szCs w:val="16"/>
          <w:color w:val="auto"/>
        </w:rPr>
        <w:t>,” and, together with the other transactions contemplated by the Merger Agreement,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w:t>
      </w:r>
    </w:p>
    <w:p>
      <w:pPr>
        <w:spacing w:after="0" w:line="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to Seller and Acquirer to enter into the Merger Agreement and to consummate the Transactions,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agree to certain matters as set forth herein.</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agreements contained herein, and intending to be legally bound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hereby agree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 COVENANTS</w:t>
      </w:r>
    </w:p>
    <w:p>
      <w:pPr>
        <w:spacing w:after="0" w:line="1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 Transfer</w:t>
      </w:r>
      <w:r>
        <w:rPr>
          <w:rFonts w:ascii="Arial" w:cs="Arial" w:eastAsia="Arial" w:hAnsi="Arial"/>
          <w:sz w:val="17"/>
          <w:szCs w:val="17"/>
          <w:color w:val="auto"/>
        </w:rPr>
        <w:t>. Stockholder agrees that during the term of this Agreement, Stockholder shall not,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enter into any contract or option with respect to the Transfer of, (i) any of such Stockholder’s Shares (the “</w:t>
      </w:r>
      <w:r>
        <w:rPr>
          <w:rFonts w:ascii="Arial" w:cs="Arial" w:eastAsia="Arial" w:hAnsi="Arial"/>
          <w:sz w:val="17"/>
          <w:szCs w:val="17"/>
          <w:u w:val="single" w:color="auto"/>
          <w:color w:val="auto"/>
        </w:rPr>
        <w:t>Restricted Amount</w:t>
      </w:r>
      <w:r>
        <w:rPr>
          <w:rFonts w:ascii="Arial" w:cs="Arial" w:eastAsia="Arial" w:hAnsi="Arial"/>
          <w:sz w:val="17"/>
          <w:szCs w:val="17"/>
          <w:color w:val="auto"/>
        </w:rPr>
        <w:t xml:space="preserve">”), (b) publicly announce to do any of the foregoing or (c) 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(W) for all purposes of this Section 1(a) from and after the date of the Acquirer Stockholders’ Meeting at which the Requisite Vote is obtained, the Stockholder and its affiliates shall be permitted to Transfer (and enter into any Contract or option with respect to any such Transfer), 100% of the Restricted Amount (such maximum aggregate amount of shares, the “</w:t>
      </w:r>
      <w:r>
        <w:rPr>
          <w:rFonts w:ascii="Arial" w:cs="Arial" w:eastAsia="Arial" w:hAnsi="Arial"/>
          <w:sz w:val="17"/>
          <w:szCs w:val="17"/>
          <w:u w:val="single" w:color="auto"/>
          <w:color w:val="auto"/>
        </w:rPr>
        <w:t>Transferrable Amount</w:t>
      </w:r>
      <w:r>
        <w:rPr>
          <w:rFonts w:ascii="Arial" w:cs="Arial" w:eastAsia="Arial" w:hAnsi="Arial"/>
          <w:sz w:val="17"/>
          <w:szCs w:val="17"/>
          <w:color w:val="auto"/>
        </w:rPr>
        <w:t>”), it being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and agreed, for the avoidance of doubt, that prior to the date of such Acquirer Stockholders’ Meeting the Stockholder shall not enter into any Contract or option with respect to any such Transfer or publicly disclose, or take any action, that would reasonably be expected to require public disclosure of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 (X) 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 (Z) 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 grant a proxy or power of attorney with respect to any of such Stockholder’s Shares that is inconsistent with such Stockholder’s obligations pursuant to this Agreement or</w:t>
      </w:r>
    </w:p>
    <w:p>
      <w:pPr>
        <w:spacing w:after="0" w:line="1" w:lineRule="exact"/>
        <w:rPr>
          <w:sz w:val="20"/>
          <w:szCs w:val="20"/>
          <w:color w:val="auto"/>
        </w:rPr>
      </w:pPr>
    </w:p>
    <w:p>
      <w:pPr>
        <w:jc w:val="both"/>
        <w:ind w:firstLine="8"/>
        <w:spacing w:after="0" w:line="253" w:lineRule="auto"/>
        <w:tabs>
          <w:tab w:leader="none" w:pos="3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enter into any agreement or undertaking that is otherwise inconsistent with, or would interfere with, or prohibit or prevent such Stockholder from satisfying its obligations pursuant to this Agreement. In furtherance of the agreements set forth in this Agreement, Stockholder hereby authorizes Acquirer or its counsel to instruct its transfer agent to put in place a stop transfer order with respect to the Restricted Amount except with respect to Transfers of Shares permitted hereby.</w:t>
      </w:r>
    </w:p>
    <w:p>
      <w:pPr>
        <w:spacing w:after="0" w:line="1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Agreement to Vote</w:t>
      </w:r>
      <w:r>
        <w:rPr>
          <w:rFonts w:ascii="Arial" w:cs="Arial" w:eastAsia="Arial" w:hAnsi="Arial"/>
          <w:sz w:val="17"/>
          <w:szCs w:val="17"/>
          <w:color w:val="auto"/>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Arial" w:cs="Arial" w:eastAsia="Arial" w:hAnsi="Arial"/>
          <w:sz w:val="17"/>
          <w:szCs w:val="17"/>
          <w:b w:val="1"/>
          <w:bCs w:val="1"/>
          <w:i w:val="1"/>
          <w:iCs w:val="1"/>
          <w:color w:val="auto"/>
        </w:rPr>
        <w:t>Requisite Vote</w:t>
      </w:r>
      <w:r>
        <w:rPr>
          <w:rFonts w:ascii="Arial" w:cs="Arial" w:eastAsia="Arial" w:hAnsi="Arial"/>
          <w:sz w:val="17"/>
          <w:szCs w:val="17"/>
          <w:color w:val="auto"/>
        </w:rPr>
        <w:t>”), such Stockholder shall (i) appear at such meeting or otherwise cause all of such Stockholder’s Shares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three Business Days, after Acquirer, as applicable requests such delivery), all of such Stockholder’s Shares:</w:t>
      </w:r>
    </w:p>
    <w:p>
      <w:pPr>
        <w:spacing w:after="0" w:line="124" w:lineRule="exact"/>
        <w:rPr>
          <w:sz w:val="20"/>
          <w:szCs w:val="20"/>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the issuance of the Stock Consideration pursuant to the Merger Agreement and the issuance of the shares of Acquirer Stock pursuant to the Subscription Agreements;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to approve the appointment of the Specified Designees to the Acquirer Board for terms that expire no earlier than the end of the Second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Milestone Period;</w:t>
      </w:r>
    </w:p>
    <w:p>
      <w:pPr>
        <w:spacing w:after="0" w:line="156" w:lineRule="exact"/>
        <w:rPr>
          <w:rFonts w:ascii="Arial" w:cs="Arial" w:eastAsia="Arial" w:hAnsi="Arial"/>
          <w:sz w:val="16"/>
          <w:szCs w:val="16"/>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an amendment to the Company’s current Third Amended and Restated Certificate of Incorporation to increase the authorized shares of Acquirer Stock from 380,000,000 to 1,000,000,000;</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to approve any other proposal included in the Proxy Statement that is recommended by the Acquirer Board as necessary to consummate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Transactions;</w:t>
      </w:r>
    </w:p>
    <w:p>
      <w:pPr>
        <w:spacing w:after="0" w:line="156" w:lineRule="exact"/>
        <w:rPr>
          <w:rFonts w:ascii="Arial" w:cs="Arial" w:eastAsia="Arial" w:hAnsi="Arial"/>
          <w:sz w:val="16"/>
          <w:szCs w:val="16"/>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any proposal that is recommended by the Acquirer Board to adjourn the meeting to a later date, if there are not sufficient affirmative votes (in person or by proxy) to obtain the requested approvals on the date on which such meeting is held;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against any and all other proposals that could reasonably be expected to delay or impair the ability of Acquirer to consummate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capacity as a stockholder of Acquirer and does not apply to any such Affiliate or designee’s actions, judgments or decisions as a director of Acquirer, and such actions (or failures to act) shall not be deemed to constitute a breach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Proxy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129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provide written consents, express consent or otherwise utilize voting power as indicated in Section 1.2 of this Agreement; provided, however,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spacing w:after="0" w:line="124"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 Challenges</w:t>
      </w:r>
      <w:r>
        <w:rPr>
          <w:rFonts w:ascii="Arial" w:cs="Arial" w:eastAsia="Arial" w:hAnsi="Arial"/>
          <w:sz w:val="17"/>
          <w:szCs w:val="17"/>
          <w:color w:val="auto"/>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No Inconsistent Agreement</w:t>
      </w:r>
      <w:r>
        <w:rPr>
          <w:rFonts w:ascii="Arial" w:cs="Arial" w:eastAsia="Arial" w:hAnsi="Arial"/>
          <w:sz w:val="16"/>
          <w:szCs w:val="16"/>
          <w:color w:val="auto"/>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Disclosure</w:t>
      </w:r>
      <w:r>
        <w:rPr>
          <w:rFonts w:ascii="Arial" w:cs="Arial" w:eastAsia="Arial" w:hAnsi="Arial"/>
          <w:sz w:val="16"/>
          <w:szCs w:val="16"/>
          <w:color w:val="auto"/>
        </w:rPr>
        <w:t>.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promptly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57" w:lineRule="exact"/>
        <w:rPr>
          <w:sz w:val="20"/>
          <w:szCs w:val="20"/>
          <w:color w:val="auto"/>
        </w:rPr>
      </w:pPr>
    </w:p>
    <w:p>
      <w:pPr>
        <w:ind w:left="340"/>
        <w:spacing w:after="0"/>
        <w:tabs>
          <w:tab w:leader="none" w:pos="5300" w:val="left"/>
        </w:tabs>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Stockholder represents and warrants as of the date hereof to Acquirer as follows:</w:t>
      </w:r>
    </w:p>
    <w:p>
      <w:pPr>
        <w:spacing w:after="0" w:line="171" w:lineRule="exact"/>
        <w:rPr>
          <w:sz w:val="20"/>
          <w:szCs w:val="20"/>
          <w:color w:val="auto"/>
        </w:rPr>
      </w:pPr>
    </w:p>
    <w:p>
      <w:pPr>
        <w:jc w:val="both"/>
        <w:ind w:firstLine="656"/>
        <w:spacing w:after="0" w:line="269" w:lineRule="auto"/>
        <w:tabs>
          <w:tab w:leader="none" w:pos="129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Organization; Due Authorization.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Stockholder.</w:t>
      </w:r>
    </w:p>
    <w:p>
      <w:pPr>
        <w:spacing w:after="0" w:line="127" w:lineRule="exact"/>
        <w:rPr>
          <w:rFonts w:ascii="Arial" w:cs="Arial" w:eastAsia="Arial" w:hAnsi="Arial"/>
          <w:sz w:val="17"/>
          <w:szCs w:val="17"/>
          <w:color w:val="auto"/>
        </w:rPr>
      </w:pPr>
    </w:p>
    <w:p>
      <w:pPr>
        <w:jc w:val="both"/>
        <w:ind w:firstLine="656"/>
        <w:spacing w:after="0" w:line="287" w:lineRule="auto"/>
        <w:tabs>
          <w:tab w:leader="none" w:pos="129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Ownership.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 otherwise dispose of such Shares (other than transfer restrictions under the Securities Act)) affecting any such Shares, other than encumbrances pursuant to (i) this Agreement, (ii) the certificate of incorporation of Acquirer, (iii) the Merger Agreement, (iv) pursuant to any existing lock-up agreement,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Schedule I.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 the Agreement and Plan of Merger by and among Acquirer, S-IV Sub, Inc. and Mount Sinai Genomics, Inc. dated as of February 9, 2021, as amended.</w:t>
      </w:r>
    </w:p>
    <w:p>
      <w:pPr>
        <w:spacing w:after="0" w:line="117" w:lineRule="exact"/>
        <w:rPr>
          <w:rFonts w:ascii="Arial" w:cs="Arial" w:eastAsia="Arial" w:hAnsi="Arial"/>
          <w:sz w:val="16"/>
          <w:szCs w:val="16"/>
          <w:color w:val="auto"/>
        </w:rPr>
      </w:pPr>
    </w:p>
    <w:p>
      <w:pPr>
        <w:jc w:val="both"/>
        <w:ind w:firstLine="656"/>
        <w:spacing w:after="0" w:line="275" w:lineRule="auto"/>
        <w:tabs>
          <w:tab w:leader="none" w:pos="129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No Conflicts.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spacing w:after="0" w:line="122" w:lineRule="exact"/>
        <w:rPr>
          <w:rFonts w:ascii="Arial" w:cs="Arial" w:eastAsia="Arial" w:hAnsi="Arial"/>
          <w:sz w:val="17"/>
          <w:szCs w:val="17"/>
          <w:color w:val="auto"/>
        </w:rPr>
      </w:pPr>
    </w:p>
    <w:p>
      <w:pPr>
        <w:jc w:val="both"/>
        <w:ind w:firstLine="656"/>
        <w:spacing w:after="0" w:line="311" w:lineRule="auto"/>
        <w:tabs>
          <w:tab w:leader="none" w:pos="129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Litigation.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44" w:lineRule="exact"/>
        <w:rPr>
          <w:sz w:val="20"/>
          <w:szCs w:val="20"/>
          <w:color w:val="auto"/>
        </w:rPr>
      </w:pPr>
    </w:p>
    <w:p>
      <w:pPr>
        <w:jc w:val="both"/>
        <w:ind w:firstLine="656"/>
        <w:spacing w:after="0" w:line="263" w:lineRule="auto"/>
        <w:tabs>
          <w:tab w:leader="none" w:pos="129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Brokerage Fees.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spacing w:after="0" w:line="129" w:lineRule="exact"/>
        <w:rPr>
          <w:rFonts w:ascii="Arial" w:cs="Arial" w:eastAsia="Arial" w:hAnsi="Arial"/>
          <w:sz w:val="18"/>
          <w:szCs w:val="18"/>
          <w:color w:val="auto"/>
        </w:rPr>
      </w:pPr>
    </w:p>
    <w:p>
      <w:pPr>
        <w:ind w:firstLine="656"/>
        <w:spacing w:after="0" w:line="277" w:lineRule="auto"/>
        <w:tabs>
          <w:tab w:leader="none" w:pos="128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Acknowledgment. Such Stockholder understands and acknowledges that Seller and Acquirer are entering into the Merger Agreement in reliance upon such Stockholder’s execution, delivery and performance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xml:space="preserve">”) and (c) the written agreement of Acquirer, Seller and Stockholder to terminate the provisions of this Agreement. Stockholder shall also have the right to 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 against another (and no person or entity shall have any rights against such party), whether under contract, tort or otherwise, with respect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Agreement.</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Other Agreements</w:t>
      </w:r>
      <w:r>
        <w:rPr>
          <w:rFonts w:ascii="Arial" w:cs="Arial" w:eastAsia="Arial" w:hAnsi="Arial"/>
          <w:sz w:val="17"/>
          <w:szCs w:val="17"/>
          <w:color w:val="auto"/>
        </w:rPr>
        <w:t>. Acquirer represents and warrants to Stockholder that it has obtained a binding support agreement or commitment from the stockholders listed in Schedule II (each a “</w:t>
      </w:r>
      <w:r>
        <w:rPr>
          <w:rFonts w:ascii="Arial" w:cs="Arial" w:eastAsia="Arial" w:hAnsi="Arial"/>
          <w:sz w:val="17"/>
          <w:szCs w:val="17"/>
          <w:b w:val="1"/>
          <w:bCs w:val="1"/>
          <w:i w:val="1"/>
          <w:iCs w:val="1"/>
          <w:color w:val="auto"/>
        </w:rPr>
        <w:t>Supporting Stockholder</w:t>
      </w:r>
      <w:r>
        <w:rPr>
          <w:rFonts w:ascii="Arial" w:cs="Arial" w:eastAsia="Arial" w:hAnsi="Arial"/>
          <w:sz w:val="17"/>
          <w:szCs w:val="17"/>
          <w:color w:val="auto"/>
        </w:rPr>
        <w:t>”) in respect of the Requisite Vote with substantially the same commitment and terms, including restrictions on transfer as noted in such Schedule, set forth in this Agreement (each a “</w:t>
      </w:r>
      <w:r>
        <w:rPr>
          <w:rFonts w:ascii="Arial" w:cs="Arial" w:eastAsia="Arial" w:hAnsi="Arial"/>
          <w:sz w:val="17"/>
          <w:szCs w:val="17"/>
          <w:b w:val="1"/>
          <w:bCs w:val="1"/>
          <w:i w:val="1"/>
          <w:iCs w:val="1"/>
          <w:color w:val="auto"/>
        </w:rPr>
        <w:t>Supporting Stockholder Voting Commitment</w:t>
      </w:r>
      <w:r>
        <w:rPr>
          <w:rFonts w:ascii="Arial" w:cs="Arial" w:eastAsia="Arial" w:hAnsi="Arial"/>
          <w:sz w:val="17"/>
          <w:szCs w:val="17"/>
          <w:color w:val="auto"/>
        </w:rPr>
        <w:t>”). Acquirer shall not agree to any amendment, waiver, termination or modification of a material term of a Supporting Stockholder Voting 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Injunctive Relief; Specific Performance</w:t>
      </w:r>
      <w:r>
        <w:rPr>
          <w:rFonts w:ascii="Arial" w:cs="Arial" w:eastAsia="Arial" w:hAnsi="Arial"/>
          <w:sz w:val="17"/>
          <w:szCs w:val="17"/>
          <w:color w:val="auto"/>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 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 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 (ii) 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 (B)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the provisions hereof will be binding upon and inure to the benefit of the parties hereto and their respective heirs, successors and permitted assigns. Except by a Stockholder in connection with a transfer of Shares permitted by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herein, neither this Agreement nor any of the rights, interests or obligations hereunder will be assigned (including by operation of Law) without the prior written consent of the parties hereto.</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Amendment; Waiver; Severability</w:t>
      </w:r>
      <w:r>
        <w:rPr>
          <w:rFonts w:ascii="Arial" w:cs="Arial" w:eastAsia="Arial" w:hAnsi="Arial"/>
          <w:sz w:val="16"/>
          <w:szCs w:val="16"/>
          <w:color w:val="auto"/>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hereto shall be in writing and shall be deemed to have been duly given</w:t>
      </w:r>
    </w:p>
    <w:p>
      <w:pPr>
        <w:spacing w:after="0" w:line="46" w:lineRule="exact"/>
        <w:rPr>
          <w:sz w:val="20"/>
          <w:szCs w:val="20"/>
          <w:color w:val="auto"/>
        </w:rPr>
      </w:pPr>
    </w:p>
    <w:p>
      <w:pPr>
        <w:jc w:val="both"/>
        <w:ind w:firstLine="8"/>
        <w:spacing w:after="0" w:line="255" w:lineRule="auto"/>
        <w:tabs>
          <w:tab w:leader="none" w:pos="27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Acquirer: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legal@sema4.com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will not constitute notice):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Fenwick &amp; West LLP</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eskerry@fenwick.com; vlupu@fenwick.com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Ethan A. Skerry; Victoria A. Lupu</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Seller: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OPKO Health,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4400 Biscayne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Steven D. Rubin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srubin@opko.com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Greenberg Traurig, P.A.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S.E.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4400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grossmanb@gtlaw.com; altmand@gtlaw.com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L. Grossman; Drew M. Altman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Stockholder: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such Stockholder’s address set forth in Schedule I (with a copy (which will not constitute notice) as provided thereon, if any.</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Notwithstanding the foregoing, in the event notice is delivered pursuant to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by a means other than email, such party shall email such notice within one (1) Business Day of delivery of such notice by such other means.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59" w:name="page460"/>
    <w:bookmarkEnd w:id="459"/>
    <w:p>
      <w:pPr>
        <w:jc w:val="center"/>
        <w:spacing w:after="0" w:line="277" w:lineRule="auto"/>
        <w:rPr>
          <w:sz w:val="20"/>
          <w:szCs w:val="20"/>
          <w:color w:val="auto"/>
        </w:rPr>
      </w:pPr>
      <w:r>
        <w:rPr>
          <w:rFonts w:ascii="Arial" w:cs="Arial" w:eastAsia="Arial" w:hAnsi="Arial"/>
          <w:sz w:val="18"/>
          <w:szCs w:val="18"/>
          <w:color w:val="auto"/>
        </w:rPr>
        <w:t>IN WITNESS WHEREOF, the Stockholder, Seller and Acquirer have each caused this Stockholder Support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31750</wp:posOffset>
            </wp:positionV>
            <wp:extent cx="27260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0700"/>
          </w:cols>
          <w:pgMar w:left="760" w:top="125" w:right="439" w:bottom="1440" w:gutter="0" w:footer="0" w:header="0"/>
        </w:sectPr>
      </w:pPr>
    </w:p>
    <w:bookmarkStart w:id="460" w:name="page461"/>
    <w:bookmarkEnd w:id="460"/>
    <w:p>
      <w:pPr>
        <w:jc w:val="center"/>
        <w:spacing w:after="0" w:line="277" w:lineRule="auto"/>
        <w:rPr>
          <w:sz w:val="20"/>
          <w:szCs w:val="20"/>
          <w:color w:val="auto"/>
        </w:rPr>
      </w:pPr>
      <w:r>
        <w:rPr>
          <w:rFonts w:ascii="Arial" w:cs="Arial" w:eastAsia="Arial" w:hAnsi="Arial"/>
          <w:sz w:val="18"/>
          <w:szCs w:val="18"/>
          <w:color w:val="auto"/>
        </w:rPr>
        <w:t>IN WITNESS WHEREOF, the Stockholder, Seller and Acquirer have each caused this Stockholder Support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ACQUIRER:</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SEMA4 HOLDINGS CORP.</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31750</wp:posOffset>
            </wp:positionV>
            <wp:extent cx="29317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0700"/>
          </w:cols>
          <w:pgMar w:left="760" w:top="125" w:right="439" w:bottom="1440" w:gutter="0" w:footer="0" w:header="0"/>
        </w:sectPr>
      </w:pPr>
    </w:p>
    <w:bookmarkStart w:id="461" w:name="page462"/>
    <w:bookmarkEnd w:id="461"/>
    <w:p>
      <w:pPr>
        <w:spacing w:after="0" w:line="19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SELLER:</w:t>
      </w:r>
    </w:p>
    <w:p>
      <w:pPr>
        <w:spacing w:after="0" w:line="337"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OPKO HEALTH, INC.</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2931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7"/>
          <w:szCs w:val="17"/>
          <w:i w:val="1"/>
          <w:iCs w:val="1"/>
          <w:color w:val="auto"/>
        </w:rPr>
        <w:t>[Signature Page to Stockholder Support Agreement]</w:t>
      </w:r>
    </w:p>
    <w:p>
      <w:pPr>
        <w:sectPr>
          <w:pgSz w:w="11900" w:h="16838" w:orient="portrait"/>
          <w:cols w:equalWidth="0" w:num="1">
            <w:col w:w="9019"/>
          </w:cols>
          <w:pgMar w:left="1440" w:top="1440" w:right="1440" w:bottom="1440" w:gutter="0" w:footer="0" w:header="0"/>
        </w:sectPr>
      </w:pPr>
    </w:p>
    <w:bookmarkStart w:id="462" w:name="page463"/>
    <w:bookmarkEnd w:id="462"/>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First Certificate of Merger</w:t>
      </w:r>
    </w:p>
    <w:p>
      <w:pPr>
        <w:sectPr>
          <w:pgSz w:w="11900" w:h="16838" w:orient="portrait"/>
          <w:cols w:equalWidth="0" w:num="1">
            <w:col w:w="9019"/>
          </w:cols>
          <w:pgMar w:left="1440" w:top="1440" w:right="1440" w:bottom="1440" w:gutter="0" w:footer="0" w:header="0"/>
        </w:sectPr>
      </w:pPr>
    </w:p>
    <w:bookmarkStart w:id="463" w:name="page464"/>
    <w:bookmarkEnd w:id="4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MERGER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MERGER SUB I,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GENEDX HOLDING 2, INC.</w:t>
      </w:r>
    </w:p>
    <w:p>
      <w:pPr>
        <w:spacing w:after="0" w:line="3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2022</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Pursuant to Section 251 of the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General Corporation Law of the State of Delaware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5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GeneDx Holding 2,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certifies:</w:t>
      </w:r>
    </w:p>
    <w:p>
      <w:pPr>
        <w:sectPr>
          <w:pgSz w:w="11900" w:h="16838" w:orient="portrait"/>
          <w:cols w:equalWidth="0" w:num="1">
            <w:col w:w="11240"/>
          </w:cols>
          <w:pgMar w:left="320" w:top="1440" w:right="3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name and state of incorporation of each of the constituent corporations are as</w:t>
      </w:r>
    </w:p>
    <w:p>
      <w:pPr>
        <w:spacing w:after="0" w:line="194"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ind w:left="2440"/>
        <w:spacing w:after="0"/>
        <w:rPr>
          <w:sz w:val="20"/>
          <w:szCs w:val="20"/>
          <w:color w:val="auto"/>
        </w:rPr>
      </w:pPr>
      <w:r>
        <w:rPr>
          <w:rFonts w:ascii="Arial" w:cs="Arial" w:eastAsia="Arial" w:hAnsi="Arial"/>
          <w:sz w:val="16"/>
          <w:szCs w:val="16"/>
          <w:color w:val="auto"/>
        </w:rPr>
        <w:t>follows: Name: GeneDx Holding 2,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 of Incorporation: Delaware</w:t>
      </w:r>
    </w:p>
    <w:p>
      <w:pPr>
        <w:spacing w:after="0" w:line="194" w:lineRule="exact"/>
        <w:rPr>
          <w:sz w:val="20"/>
          <w:szCs w:val="20"/>
          <w:color w:val="auto"/>
        </w:rPr>
      </w:pPr>
    </w:p>
    <w:p>
      <w:pPr>
        <w:sectPr>
          <w:pgSz w:w="11900" w:h="16838" w:orient="portrait"/>
          <w:cols w:equalWidth="0" w:num="2">
            <w:col w:w="5340" w:space="260"/>
            <w:col w:w="5640"/>
          </w:cols>
          <w:pgMar w:left="320" w:top="1440" w:right="339" w:bottom="1440" w:gutter="0" w:footer="0" w:header="0"/>
          <w:type w:val="continuous"/>
        </w:sectPr>
      </w:pPr>
    </w:p>
    <w:p>
      <w:pPr>
        <w:ind w:left="2440"/>
        <w:spacing w:after="0"/>
        <w:rPr>
          <w:sz w:val="20"/>
          <w:szCs w:val="20"/>
          <w:color w:val="auto"/>
        </w:rPr>
      </w:pPr>
      <w:r>
        <w:rPr>
          <w:rFonts w:ascii="Arial" w:cs="Arial" w:eastAsia="Arial" w:hAnsi="Arial"/>
          <w:sz w:val="16"/>
          <w:szCs w:val="16"/>
          <w:color w:val="auto"/>
        </w:rPr>
        <w:t>Name: Orion Merger Sub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 of Incorporation: Delaware</w:t>
      </w:r>
    </w:p>
    <w:p>
      <w:pPr>
        <w:spacing w:after="0" w:line="194" w:lineRule="exact"/>
        <w:rPr>
          <w:sz w:val="20"/>
          <w:szCs w:val="20"/>
          <w:color w:val="auto"/>
        </w:rPr>
      </w:pPr>
    </w:p>
    <w:p>
      <w:pPr>
        <w:sectPr>
          <w:pgSz w:w="11900" w:h="16838" w:orient="portrait"/>
          <w:cols w:equalWidth="0" w:num="2">
            <w:col w:w="4740" w:space="280"/>
            <w:col w:w="62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SECOND:</w:t>
      </w:r>
    </w:p>
    <w:p>
      <w:pPr>
        <w:spacing w:after="0" w:line="20" w:lineRule="exact"/>
        <w:rPr>
          <w:sz w:val="20"/>
          <w:szCs w:val="20"/>
          <w:color w:val="auto"/>
        </w:rPr>
      </w:pPr>
      <w:r>
        <w:rPr>
          <w:sz w:val="20"/>
          <w:szCs w:val="20"/>
          <w:color w:val="auto"/>
        </w:rPr>
        <w:br w:type="column"/>
      </w:r>
    </w:p>
    <w:p>
      <w:pPr>
        <w:jc w:val="both"/>
        <w:ind w:firstLine="49"/>
        <w:spacing w:after="0" w:line="257" w:lineRule="auto"/>
        <w:rPr>
          <w:sz w:val="20"/>
          <w:szCs w:val="20"/>
          <w:color w:val="auto"/>
        </w:rPr>
      </w:pPr>
      <w:r>
        <w:rPr>
          <w:rFonts w:ascii="Arial" w:cs="Arial" w:eastAsia="Arial" w:hAnsi="Arial"/>
          <w:sz w:val="18"/>
          <w:szCs w:val="18"/>
          <w:color w:val="auto"/>
        </w:rPr>
        <w:t>An Agreement and Plan of Merger and Reorganization (as amended from time to time in accordance with its terms, the “</w:t>
      </w:r>
      <w:r>
        <w:rPr>
          <w:rFonts w:ascii="Arial" w:cs="Arial" w:eastAsia="Arial" w:hAnsi="Arial"/>
          <w:sz w:val="18"/>
          <w:szCs w:val="18"/>
          <w:b w:val="1"/>
          <w:bCs w:val="1"/>
          <w:color w:val="auto"/>
        </w:rPr>
        <w:t>Merger Agreement</w:t>
      </w:r>
      <w:r>
        <w:rPr>
          <w:rFonts w:ascii="Arial" w:cs="Arial" w:eastAsia="Arial" w:hAnsi="Arial"/>
          <w:sz w:val="18"/>
          <w:szCs w:val="18"/>
          <w:color w:val="auto"/>
        </w:rPr>
        <w:t>”) has been approved, adopted, executed and acknowledged by the Company and by Orion Merger Sub I, Inc., a Delaware corporation, (“</w:t>
      </w:r>
      <w:r>
        <w:rPr>
          <w:rFonts w:ascii="Arial" w:cs="Arial" w:eastAsia="Arial" w:hAnsi="Arial"/>
          <w:sz w:val="18"/>
          <w:szCs w:val="18"/>
          <w:b w:val="1"/>
          <w:bCs w:val="1"/>
          <w:color w:val="auto"/>
        </w:rPr>
        <w:t>Merger Sub I</w:t>
      </w:r>
      <w:r>
        <w:rPr>
          <w:rFonts w:ascii="Arial" w:cs="Arial" w:eastAsia="Arial" w:hAnsi="Arial"/>
          <w:sz w:val="18"/>
          <w:szCs w:val="18"/>
          <w:color w:val="auto"/>
        </w:rPr>
        <w:t>”) in accordance with Section 251 [(and, with respect to [], by the written consent of its stockholder(s) in accordance with Section 228)]1</w:t>
      </w:r>
      <w:r>
        <w:rPr>
          <w:rFonts w:ascii="Arial" w:cs="Arial" w:eastAsia="Arial" w:hAnsi="Arial"/>
          <w:sz w:val="11"/>
          <w:szCs w:val="11"/>
          <w:color w:val="auto"/>
        </w:rPr>
        <w:t>4</w:t>
      </w:r>
      <w:r>
        <w:rPr>
          <w:rFonts w:ascii="Arial" w:cs="Arial" w:eastAsia="Arial" w:hAnsi="Arial"/>
          <w:sz w:val="18"/>
          <w:szCs w:val="18"/>
          <w:color w:val="auto"/>
        </w:rPr>
        <w:t xml:space="preserve"> of the General Corporation Law of the State of Delaware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34"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ind w:right="20" w:firstLine="57"/>
        <w:spacing w:after="0" w:line="277" w:lineRule="auto"/>
        <w:rPr>
          <w:sz w:val="20"/>
          <w:szCs w:val="20"/>
          <w:color w:val="auto"/>
        </w:rPr>
      </w:pPr>
      <w:r>
        <w:rPr>
          <w:rFonts w:ascii="Arial" w:cs="Arial" w:eastAsia="Arial" w:hAnsi="Arial"/>
          <w:sz w:val="18"/>
          <w:szCs w:val="18"/>
          <w:color w:val="auto"/>
        </w:rPr>
        <w:t>The name of the surviving corporation of the Merger shall be GeneDx Holding 2, Inc., which shall continue its existence as the surviving corporation under the name GeneDx Holding 2, Inc.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FOURTH:</w:t>
      </w:r>
    </w:p>
    <w:p>
      <w:pPr>
        <w:spacing w:after="0" w:line="20" w:lineRule="exact"/>
        <w:rPr>
          <w:sz w:val="20"/>
          <w:szCs w:val="20"/>
          <w:color w:val="auto"/>
        </w:rPr>
      </w:pPr>
      <w:r>
        <w:rPr>
          <w:sz w:val="20"/>
          <w:szCs w:val="20"/>
          <w:color w:val="auto"/>
        </w:rPr>
        <w:br w:type="column"/>
      </w:r>
    </w:p>
    <w:p>
      <w:pPr>
        <w:jc w:val="both"/>
        <w:ind w:firstLine="192"/>
        <w:spacing w:after="0" w:line="279" w:lineRule="auto"/>
        <w:rPr>
          <w:sz w:val="20"/>
          <w:szCs w:val="20"/>
          <w:color w:val="auto"/>
        </w:rPr>
      </w:pPr>
      <w:r>
        <w:rPr>
          <w:rFonts w:ascii="Arial" w:cs="Arial" w:eastAsia="Arial" w:hAnsi="Arial"/>
          <w:sz w:val="17"/>
          <w:szCs w:val="17"/>
          <w:color w:val="auto"/>
        </w:rPr>
        <w:t>Upon the effectiveness of the filing of this Certificate of Merger, the Certificate of Incorporation of the Company, as amended to date, shall be amended and restated to read in its entirety by reason of the Merger herein certified as set forth in Exhibit A attached hereto and shall continue as the amended and restated Certificate of Incorporation of the Surviving Corporation until further amended in accordance with the provisions of the DGCL.</w:t>
      </w:r>
    </w:p>
    <w:p>
      <w:pPr>
        <w:spacing w:after="0" w:line="117"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FIFTH:</w:t>
      </w:r>
    </w:p>
    <w:p>
      <w:pPr>
        <w:spacing w:after="0" w:line="20" w:lineRule="exact"/>
        <w:rPr>
          <w:sz w:val="20"/>
          <w:szCs w:val="20"/>
          <w:color w:val="auto"/>
        </w:rPr>
      </w:pPr>
      <w:r>
        <w:rPr>
          <w:sz w:val="20"/>
          <w:szCs w:val="20"/>
          <w:color w:val="auto"/>
        </w:rPr>
        <w:br w:type="column"/>
      </w:r>
    </w:p>
    <w:p>
      <w:pPr>
        <w:ind w:firstLine="62"/>
        <w:spacing w:after="0" w:line="277" w:lineRule="auto"/>
        <w:rPr>
          <w:sz w:val="20"/>
          <w:szCs w:val="20"/>
          <w:color w:val="auto"/>
        </w:rPr>
      </w:pPr>
      <w:r>
        <w:rPr>
          <w:rFonts w:ascii="Arial" w:cs="Arial" w:eastAsia="Arial" w:hAnsi="Arial"/>
          <w:sz w:val="18"/>
          <w:szCs w:val="18"/>
          <w:color w:val="auto"/>
        </w:rPr>
        <w:t>The executed Merger Agreement is on file at an office of the Surviving Corporation, at 333 Ludlow Street, North Tower, 8th Floor, Stamford, Connecticut, 06902.</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SIXTH:</w:t>
      </w:r>
    </w:p>
    <w:p>
      <w:pPr>
        <w:spacing w:after="0" w:line="20" w:lineRule="exact"/>
        <w:rPr>
          <w:sz w:val="20"/>
          <w:szCs w:val="20"/>
          <w:color w:val="auto"/>
        </w:rPr>
      </w:pPr>
      <w:r>
        <w:rPr>
          <w:sz w:val="20"/>
          <w:szCs w:val="20"/>
          <w:color w:val="auto"/>
        </w:rPr>
        <w:br w:type="column"/>
      </w:r>
    </w:p>
    <w:p>
      <w:pPr>
        <w:ind w:hanging="23"/>
        <w:spacing w:after="0" w:line="277" w:lineRule="auto"/>
        <w:rPr>
          <w:sz w:val="20"/>
          <w:szCs w:val="20"/>
          <w:color w:val="auto"/>
        </w:rPr>
      </w:pPr>
      <w:r>
        <w:rPr>
          <w:rFonts w:ascii="Arial" w:cs="Arial" w:eastAsia="Arial" w:hAnsi="Arial"/>
          <w:sz w:val="18"/>
          <w:szCs w:val="18"/>
          <w:color w:val="auto"/>
        </w:rPr>
        <w:t>A copy of the executed Merger Agreement will be furnished by the Surviving Corporation, on request and without cost, to any stockholder of any constituent corporation.</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SEVENTH:</w:t>
      </w:r>
    </w:p>
    <w:p>
      <w:pPr>
        <w:spacing w:after="0" w:line="20" w:lineRule="exact"/>
        <w:rPr>
          <w:sz w:val="20"/>
          <w:szCs w:val="20"/>
          <w:color w:val="auto"/>
        </w:rPr>
      </w:pPr>
      <w:r>
        <w:rPr>
          <w:sz w:val="20"/>
          <w:szCs w:val="20"/>
          <w:color w:val="auto"/>
        </w:rPr>
        <w:br w:type="column"/>
      </w:r>
    </w:p>
    <w:p>
      <w:pPr>
        <w:ind w:right="20" w:hanging="39"/>
        <w:spacing w:after="0" w:line="277" w:lineRule="auto"/>
        <w:rPr>
          <w:sz w:val="20"/>
          <w:szCs w:val="20"/>
          <w:color w:val="auto"/>
        </w:rPr>
      </w:pPr>
      <w:r>
        <w:rPr>
          <w:rFonts w:ascii="Arial" w:cs="Arial" w:eastAsia="Arial" w:hAnsi="Arial"/>
          <w:sz w:val="18"/>
          <w:szCs w:val="18"/>
          <w:color w:val="auto"/>
        </w:rPr>
        <w:t>The Merger shall become effective immediately upon filing of this Certificate of Merger with the Secretary of State of the State of Delaware in accordance with the provisions of Sections 103 and 251(c) of the DGCL.</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Remainder of Page Intentionally Left Blank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14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315" w:lineRule="exact"/>
        <w:rPr>
          <w:sz w:val="20"/>
          <w:szCs w:val="20"/>
          <w:color w:val="auto"/>
        </w:rPr>
      </w:pPr>
    </w:p>
    <w:p>
      <w:pPr>
        <w:ind w:left="120" w:hanging="112"/>
        <w:spacing w:after="0"/>
        <w:tabs>
          <w:tab w:leader="none" w:pos="120" w:val="left"/>
        </w:tabs>
        <w:numPr>
          <w:ilvl w:val="0"/>
          <w:numId w:val="355"/>
        </w:numPr>
        <w:rPr>
          <w:rFonts w:ascii="Arial" w:cs="Arial" w:eastAsia="Arial" w:hAnsi="Arial"/>
          <w:sz w:val="19"/>
          <w:szCs w:val="19"/>
          <w:color w:val="auto"/>
          <w:vertAlign w:val="superscript"/>
        </w:rPr>
      </w:pPr>
      <w:r>
        <w:rPr>
          <w:rFonts w:ascii="Arial" w:cs="Arial" w:eastAsia="Arial" w:hAnsi="Arial"/>
          <w:sz w:val="12"/>
          <w:szCs w:val="12"/>
          <w:color w:val="auto"/>
        </w:rPr>
        <w:t>To be included for each constituent corporation whose stockholders approve the merger by written consent.</w:t>
      </w:r>
    </w:p>
    <w:p>
      <w:pPr>
        <w:sectPr>
          <w:pgSz w:w="11900" w:h="16838" w:orient="portrait"/>
          <w:cols w:equalWidth="0" w:num="1">
            <w:col w:w="11240"/>
          </w:cols>
          <w:pgMar w:left="320" w:top="1440" w:right="339" w:bottom="1440" w:gutter="0" w:footer="0" w:header="0"/>
          <w:type w:val="continuous"/>
        </w:sectPr>
      </w:pPr>
    </w:p>
    <w:bookmarkStart w:id="464" w:name="page465"/>
    <w:bookmarkEnd w:id="464"/>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GeneDx Holding 2, Inc. has caused this Certificate of Merger to be executed and acknowledged in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 by its duly authorized officer as of the date first above written.</w:t>
      </w:r>
    </w:p>
    <w:p>
      <w:pPr>
        <w:spacing w:after="0" w:line="148"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GENEDX HOLDING 2, INC.</w:t>
      </w:r>
    </w:p>
    <w:p>
      <w:pPr>
        <w:spacing w:after="0" w:line="2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 PAGE TO FIRST CERTIFICATE OF MERGER]</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40"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AMENDED AND RESTATED CERTIFICATE OF INCORPORATION OF</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GENEDX HOLDING 2, INC.</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 NAME</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b w:val="1"/>
          <w:bCs w:val="1"/>
          <w:color w:val="auto"/>
        </w:rPr>
        <w:t>GeneDx Holding 2,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City of Wilmington, County of New Castle, Delaware 19801. The name of its registered agent at such address is The Corporation Trust Company.</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IV: AUTHORIZED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number of shares of stock that the Corporation has authority to issue is 100 shares, all of which shall be common stock, $0.0001 par value per share.</w:t>
      </w:r>
    </w:p>
    <w:p>
      <w:pPr>
        <w:spacing w:after="0" w:line="11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the Corporation shall have the power to adopt, amend or repeal bylaws of the corporation.</w:t>
      </w:r>
    </w:p>
    <w:p>
      <w:pPr>
        <w:spacing w:after="0" w:line="16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ARTICLE VI: VOTE BY BALLOT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Election of directors need not be by written ballot unless the bylaws of the Corporation shall so provide.</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VII: DIRECTOR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fullest extent permitted by law, no director of the Corporation shall be personally liable for monetary damages 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Neither any amendment nor repeal of this Article VII, nor the adoption of any provision 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C-2</w:t>
      </w:r>
    </w:p>
    <w:p>
      <w:pPr>
        <w:jc w:val="center"/>
        <w:spacing w:after="0"/>
        <w:rPr>
          <w:sz w:val="20"/>
          <w:szCs w:val="20"/>
          <w:color w:val="auto"/>
        </w:rPr>
      </w:pPr>
      <w:r>
        <w:rPr>
          <w:rFonts w:ascii="Arial" w:cs="Arial" w:eastAsia="Arial" w:hAnsi="Arial"/>
          <w:sz w:val="16"/>
          <w:szCs w:val="16"/>
          <w:b w:val="1"/>
          <w:bCs w:val="1"/>
          <w:color w:val="auto"/>
        </w:rPr>
        <w:t>Form of Second Certificate of Merge</w:t>
      </w:r>
    </w:p>
    <w:p>
      <w:pPr>
        <w:sectPr>
          <w:pgSz w:w="11900" w:h="16838" w:orient="portrait"/>
          <w:cols w:equalWidth="0" w:num="1">
            <w:col w:w="9019"/>
          </w:cols>
          <w:pgMar w:left="1440" w:top="1440" w:right="1440" w:bottom="1440" w:gutter="0" w:footer="0" w:header="0"/>
        </w:sectPr>
      </w:pPr>
    </w:p>
    <w:bookmarkStart w:id="467" w:name="page468"/>
    <w:bookmarkEnd w:id="4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MERGER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 2,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ORION MERGER SUB II, LLC</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2022</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264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Section 18-209 of the Delaware Limited Liability Company Act</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57" w:lineRule="exact"/>
        <w:rPr>
          <w:sz w:val="20"/>
          <w:szCs w:val="20"/>
          <w:color w:val="auto"/>
        </w:rPr>
      </w:pPr>
    </w:p>
    <w:p>
      <w:pPr>
        <w:jc w:val="center"/>
        <w:ind w:left="640" w:right="20"/>
        <w:spacing w:after="0" w:line="277" w:lineRule="auto"/>
        <w:rPr>
          <w:sz w:val="20"/>
          <w:szCs w:val="20"/>
          <w:color w:val="auto"/>
        </w:rPr>
      </w:pPr>
      <w:r>
        <w:rPr>
          <w:rFonts w:ascii="Arial" w:cs="Arial" w:eastAsia="Arial" w:hAnsi="Arial"/>
          <w:sz w:val="18"/>
          <w:szCs w:val="18"/>
          <w:color w:val="auto"/>
        </w:rPr>
        <w:t>The undersigned limited liability company, duly formed and existing under and by virtue of the Delaware Limited Liability Company Act, does hereby certify that: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FIRST:</w:t>
            </w:r>
          </w:p>
        </w:tc>
        <w:tc>
          <w:tcPr>
            <w:tcW w:w="9300" w:type="dxa"/>
            <w:vAlign w:val="bottom"/>
            <w:gridSpan w:val="11"/>
          </w:tcPr>
          <w:p>
            <w:pPr>
              <w:jc w:val="right"/>
              <w:ind w:right="140"/>
              <w:spacing w:after="0"/>
              <w:rPr>
                <w:sz w:val="20"/>
                <w:szCs w:val="20"/>
                <w:color w:val="auto"/>
              </w:rPr>
            </w:pPr>
            <w:r>
              <w:rPr>
                <w:rFonts w:ascii="Arial" w:cs="Arial" w:eastAsia="Arial" w:hAnsi="Arial"/>
                <w:sz w:val="18"/>
                <w:szCs w:val="18"/>
                <w:color w:val="auto"/>
                <w:w w:val="92"/>
              </w:rPr>
              <w:t>The name, jurisdiction of formation or organization and type of entity of each of the constituent entities which is to merge are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as follows: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rPr>
              <w:t>Jurisdiction of Formation or</w:t>
            </w:r>
          </w:p>
        </w:tc>
        <w:tc>
          <w:tcPr>
            <w:tcW w:w="1120" w:type="dxa"/>
            <w:vAlign w:val="bottom"/>
          </w:tcPr>
          <w:p>
            <w:pPr>
              <w:spacing w:after="0"/>
              <w:rPr>
                <w:sz w:val="24"/>
                <w:szCs w:val="24"/>
                <w:color w:val="auto"/>
              </w:rPr>
            </w:pPr>
          </w:p>
        </w:tc>
        <w:tc>
          <w:tcPr>
            <w:tcW w:w="270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2"/>
              </w:rPr>
              <w:t>Type of Entity</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980" w:type="dxa"/>
            <w:vAlign w:val="bottom"/>
            <w:tcBorders>
              <w:top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Organization</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40" w:type="dxa"/>
            <w:vAlign w:val="bottom"/>
            <w:gridSpan w:val="3"/>
          </w:tcPr>
          <w:p>
            <w:pPr>
              <w:ind w:left="680"/>
              <w:spacing w:after="0"/>
              <w:rPr>
                <w:sz w:val="20"/>
                <w:szCs w:val="20"/>
                <w:color w:val="auto"/>
              </w:rPr>
            </w:pPr>
            <w:r>
              <w:rPr>
                <w:rFonts w:ascii="Arial" w:cs="Arial" w:eastAsia="Arial" w:hAnsi="Arial"/>
                <w:sz w:val="18"/>
                <w:szCs w:val="18"/>
                <w:color w:val="auto"/>
              </w:rPr>
              <w:t>GeneDx Holding 2, Inc.</w:t>
            </w:r>
          </w:p>
        </w:tc>
        <w:tc>
          <w:tcPr>
            <w:tcW w:w="440" w:type="dxa"/>
            <w:vAlign w:val="bottom"/>
          </w:tcPr>
          <w:p>
            <w:pPr>
              <w:spacing w:after="0"/>
              <w:rPr>
                <w:sz w:val="24"/>
                <w:szCs w:val="24"/>
                <w:color w:val="auto"/>
              </w:rPr>
            </w:pPr>
          </w:p>
        </w:tc>
        <w:tc>
          <w:tcPr>
            <w:tcW w:w="2440" w:type="dxa"/>
            <w:vAlign w:val="bottom"/>
            <w:gridSpan w:val="5"/>
          </w:tcPr>
          <w:p>
            <w:pPr>
              <w:ind w:left="700"/>
              <w:spacing w:after="0"/>
              <w:rPr>
                <w:sz w:val="20"/>
                <w:szCs w:val="20"/>
                <w:color w:val="auto"/>
              </w:rPr>
            </w:pPr>
            <w:r>
              <w:rPr>
                <w:rFonts w:ascii="Arial" w:cs="Arial" w:eastAsia="Arial" w:hAnsi="Arial"/>
                <w:sz w:val="18"/>
                <w:szCs w:val="18"/>
                <w:color w:val="auto"/>
              </w:rPr>
              <w:t>Delaware</w:t>
            </w:r>
          </w:p>
        </w:tc>
        <w:tc>
          <w:tcPr>
            <w:tcW w:w="1120" w:type="dxa"/>
            <w:vAlign w:val="bottom"/>
          </w:tcPr>
          <w:p>
            <w:pPr>
              <w:spacing w:after="0"/>
              <w:rPr>
                <w:sz w:val="24"/>
                <w:szCs w:val="24"/>
                <w:color w:val="auto"/>
              </w:rPr>
            </w:pPr>
          </w:p>
        </w:tc>
        <w:tc>
          <w:tcPr>
            <w:tcW w:w="270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432"/>
        </w:trPr>
        <w:tc>
          <w:tcPr>
            <w:tcW w:w="4540" w:type="dxa"/>
            <w:vAlign w:val="bottom"/>
            <w:gridSpan w:val="3"/>
            <w:vMerge w:val="restart"/>
          </w:tcPr>
          <w:p>
            <w:pPr>
              <w:ind w:left="720"/>
              <w:spacing w:after="0"/>
              <w:rPr>
                <w:sz w:val="20"/>
                <w:szCs w:val="20"/>
                <w:color w:val="auto"/>
              </w:rPr>
            </w:pPr>
            <w:r>
              <w:rPr>
                <w:rFonts w:ascii="Arial" w:cs="Arial" w:eastAsia="Arial" w:hAnsi="Arial"/>
                <w:sz w:val="20"/>
                <w:szCs w:val="20"/>
                <w:color w:val="auto"/>
              </w:rPr>
              <w:t>Orion Merger Sub II, LLC</w:t>
            </w:r>
          </w:p>
        </w:tc>
        <w:tc>
          <w:tcPr>
            <w:tcW w:w="440" w:type="dxa"/>
            <w:vAlign w:val="bottom"/>
          </w:tcPr>
          <w:p>
            <w:pPr>
              <w:spacing w:after="0"/>
              <w:rPr>
                <w:sz w:val="24"/>
                <w:szCs w:val="24"/>
                <w:color w:val="auto"/>
              </w:rPr>
            </w:pPr>
          </w:p>
        </w:tc>
        <w:tc>
          <w:tcPr>
            <w:tcW w:w="2440" w:type="dxa"/>
            <w:vAlign w:val="bottom"/>
            <w:gridSpan w:val="5"/>
          </w:tcPr>
          <w:p>
            <w:pPr>
              <w:ind w:left="700"/>
              <w:spacing w:after="0"/>
              <w:rPr>
                <w:sz w:val="20"/>
                <w:szCs w:val="20"/>
                <w:color w:val="auto"/>
              </w:rPr>
            </w:pPr>
            <w:r>
              <w:rPr>
                <w:rFonts w:ascii="Arial" w:cs="Arial" w:eastAsia="Arial" w:hAnsi="Arial"/>
                <w:sz w:val="18"/>
                <w:szCs w:val="18"/>
                <w:color w:val="auto"/>
              </w:rPr>
              <w:t>Delaware</w:t>
            </w:r>
          </w:p>
        </w:tc>
        <w:tc>
          <w:tcPr>
            <w:tcW w:w="3820" w:type="dxa"/>
            <w:vAlign w:val="bottom"/>
            <w:gridSpan w:val="3"/>
          </w:tcPr>
          <w:p>
            <w:pPr>
              <w:jc w:val="center"/>
              <w:ind w:right="48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98"/>
        </w:trPr>
        <w:tc>
          <w:tcPr>
            <w:tcW w:w="454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9"/>
        </w:trPr>
        <w:tc>
          <w:tcPr>
            <w:tcW w:w="1940" w:type="dxa"/>
            <w:vAlign w:val="bottom"/>
          </w:tcPr>
          <w:p>
            <w:pPr>
              <w:spacing w:after="0"/>
              <w:rPr>
                <w:sz w:val="20"/>
                <w:szCs w:val="20"/>
                <w:color w:val="auto"/>
              </w:rPr>
            </w:pPr>
            <w:r>
              <w:rPr>
                <w:rFonts w:ascii="Arial" w:cs="Arial" w:eastAsia="Arial" w:hAnsi="Arial"/>
                <w:sz w:val="18"/>
                <w:szCs w:val="18"/>
                <w:color w:val="auto"/>
              </w:rPr>
              <w:t>SECOND:</w:t>
            </w: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1"/>
              </w:rPr>
              <w:t>An Agreement and Plan of Merger and Reorganization (as amended from time to time in accordance with its terms, the “Merger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rPr>
              <w:t>Agreement”), has been approved, adopted, certified, executed and acknowledged by Orion Merger Sub II, LLC, a</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7"/>
              </w:rPr>
              <w:t>Delaware limited liability company (“Merger Sub II”), and GeneDx Holding 2, Inc., a Delaware corporation (“Company”),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7"/>
              </w:rPr>
              <w:t>in accordance with the provisions of § 18-209 of the Delaware Limited Liability Company Act and in accordance with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provisions of § 264 (and by the consent of the Company’s stockholders in accordance with the provisions of Section 228)</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420"/>
              <w:spacing w:after="0"/>
              <w:rPr>
                <w:sz w:val="20"/>
                <w:szCs w:val="20"/>
                <w:color w:val="auto"/>
              </w:rPr>
            </w:pPr>
            <w:r>
              <w:rPr>
                <w:rFonts w:ascii="Arial" w:cs="Arial" w:eastAsia="Arial" w:hAnsi="Arial"/>
                <w:sz w:val="18"/>
                <w:szCs w:val="18"/>
                <w:color w:val="auto"/>
              </w:rPr>
              <w:t>of the General Corporation Law of the State of Delaware.</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THIRD:</w:t>
            </w: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The name of the surviving limited liability company is Orion Merger Sub II, LLC which shall continue its existence as said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9"/>
              </w:rPr>
              <w:t>surviving limited liability company under the name “GeneDx Holding 2, LLC” upon the effectiveness of the Merger (the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“Surviving Entity”).</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FOURTH:</w:t>
            </w: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4"/>
              </w:rPr>
              <w:t>Pursuant to § 18-209(c)(4) of the Delaware Limited Liability Company Act, the first paragraph of the Certificate of Formation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5"/>
              </w:rPr>
              <w:t>Merger Sub II, relating to the name of Merger Sub II, is hereby amended to read in its entirety as follows: “The name of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8"/>
              </w:rPr>
              <w:t>limited liability company is GeneDx Holding 2, LLC.” The Certificate of Formation of Merger Sub II, as amended by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immediately preceding sentence, shall continue to be the Certificate of Formation of the Surviving Entity until amended or</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9300" w:type="dxa"/>
            <w:vAlign w:val="bottom"/>
            <w:gridSpan w:val="11"/>
          </w:tcPr>
          <w:p>
            <w:pPr>
              <w:ind w:left="180"/>
              <w:spacing w:after="0"/>
              <w:rPr>
                <w:sz w:val="20"/>
                <w:szCs w:val="20"/>
                <w:color w:val="auto"/>
              </w:rPr>
            </w:pPr>
            <w:r>
              <w:rPr>
                <w:rFonts w:ascii="Arial" w:cs="Arial" w:eastAsia="Arial" w:hAnsi="Arial"/>
                <w:sz w:val="18"/>
                <w:szCs w:val="18"/>
                <w:color w:val="auto"/>
              </w:rPr>
              <w:t>changed pursuant to the provisions of the Delaware Limited Liability Company Act.</w:t>
            </w: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FIFTH:</w:t>
            </w: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5"/>
              </w:rPr>
              <w:t>The executed Merger Agreement is on file at an office and place of business of the Surviving Entity, at 333 Ludlow Street,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180"/>
              <w:spacing w:after="0"/>
              <w:rPr>
                <w:sz w:val="20"/>
                <w:szCs w:val="20"/>
                <w:color w:val="auto"/>
              </w:rPr>
            </w:pPr>
            <w:r>
              <w:rPr>
                <w:rFonts w:ascii="Arial" w:cs="Arial" w:eastAsia="Arial" w:hAnsi="Arial"/>
                <w:sz w:val="18"/>
                <w:szCs w:val="18"/>
                <w:color w:val="auto"/>
              </w:rPr>
              <w:t>North Tower, 8th Floor, Stamford, Connecticut, 06902.</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SIXTH:</w:t>
            </w:r>
          </w:p>
        </w:tc>
        <w:tc>
          <w:tcPr>
            <w:tcW w:w="440" w:type="dxa"/>
            <w:vAlign w:val="bottom"/>
          </w:tcPr>
          <w:p>
            <w:pPr>
              <w:spacing w:after="0"/>
              <w:rPr>
                <w:sz w:val="24"/>
                <w:szCs w:val="24"/>
                <w:color w:val="auto"/>
              </w:rPr>
            </w:pPr>
          </w:p>
        </w:tc>
        <w:tc>
          <w:tcPr>
            <w:tcW w:w="8860" w:type="dxa"/>
            <w:vAlign w:val="bottom"/>
            <w:gridSpan w:val="10"/>
          </w:tcPr>
          <w:p>
            <w:pPr>
              <w:jc w:val="right"/>
              <w:spacing w:after="0"/>
              <w:rPr>
                <w:sz w:val="20"/>
                <w:szCs w:val="20"/>
                <w:color w:val="auto"/>
              </w:rPr>
            </w:pPr>
            <w:r>
              <w:rPr>
                <w:rFonts w:ascii="Arial" w:cs="Arial" w:eastAsia="Arial" w:hAnsi="Arial"/>
                <w:sz w:val="18"/>
                <w:szCs w:val="18"/>
                <w:color w:val="auto"/>
                <w:w w:val="93"/>
              </w:rPr>
              <w:t>A copy of the executed Merger Agreement will be furnished by the Surviving Entity, on request and without cost, to any</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180"/>
              <w:spacing w:after="0"/>
              <w:rPr>
                <w:sz w:val="20"/>
                <w:szCs w:val="20"/>
                <w:color w:val="auto"/>
              </w:rPr>
            </w:pPr>
            <w:r>
              <w:rPr>
                <w:rFonts w:ascii="Arial" w:cs="Arial" w:eastAsia="Arial" w:hAnsi="Arial"/>
                <w:sz w:val="18"/>
                <w:szCs w:val="18"/>
                <w:color w:val="auto"/>
              </w:rPr>
              <w:t>member of Merger Sub II or any stockholder of the Company.</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68" w:name="page469"/>
    <w:bookmarkEnd w:id="46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SEVENTH:</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firstLine="536"/>
        <w:spacing w:after="0" w:line="277" w:lineRule="auto"/>
        <w:rPr>
          <w:sz w:val="20"/>
          <w:szCs w:val="20"/>
          <w:color w:val="auto"/>
        </w:rPr>
      </w:pPr>
      <w:r>
        <w:rPr>
          <w:rFonts w:ascii="Arial" w:cs="Arial" w:eastAsia="Arial" w:hAnsi="Arial"/>
          <w:sz w:val="18"/>
          <w:szCs w:val="18"/>
          <w:color w:val="auto"/>
        </w:rPr>
        <w:t>The Merger shall become effective upon filing of this Certificate of Merger with the Secretary of State of the State of Delaware.</w:t>
      </w:r>
    </w:p>
    <w:p>
      <w:pPr>
        <w:spacing w:after="0" w:line="116" w:lineRule="exact"/>
        <w:rPr>
          <w:sz w:val="20"/>
          <w:szCs w:val="20"/>
          <w:color w:val="auto"/>
        </w:rPr>
      </w:pPr>
    </w:p>
    <w:p>
      <w:pPr>
        <w:sectPr>
          <w:pgSz w:w="11900" w:h="16838" w:orient="portrait"/>
          <w:cols w:equalWidth="0" w:num="2">
            <w:col w:w="1400" w:space="720"/>
            <w:col w:w="9100"/>
          </w:cols>
          <w:pgMar w:left="320" w:top="1440" w:right="359" w:bottom="1440" w:gutter="0" w:footer="0" w:header="0"/>
        </w:sectPr>
      </w:pPr>
    </w:p>
    <w:p>
      <w:pPr>
        <w:jc w:val="center"/>
        <w:ind w:right="-19"/>
        <w:spacing w:after="0"/>
        <w:rPr>
          <w:sz w:val="20"/>
          <w:szCs w:val="20"/>
          <w:color w:val="auto"/>
        </w:rPr>
      </w:pPr>
      <w:r>
        <w:rPr>
          <w:rFonts w:ascii="Arial" w:cs="Arial" w:eastAsia="Arial" w:hAnsi="Arial"/>
          <w:sz w:val="16"/>
          <w:szCs w:val="16"/>
          <w:b w:val="1"/>
          <w:bCs w:val="1"/>
          <w:i w:val="1"/>
          <w:iCs w:val="1"/>
          <w:color w:val="auto"/>
        </w:rPr>
        <w:t>[Remainder of Page Intentionally Left Blank]</w:t>
      </w:r>
    </w:p>
    <w:p>
      <w:pPr>
        <w:sectPr>
          <w:pgSz w:w="11900" w:h="16838" w:orient="portrait"/>
          <w:cols w:equalWidth="0" w:num="1">
            <w:col w:w="11220"/>
          </w:cols>
          <w:pgMar w:left="320" w:top="1440" w:right="359" w:bottom="1440" w:gutter="0" w:footer="0" w:header="0"/>
          <w:type w:val="continuous"/>
        </w:sectPr>
      </w:pPr>
    </w:p>
    <w:bookmarkStart w:id="469" w:name="page470"/>
    <w:bookmarkEnd w:id="469"/>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Merger Sub II has caused this Certificate of Merger to be executed by its duly authorized person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 written.</w:t>
      </w:r>
    </w:p>
    <w:p>
      <w:pPr>
        <w:spacing w:after="0" w:line="14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ORION MERGER SUB II, LLC</w:t>
      </w:r>
    </w:p>
    <w:p>
      <w:pPr>
        <w:spacing w:after="0" w:line="2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219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Name:</w:t>
        <w:tab/>
        <w:t>Eric Schadt</w:t>
      </w:r>
    </w:p>
    <w:p>
      <w:pPr>
        <w:spacing w:after="0" w:line="23"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[SIGNATURE PAGE TO SECOND CERTIFICATE OF MERGER]</w:t>
      </w:r>
    </w:p>
    <w:p>
      <w:pPr>
        <w:sectPr>
          <w:pgSz w:w="11900" w:h="16838" w:orient="portrait"/>
          <w:cols w:equalWidth="0" w:num="1">
            <w:col w:w="10160"/>
          </w:cols>
          <w:pgMar w:left="1400" w:top="1440" w:right="339" w:bottom="1440" w:gutter="0" w:footer="0" w:header="0"/>
        </w:sectPr>
      </w:pPr>
    </w:p>
    <w:bookmarkStart w:id="470" w:name="page471"/>
    <w:bookmarkEnd w:id="470"/>
    <w:p>
      <w:pPr>
        <w:spacing w:after="0" w:line="14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B</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being a duly appointed officer of Sema4 Holdings Corp. (the “Corporation”), a corporation organized and existing under and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of the Delaware General Corporation Law of the State of Delaware (the “DGCL”), for the purpose of amending the Corporation’s Third Amended and Restated Certificate of Incorporation, as amended to the date hereof (the “Certificate of Incorporation”), hereby certifies, pursuant to Sections 242 and 103 of the DGCL,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Sema4 Holdings Corp.</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amendment to the Certificate of Incorporation set forth below was duly adopted in accordance with the provisions of Section 228 and 242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DGCL.</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Certificate of Incorporation is hereby amended by striking out Section 1 of Article IV thereof, and by substituting in lieu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new Section 1:</w:t>
      </w:r>
    </w:p>
    <w:p>
      <w:pPr>
        <w:spacing w:after="0" w:line="108" w:lineRule="exact"/>
        <w:rPr>
          <w:sz w:val="20"/>
          <w:szCs w:val="20"/>
          <w:color w:val="auto"/>
        </w:rPr>
      </w:pPr>
    </w:p>
    <w:p>
      <w:pPr>
        <w:jc w:val="both"/>
        <w:ind w:left="660" w:hanging="323"/>
        <w:spacing w:after="0" w:line="266"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Total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shares of all classes of stock that the Corporation has authority to issue is 1,001,000,000 shares,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two classes: 1,000,000,000 shares of Class A Common Stock, $0.0001 par value per share (the “Common Stock”); and 1,000,000 shares of Preferred Stock, $0.0001 par value per share (“Preferred Stock”).”</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undersigned has made and signed this Certificate of Amendment this [ ] day of [ ], 2022 and affirms the statements contained herein as true under penalty of perjury.</w:t>
      </w:r>
    </w:p>
    <w:p>
      <w:pPr>
        <w:spacing w:after="0" w:line="15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Sema4 Holdings Corp.</w:t>
      </w:r>
    </w:p>
    <w:p>
      <w:pPr>
        <w:spacing w:after="0" w:line="29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657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Daniel Clark</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 | New York, NY 10282-2198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108585</wp:posOffset>
            </wp:positionV>
            <wp:extent cx="96012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01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 have requested our opinion as to the fairness from a financial point of view to Sema4 Holdings Corp., a Delaware corporation (the “Company”), of the</w:t>
      </w:r>
    </w:p>
    <w:p>
      <w:pPr>
        <w:spacing w:after="0" w:line="46" w:lineRule="exact"/>
        <w:rPr>
          <w:sz w:val="20"/>
          <w:szCs w:val="20"/>
          <w:color w:val="auto"/>
        </w:rPr>
      </w:pPr>
    </w:p>
    <w:p>
      <w:pPr>
        <w:ind w:right="20" w:firstLine="8"/>
        <w:spacing w:after="0" w:line="267" w:lineRule="auto"/>
        <w:tabs>
          <w:tab w:leader="none" w:pos="21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$150 million in cash, as adjusted pursuant to Section 2.6 of the Agreement (as defined below) for any net working capital surplus or shortfall, certain indebtedness of Target (as defined below) and HoldCo2 (as defined below) and their subsidiaries as of the closing date and certain transaction expenses not paid prior to closing (collectively, the “Adjustments”), (ii) 80 million shares of Class A common stock, par value $0.0001 per share (“Company Common Stock”), of the Company and (iii) up to $150 million of contingent payments (each, a “Contingent Payment,” and, collectively, the “Contingent Payments”), payable in cash or shares of Company Common Stock, based upon achievement of 2022 and 2023 revenue milestones, with the Contingent Payment based on the 2023 revenue milestone subject to potential acceleration in a change of control (collectively, the “Consideration”) to be paid to acquire all of the issued and outstanding shares of capital stock of GeneDx, Inc. (or its successor, the “Target”), from OPKO Health, Inc. (the “Seller”), pursuant to the Agreement and Plan of Merger and Reorganization, dated as of January 14, 2022 (the “Agreement”), by and among the Company; the Target; the Seller, GeneDx Holding 2 (“HoldCo2”), which, immediately prior to closing, will be a wholly owned subsidiary of the Seller and own 100% of the capital stock of the Target; Orion Merger Sub I, a wholly owned subsidiary of the Company (“Merger Sub I”); and Orion Merger Sub II, a wholly owned subsidiary of the Company (“Merger Sub II”), under which Merger Sub I will merge with and into HoldCo2, and then HoldCo2 will merge with and into Merger Sub II.</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Goldman Sachs &amp; Co. LLC and its affiliates are engaged in advisory, underwriting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the Seller and any of their respective affiliates and third parties, including the Icahn School of Medicine at Mount Sinai (“ISMMS”), a significant shareholder of the Company, and affiliates of Phillip Frost, a significant shareholder of the Seller,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financial advisor to the Company in its de-SPAC transaction with CM Life Sciences, Inc. and as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440" w:right="3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agent in its July 2020 Series C private placement. We also have provided certain financial advisory and/or underwriting services to ISMMS and/or its affiliates (collectively, “Mount Sinai”) from time to time for which our Investment Banking Division has received, and may receive, compensation, including having acted as co-manager in a 2020 $400 million fixed rate debt offering by Mount Sinai Health System, an affiliate of ISMMS. We may also in the future provide financial advisory and/or underwriting services to the Company, the Seller, Mount Sinai or Phillip Frost and their respective affiliates for which our Investment Banking Division may receive compensation.</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this opinion, we have reviewed, among other things, the Agreement; the Company’s Registration Statement on Form S-1, including the prospectus contained therein dated August 12, 2021; certain Quarterly Reports on Form 10-Q of the Company; certain other communications from the Company and the Seller to their respective shareholders; certain publicly available research analyst reports for the Company and the Seller; audited financial statements for the Target for the two fiscal years ended December 31, 2020; unaudited financial statements for the Target for the twelve month period ended December 31, 2021; certain internal financial analyses and forecasts for the Target as prepared by the Seller; certain internal financial analyses and forecasts for the Company and certain internal financial analyses and forecasts for the Target, in each case, as prepared by the management of the Company and approved for our use by the Company (the “Forecasts”), including operating synergies projected to result from the Transaction, as prepared by the management of the Company and approved for our use by the Company (the “Synergies”); and certain estimates as to the amount of the Adjustments and the Contingent Payments, in each case, as prepared by the management of the Company and approved for our use by the Company (the “Estimates”). We have also held discussions with members of the senior managements of the Company, the Target and the Seller regarding their assessment of the strategic rationale for, and the potential benefits of, the Transaction and the past and current business operations, financial condition and future prospects of the Target and the Company; reviewed the reported price and trading activity for the Company Common Stock; compared certain financial information for the Target and certain financial and stock market information for the Company with similar financial and stock market information for certain other companies the securities of which are publicly traded; and performed such other studies and analyses, and considered such other factors, as we deemed appropriate.</w:t>
      </w:r>
    </w:p>
    <w:p>
      <w:pPr>
        <w:spacing w:after="0" w:line="1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and the Estimates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the Seller or any of their respective subsidiaries, including the Target, and we have not been furnished with any such evaluation or appraisal. We have assumed that all governmental, regulatory or other consents and approvals necessary for the consummation of the Transaction will be obtained without any adverse effect on the Company or the Target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Consideration to be paid by the Company to acquire all of the issued and outstanding shares of capital stock of the Target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any allocation of the Consideration, any ongoing obligations of the Company or the Seller, any private placement of Company Common Stock, the Pre-Closing Restructuring (as defined in the Agreement),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the Target or the Seller, or any class of such persons in connection with the Transaction, whether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320" w:top="125" w:right="35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3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the Consideration to be paid by the Company for all of the issued and outstanding shares of capital stock of the Target pursuant to the Agreement or otherwise. We are not expressing any opinion as to the prices at which shares of Company Common Stock will trade at any time, as to the potential effects of volatility in the credit, financial and stock markets on the Company, the Target or the Seller or the Transaction or as to the impact of the Transaction on the solvency or viability of the Company, the Target or the Seller or the ability of the Company, the Target or the Seller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w:t>
      </w:r>
    </w:p>
    <w:p>
      <w:pPr>
        <w:spacing w:after="0" w:line="13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Based upon and subject to the foregoing, it is our opinion that, as of the date hereof, the Consideration to be paid by the Company for all of the issued and outstanding shares of capital stock of the Target pursuant to the Agreement is fair from a financial point of view to the Company.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7857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(GOLDMAN SACHS &amp; CO LLC)</w:t>
      </w:r>
    </w:p>
    <w:p>
      <w:pPr>
        <w:sectPr>
          <w:pgSz w:w="11900" w:h="16838" w:orient="portrait"/>
          <w:cols w:equalWidth="0" w:num="1">
            <w:col w:w="11200"/>
          </w:cols>
          <w:pgMar w:left="320" w:top="125"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200"/>
          </w:cols>
          <w:pgMar w:left="320" w:top="125" w:right="379" w:bottom="23" w:gutter="0" w:footer="0" w:header="0"/>
          <w:type w:val="continuous"/>
        </w:sectPr>
      </w:pPr>
    </w:p>
    <w:bookmarkStart w:id="474" w:name="page475"/>
    <w:bookmarkEnd w:id="474"/>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ANNEX 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SUBSCRIPTION AGREEMENT</w:t>
      </w:r>
    </w:p>
    <w:p>
      <w:pPr>
        <w:spacing w:after="0" w:line="200" w:lineRule="exact"/>
        <w:rPr>
          <w:sz w:val="20"/>
          <w:szCs w:val="20"/>
          <w:color w:val="auto"/>
        </w:rPr>
      </w:pPr>
    </w:p>
    <w:p>
      <w:pPr>
        <w:spacing w:after="0" w:line="20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January 14, 2022, by and between Sema4 Holdings Corp., a Delaware corporation (formerly, CM Life Sciences, Inc.)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or parties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Issuer is concurrently with or immediately following the execution and delivery hereof entering into that certain Agreement and</w:t>
      </w:r>
    </w:p>
    <w:p>
      <w:pPr>
        <w:spacing w:after="0"/>
        <w:rPr>
          <w:sz w:val="20"/>
          <w:szCs w:val="20"/>
          <w:color w:val="auto"/>
        </w:rPr>
      </w:pPr>
      <w:r>
        <w:rPr>
          <w:rFonts w:ascii="Arial" w:cs="Arial" w:eastAsia="Arial" w:hAnsi="Arial"/>
          <w:sz w:val="16"/>
          <w:szCs w:val="16"/>
          <w:color w:val="auto"/>
        </w:rPr>
        <w:t>Plan of Merger and Reorganization (as amended or modified,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herein without definition shall have the</w:t>
      </w:r>
    </w:p>
    <w:p>
      <w:pPr>
        <w:spacing w:after="0" w:line="228" w:lineRule="auto"/>
        <w:rPr>
          <w:sz w:val="20"/>
          <w:szCs w:val="20"/>
          <w:color w:val="auto"/>
        </w:rPr>
      </w:pPr>
      <w:r>
        <w:rPr>
          <w:rFonts w:ascii="Arial" w:cs="Arial" w:eastAsia="Arial" w:hAnsi="Arial"/>
          <w:sz w:val="16"/>
          <w:szCs w:val="16"/>
          <w:color w:val="auto"/>
        </w:rPr>
        <w:t>meanings ascribed thereto in the Merger Agreement), by and among the Issuer, Orion Merger Sub I, Inc., a Delaware corporation (“</w:t>
      </w:r>
      <w:r>
        <w:rPr>
          <w:rFonts w:ascii="Arial" w:cs="Arial" w:eastAsia="Arial" w:hAnsi="Arial"/>
          <w:sz w:val="16"/>
          <w:szCs w:val="16"/>
          <w:u w:val="single" w:color="auto"/>
          <w:color w:val="auto"/>
        </w:rPr>
        <w:t>Merger Sub I</w:t>
      </w:r>
      <w:r>
        <w:rPr>
          <w:rFonts w:ascii="Arial" w:cs="Arial" w:eastAsia="Arial" w:hAnsi="Arial"/>
          <w:sz w:val="16"/>
          <w:szCs w:val="16"/>
          <w:color w:val="auto"/>
        </w:rPr>
        <w:t>”), Orion</w:t>
      </w:r>
    </w:p>
    <w:p>
      <w:pPr>
        <w:spacing w:after="0" w:line="229" w:lineRule="auto"/>
        <w:rPr>
          <w:sz w:val="20"/>
          <w:szCs w:val="20"/>
          <w:color w:val="auto"/>
        </w:rPr>
      </w:pPr>
      <w:r>
        <w:rPr>
          <w:rFonts w:ascii="Arial" w:cs="Arial" w:eastAsia="Arial" w:hAnsi="Arial"/>
          <w:sz w:val="16"/>
          <w:szCs w:val="16"/>
          <w:color w:val="auto"/>
        </w:rPr>
        <w:t>Merger Sub II, LLC, a Delaware limited liability company (“</w:t>
      </w:r>
      <w:r>
        <w:rPr>
          <w:rFonts w:ascii="Arial" w:cs="Arial" w:eastAsia="Arial" w:hAnsi="Arial"/>
          <w:sz w:val="16"/>
          <w:szCs w:val="16"/>
          <w:u w:val="single" w:color="auto"/>
          <w:color w:val="auto"/>
        </w:rPr>
        <w:t>Merger Sub II</w:t>
      </w:r>
      <w:r>
        <w:rPr>
          <w:rFonts w:ascii="Arial" w:cs="Arial" w:eastAsia="Arial" w:hAnsi="Arial"/>
          <w:sz w:val="16"/>
          <w:szCs w:val="16"/>
          <w:color w:val="auto"/>
        </w:rPr>
        <w:t>” and together with Merger Sub I, the “</w:t>
      </w:r>
      <w:r>
        <w:rPr>
          <w:rFonts w:ascii="Arial" w:cs="Arial" w:eastAsia="Arial" w:hAnsi="Arial"/>
          <w:sz w:val="16"/>
          <w:szCs w:val="16"/>
          <w:u w:val="single" w:color="auto"/>
          <w:color w:val="auto"/>
        </w:rPr>
        <w:t>Merger Subs</w:t>
      </w:r>
      <w:r>
        <w:rPr>
          <w:rFonts w:ascii="Arial" w:cs="Arial" w:eastAsia="Arial" w:hAnsi="Arial"/>
          <w:sz w:val="16"/>
          <w:szCs w:val="16"/>
          <w:color w:val="auto"/>
        </w:rPr>
        <w:t>”), GeneDx Holding 2, Inc.,</w:t>
      </w:r>
    </w:p>
    <w:p>
      <w:pPr>
        <w:spacing w:after="0" w:line="216" w:lineRule="auto"/>
        <w:rPr>
          <w:sz w:val="20"/>
          <w:szCs w:val="20"/>
          <w:color w:val="auto"/>
        </w:rPr>
      </w:pPr>
      <w:r>
        <w:rPr>
          <w:rFonts w:ascii="Arial" w:cs="Arial" w:eastAsia="Arial" w:hAnsi="Arial"/>
          <w:sz w:val="17"/>
          <w:szCs w:val="17"/>
          <w:color w:val="auto"/>
        </w:rPr>
        <w:t>a Delaware Corporation (“</w:t>
      </w:r>
      <w:r>
        <w:rPr>
          <w:rFonts w:ascii="Arial" w:cs="Arial" w:eastAsia="Arial" w:hAnsi="Arial"/>
          <w:sz w:val="17"/>
          <w:szCs w:val="17"/>
          <w:u w:val="single" w:color="auto"/>
          <w:color w:val="auto"/>
        </w:rPr>
        <w:t>Holdco2</w:t>
      </w:r>
      <w:r>
        <w:rPr>
          <w:rFonts w:ascii="Arial" w:cs="Arial" w:eastAsia="Arial" w:hAnsi="Arial"/>
          <w:sz w:val="17"/>
          <w:szCs w:val="17"/>
          <w:color w:val="auto"/>
        </w:rPr>
        <w:t>”), OPKO Health, Inc., a Delaware corporation (the “</w:t>
      </w:r>
      <w:r>
        <w:rPr>
          <w:rFonts w:ascii="Arial" w:cs="Arial" w:eastAsia="Arial" w:hAnsi="Arial"/>
          <w:sz w:val="17"/>
          <w:szCs w:val="17"/>
          <w:u w:val="single" w:color="auto"/>
          <w:color w:val="auto"/>
        </w:rPr>
        <w:t>Seller</w:t>
      </w:r>
      <w:r>
        <w:rPr>
          <w:rFonts w:ascii="Arial" w:cs="Arial" w:eastAsia="Arial" w:hAnsi="Arial"/>
          <w:sz w:val="17"/>
          <w:szCs w:val="17"/>
          <w:color w:val="auto"/>
        </w:rPr>
        <w:t>”), and GeneDx, Inc., a New Jersey corporation (the</w:t>
      </w:r>
    </w:p>
    <w:p>
      <w:pPr>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among other transactions, the Issuer will acquire the Company from the Seller, on the terms and conditions set forth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therein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1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WHEREAS, in connection with the Transactions and subject to the terms and conditions set forth herein, Subscriber desires to subscribe for and purchase from the Issuer that number of shares of the Issuer’s Class A common stock, par value $0.0001 per share (the “</w:t>
      </w:r>
      <w:r>
        <w:rPr>
          <w:rFonts w:ascii="Arial" w:cs="Arial" w:eastAsia="Arial" w:hAnsi="Arial"/>
          <w:sz w:val="16"/>
          <w:szCs w:val="16"/>
          <w:u w:val="single" w:color="auto"/>
          <w:color w:val="auto"/>
        </w:rPr>
        <w:t>Class A Shares</w:t>
      </w:r>
      <w:r>
        <w:rPr>
          <w:rFonts w:ascii="Arial" w:cs="Arial" w:eastAsia="Arial" w:hAnsi="Arial"/>
          <w:sz w:val="16"/>
          <w:szCs w:val="16"/>
          <w:color w:val="auto"/>
        </w:rPr>
        <w:t>”), as set forth on the signature page hereto (the “</w:t>
      </w:r>
      <w:r>
        <w:rPr>
          <w:rFonts w:ascii="Arial" w:cs="Arial" w:eastAsia="Arial" w:hAnsi="Arial"/>
          <w:sz w:val="16"/>
          <w:szCs w:val="16"/>
          <w:u w:val="single" w:color="auto"/>
          <w:color w:val="auto"/>
        </w:rPr>
        <w:t>Acquired Shares</w:t>
      </w:r>
      <w:r>
        <w:rPr>
          <w:rFonts w:ascii="Arial" w:cs="Arial" w:eastAsia="Arial" w:hAnsi="Arial"/>
          <w:sz w:val="16"/>
          <w:szCs w:val="16"/>
          <w:color w:val="auto"/>
        </w:rPr>
        <w:t>”), for a purchase price of $4.00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an aggregate purchase price set forth on the signature page hereto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04"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08"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8"/>
          <w:szCs w:val="18"/>
          <w:u w:val="single" w:color="auto"/>
          <w:color w:val="auto"/>
        </w:rPr>
        <w:t>Other Subscriber</w:t>
      </w:r>
      <w:r>
        <w:rPr>
          <w:rFonts w:ascii="Arial" w:cs="Arial" w:eastAsia="Arial" w:hAnsi="Arial"/>
          <w:sz w:val="18"/>
          <w:szCs w:val="18"/>
          <w:color w:val="auto"/>
        </w:rPr>
        <w:t>”), have (severally and not jointly) entered into separate subscription agreements with the Issuer that are substantially similar to this Subscription Agreement (the “</w:t>
      </w:r>
      <w:r>
        <w:rPr>
          <w:rFonts w:ascii="Arial" w:cs="Arial" w:eastAsia="Arial" w:hAnsi="Arial"/>
          <w:sz w:val="18"/>
          <w:szCs w:val="18"/>
          <w:u w:val="single" w:color="auto"/>
          <w:color w:val="auto"/>
        </w:rPr>
        <w:t>Other 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pursuant to which such investors have agreed to purchase Class A Shares on the Closing Date (as defined below) at the same Per Share Price as Subscriber (the “</w:t>
      </w:r>
      <w:r>
        <w:rPr>
          <w:rFonts w:ascii="Arial" w:cs="Arial" w:eastAsia="Arial" w:hAnsi="Arial"/>
          <w:sz w:val="18"/>
          <w:szCs w:val="18"/>
          <w:u w:val="single" w:color="auto"/>
          <w:color w:val="auto"/>
        </w:rPr>
        <w:t>Other Acquired Shares</w:t>
      </w:r>
      <w:r>
        <w:rPr>
          <w:rFonts w:ascii="Arial" w:cs="Arial" w:eastAsia="Arial" w:hAnsi="Arial"/>
          <w:sz w:val="18"/>
          <w:szCs w:val="18"/>
          <w:color w:val="auto"/>
        </w:rPr>
        <w:t>”);</w:t>
      </w:r>
    </w:p>
    <w:p>
      <w:pPr>
        <w:spacing w:after="0" w:line="10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WHEREAS, the aggregate amount of Class A Shares to be sold by the Issuer pursuant to this Subscription Agreement and the Other Subscription Agreements equals 50 million Class A Shares;</w:t>
      </w:r>
    </w:p>
    <w:p>
      <w:pPr>
        <w:spacing w:after="0" w:line="10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WHEREAS, the aggregate amount of gross proceeds to the Issuer in connection with the purchase and sale of the Acquired Shares and the Other Acquired Shares equals $200 million; and</w:t>
      </w:r>
    </w:p>
    <w:p>
      <w:pPr>
        <w:spacing w:after="0" w:line="108" w:lineRule="exact"/>
        <w:rPr>
          <w:sz w:val="20"/>
          <w:szCs w:val="20"/>
          <w:color w:val="auto"/>
        </w:rPr>
      </w:pPr>
    </w:p>
    <w:p>
      <w:pPr>
        <w:ind w:right="260" w:firstLine="648"/>
        <w:spacing w:after="0" w:line="219" w:lineRule="auto"/>
        <w:rPr>
          <w:sz w:val="20"/>
          <w:szCs w:val="20"/>
          <w:color w:val="auto"/>
        </w:rPr>
      </w:pPr>
      <w:r>
        <w:rPr>
          <w:rFonts w:ascii="Arial" w:cs="Arial" w:eastAsia="Arial" w:hAnsi="Arial"/>
          <w:sz w:val="18"/>
          <w:szCs w:val="18"/>
          <w:color w:val="auto"/>
        </w:rPr>
        <w:t>WHEREAS, pursuant to the support agreements (in the form attached as Exhibit B to the Merger Agreement)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and certain of the Other Subscription Agreements, the Issuer has obtained from existing stockholders of the Issuer restrictions on transfer of, and voting obligations in respect of, all or a percentage of the Class A Shares held by such stockholders (the “</w:t>
      </w:r>
      <w:r>
        <w:rPr>
          <w:rFonts w:ascii="Arial" w:cs="Arial" w:eastAsia="Arial" w:hAnsi="Arial"/>
          <w:sz w:val="18"/>
          <w:szCs w:val="18"/>
          <w:u w:val="single" w:color="auto"/>
          <w:color w:val="auto"/>
        </w:rPr>
        <w:t>Commitments</w:t>
      </w:r>
      <w:r>
        <w:rPr>
          <w:rFonts w:ascii="Arial" w:cs="Arial" w:eastAsia="Arial" w:hAnsi="Arial"/>
          <w:sz w:val="18"/>
          <w:szCs w:val="18"/>
          <w:color w:val="auto"/>
        </w:rPr>
        <w:t>”), as an inducement to Seller and the Issuer to enter into the Merger Agreement and to consummate the Transactions.</w:t>
      </w:r>
    </w:p>
    <w:p>
      <w:pPr>
        <w:spacing w:after="0" w:line="109"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08" w:lineRule="exact"/>
        <w:rPr>
          <w:sz w:val="20"/>
          <w:szCs w:val="20"/>
          <w:color w:val="auto"/>
        </w:rPr>
      </w:pPr>
    </w:p>
    <w:p>
      <w:pPr>
        <w:jc w:val="both"/>
        <w:ind w:right="160" w:firstLine="656"/>
        <w:spacing w:after="0" w:line="289" w:lineRule="auto"/>
        <w:tabs>
          <w:tab w:leader="none" w:pos="1296"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0" w:firstLine="1304"/>
        <w:spacing w:after="0" w:line="216" w:lineRule="auto"/>
        <w:tabs>
          <w:tab w:leader="none" w:pos="1941"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80"/>
          </w:cols>
          <w:pgMar w:left="320" w:top="1440" w:right="399" w:bottom="1440" w:gutter="0" w:footer="0" w:header="0"/>
        </w:sectPr>
      </w:pPr>
    </w:p>
    <w:bookmarkStart w:id="475" w:name="page476"/>
    <w:bookmarkEnd w:id="475"/>
    <w:p>
      <w:pPr>
        <w:spacing w:after="0" w:line="13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Price 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Subscriber until the Closing Date or (ii) in the case of a Subscriber that is (1) an “investment company” registered under the Investment Company Act of 1940, as amended, (2) that is advised by an investment adviser subject to regulation under the Investment Advisors Act of 1940, as amended, or (3) that its internal compliance policies and procedures so require it, to an account specified by the Issuer otherwise mutually agreed by Subscriber and the Issuer (“</w:t>
      </w:r>
      <w:r>
        <w:rPr>
          <w:rFonts w:ascii="Arial" w:cs="Arial" w:eastAsia="Arial" w:hAnsi="Arial"/>
          <w:sz w:val="16"/>
          <w:szCs w:val="16"/>
          <w:u w:val="single" w:color="auto"/>
          <w:color w:val="auto"/>
        </w:rPr>
        <w:t>Alternative 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Procedures</w:t>
      </w:r>
      <w:r>
        <w:rPr>
          <w:rFonts w:ascii="Arial" w:cs="Arial" w:eastAsia="Arial" w:hAnsi="Arial"/>
          <w:sz w:val="16"/>
          <w:szCs w:val="16"/>
          <w:color w:val="auto"/>
        </w:rPr>
        <w:t>”). For the avoidance of doubt, mutually agreeable Alternative Settlement Procedures shall include, without limitation,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stock certificates shall be deemed cancelled.</w:t>
      </w:r>
    </w:p>
    <w:p>
      <w:pPr>
        <w:spacing w:after="0" w:line="113" w:lineRule="exact"/>
        <w:rPr>
          <w:sz w:val="20"/>
          <w:szCs w:val="20"/>
          <w:color w:val="auto"/>
        </w:rPr>
      </w:pPr>
    </w:p>
    <w:p>
      <w:pPr>
        <w:ind w:left="1940" w:hanging="636"/>
        <w:spacing w:after="0"/>
        <w:tabs>
          <w:tab w:leader="none" w:pos="194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Closing shall be subject to the satisfaction, or valid waiver by each of the parties hereto, of the conditions that, on the</w:t>
      </w:r>
    </w:p>
    <w:p>
      <w:pPr>
        <w:spacing w:after="0"/>
        <w:rPr>
          <w:sz w:val="20"/>
          <w:szCs w:val="20"/>
          <w:color w:val="auto"/>
        </w:rPr>
      </w:pPr>
      <w:r>
        <w:rPr>
          <w:rFonts w:ascii="Arial" w:cs="Arial" w:eastAsia="Arial" w:hAnsi="Arial"/>
          <w:sz w:val="18"/>
          <w:szCs w:val="18"/>
          <w:color w:val="auto"/>
        </w:rPr>
        <w:t>Closing Date:</w:t>
      </w:r>
    </w:p>
    <w:p>
      <w:pPr>
        <w:spacing w:after="0" w:line="115" w:lineRule="exact"/>
        <w:rPr>
          <w:sz w:val="20"/>
          <w:szCs w:val="20"/>
          <w:color w:val="auto"/>
        </w:rPr>
      </w:pPr>
    </w:p>
    <w:p>
      <w:pPr>
        <w:ind w:firstLine="1952"/>
        <w:spacing w:after="0" w:line="236" w:lineRule="auto"/>
        <w:tabs>
          <w:tab w:leader="none" w:pos="258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solely with respect to Subscriber, (A) the representations and warranties made by the Issuer (other than the representations and warranties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in this Subscription Agreement shall be true and correct as of the Closing Date (other than those representations and warranties expressly made as of an earlier date, which shall be true and correct as of such date), after giving effect to the consummation of the Transactions, except, in the case of this clause (B), for any failure of any such representation and warranty to be so true and correct (without giving effect to any qualification by materiality or Material Adverse Effect (as defined below) contained therein) that would not, individually or in the aggregate, reasonably be expected to have a Material Adverse Effect and (B) the representations and warranties made by the Issuer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shall be true and correct in all respects as of the Closing Date (other than those representations and warranties expressly made as of an earlier date, which shall be true and correct in all respects as of such date and, solely in the case of Section 3(g), other than de minimis inaccuracies), in each case without giving effect to the consummation of the Transactions;</w:t>
      </w:r>
    </w:p>
    <w:p>
      <w:pPr>
        <w:spacing w:after="0" w:line="113" w:lineRule="exact"/>
        <w:rPr>
          <w:rFonts w:ascii="Arial" w:cs="Arial" w:eastAsia="Arial" w:hAnsi="Arial"/>
          <w:sz w:val="16"/>
          <w:szCs w:val="16"/>
          <w:color w:val="auto"/>
        </w:rPr>
      </w:pPr>
    </w:p>
    <w:p>
      <w:pPr>
        <w:ind w:right="40" w:firstLine="1952"/>
        <w:spacing w:after="0" w:line="216" w:lineRule="auto"/>
        <w:tabs>
          <w:tab w:leader="none" w:pos="258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08" w:lineRule="exact"/>
        <w:rPr>
          <w:rFonts w:ascii="Arial" w:cs="Arial" w:eastAsia="Arial" w:hAnsi="Arial"/>
          <w:sz w:val="18"/>
          <w:szCs w:val="18"/>
          <w:color w:val="auto"/>
        </w:rPr>
      </w:pPr>
    </w:p>
    <w:p>
      <w:pPr>
        <w:ind w:left="2600" w:hanging="648"/>
        <w:spacing w:after="0"/>
        <w:tabs>
          <w:tab w:leader="none" w:pos="26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solely with respect to the Issuer, Subscriber shall have delivered the Purchase Price in compliance with the terms of this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Subscription Agreement;</w:t>
      </w:r>
    </w:p>
    <w:p>
      <w:pPr>
        <w:spacing w:after="0" w:line="114" w:lineRule="exact"/>
        <w:rPr>
          <w:rFonts w:ascii="Arial" w:cs="Arial" w:eastAsia="Arial" w:hAnsi="Arial"/>
          <w:sz w:val="16"/>
          <w:szCs w:val="16"/>
          <w:color w:val="auto"/>
        </w:rPr>
      </w:pPr>
    </w:p>
    <w:p>
      <w:pPr>
        <w:ind w:right="20" w:firstLine="1952"/>
        <w:spacing w:after="0" w:line="259" w:lineRule="auto"/>
        <w:tabs>
          <w:tab w:leader="none" w:pos="258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92" w:lineRule="exact"/>
        <w:rPr>
          <w:rFonts w:ascii="Arial" w:cs="Arial" w:eastAsia="Arial" w:hAnsi="Arial"/>
          <w:sz w:val="16"/>
          <w:szCs w:val="16"/>
          <w:color w:val="auto"/>
        </w:rPr>
      </w:pPr>
    </w:p>
    <w:p>
      <w:pPr>
        <w:ind w:right="60" w:firstLine="1952"/>
        <w:spacing w:after="0" w:line="224" w:lineRule="auto"/>
        <w:tabs>
          <w:tab w:leader="none" w:pos="258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Global Select Market (“Nasdaq”) and no initiation or threatening of any proceedings for any of such purposes or delisting, shall have occurred;</w:t>
      </w:r>
    </w:p>
    <w:p>
      <w:pPr>
        <w:spacing w:after="0" w:line="108" w:lineRule="exact"/>
        <w:rPr>
          <w:rFonts w:ascii="Arial" w:cs="Arial" w:eastAsia="Arial" w:hAnsi="Arial"/>
          <w:sz w:val="18"/>
          <w:szCs w:val="18"/>
          <w:color w:val="auto"/>
        </w:rPr>
      </w:pPr>
    </w:p>
    <w:p>
      <w:pPr>
        <w:ind w:left="2580" w:hanging="628"/>
        <w:spacing w:after="0"/>
        <w:tabs>
          <w:tab w:leader="none" w:pos="25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Issuer’s stockholders shall have approved the issuance of the Acquired Shares and Other Acquired Shares as and if</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30" w:lineRule="exact"/>
        <w:rPr>
          <w:sz w:val="20"/>
          <w:szCs w:val="20"/>
          <w:color w:val="auto"/>
        </w:rPr>
      </w:pPr>
    </w:p>
    <w:p>
      <w:pPr>
        <w:ind w:left="-20" w:firstLine="1952"/>
        <w:spacing w:after="0" w:line="235" w:lineRule="auto"/>
        <w:tabs>
          <w:tab w:leader="none" w:pos="2571"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07" w:lineRule="exact"/>
        <w:rPr>
          <w:rFonts w:ascii="Arial" w:cs="Arial" w:eastAsia="Arial" w:hAnsi="Arial"/>
          <w:sz w:val="18"/>
          <w:szCs w:val="18"/>
          <w:color w:val="auto"/>
        </w:rPr>
      </w:pPr>
    </w:p>
    <w:p>
      <w:pPr>
        <w:ind w:left="-20" w:right="80" w:firstLine="1952"/>
        <w:spacing w:after="0" w:line="232" w:lineRule="auto"/>
        <w:tabs>
          <w:tab w:leader="none" w:pos="2567" w:val="left"/>
        </w:tabs>
        <w:numPr>
          <w:ilvl w:val="2"/>
          <w:numId w:val="360"/>
        </w:numPr>
        <w:rPr>
          <w:rFonts w:ascii="Arial" w:cs="Arial" w:eastAsia="Arial" w:hAnsi="Arial"/>
          <w:sz w:val="17"/>
          <w:szCs w:val="17"/>
          <w:color w:val="auto"/>
        </w:rPr>
      </w:pPr>
      <w:r>
        <w:rPr>
          <w:rFonts w:ascii="Arial" w:cs="Arial" w:eastAsia="Arial" w:hAnsi="Arial"/>
          <w:sz w:val="17"/>
          <w:szCs w:val="17"/>
          <w:color w:val="auto"/>
        </w:rPr>
        <w:t>all conditions precedent to the closing of the Transactions set forth in the Merger Agreement shall have been satisfied or waived (as determined by the Merger Agreement and related documentation) (other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w:t>
      </w:r>
    </w:p>
    <w:p>
      <w:pPr>
        <w:spacing w:after="0" w:line="108" w:lineRule="exact"/>
        <w:rPr>
          <w:rFonts w:ascii="Arial" w:cs="Arial" w:eastAsia="Arial" w:hAnsi="Arial"/>
          <w:sz w:val="17"/>
          <w:szCs w:val="17"/>
          <w:color w:val="auto"/>
        </w:rPr>
      </w:pPr>
    </w:p>
    <w:p>
      <w:pPr>
        <w:ind w:left="-20" w:right="140" w:firstLine="1952"/>
        <w:spacing w:after="0" w:line="224" w:lineRule="auto"/>
        <w:tabs>
          <w:tab w:leader="none" w:pos="2562"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there shall have been no amendment, waiver or modification to the Other Subscription Agreements that materially benefits any Other Subscribers thereunder unless the Subscriber has been offered substantially the same benefits; and</w:t>
      </w:r>
    </w:p>
    <w:p>
      <w:pPr>
        <w:spacing w:after="0" w:line="108" w:lineRule="exact"/>
        <w:rPr>
          <w:rFonts w:ascii="Arial" w:cs="Arial" w:eastAsia="Arial" w:hAnsi="Arial"/>
          <w:sz w:val="18"/>
          <w:szCs w:val="18"/>
          <w:color w:val="auto"/>
        </w:rPr>
      </w:pPr>
    </w:p>
    <w:p>
      <w:pPr>
        <w:ind w:left="-20" w:right="140" w:firstLine="1952"/>
        <w:spacing w:after="0" w:line="224" w:lineRule="auto"/>
        <w:tabs>
          <w:tab w:leader="none" w:pos="2566"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there has been no amendment, modification or supplement to the Merger Agreement that increases the aggregate consideration payable by the Issuer by more than 5% unless Subscriber has consented to such amendment, modification or supplement in writing.</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21" w:val="left"/>
        </w:tabs>
        <w:numPr>
          <w:ilvl w:val="1"/>
          <w:numId w:val="361"/>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condition that, on the Closing Date, the Issuer shall have performed, satisfied and complied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08" w:lineRule="exact"/>
        <w:rPr>
          <w:rFonts w:ascii="Arial" w:cs="Arial" w:eastAsia="Arial" w:hAnsi="Arial"/>
          <w:sz w:val="18"/>
          <w:szCs w:val="18"/>
          <w:color w:val="auto"/>
        </w:rPr>
      </w:pPr>
    </w:p>
    <w:p>
      <w:pPr>
        <w:ind w:left="-20" w:right="120" w:firstLine="1304"/>
        <w:spacing w:after="0" w:line="232" w:lineRule="auto"/>
        <w:tabs>
          <w:tab w:leader="none" w:pos="1918" w:val="left"/>
        </w:tabs>
        <w:numPr>
          <w:ilvl w:val="1"/>
          <w:numId w:val="361"/>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08" w:lineRule="exact"/>
        <w:rPr>
          <w:rFonts w:ascii="Arial" w:cs="Arial" w:eastAsia="Arial" w:hAnsi="Arial"/>
          <w:sz w:val="17"/>
          <w:szCs w:val="17"/>
          <w:color w:val="auto"/>
        </w:rPr>
      </w:pPr>
    </w:p>
    <w:p>
      <w:pPr>
        <w:ind w:left="1280" w:hanging="644"/>
        <w:spacing w:after="0"/>
        <w:tabs>
          <w:tab w:leader="none" w:pos="12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Subscriber that:</w:t>
      </w:r>
    </w:p>
    <w:p>
      <w:pPr>
        <w:spacing w:after="0" w:line="130" w:lineRule="exact"/>
        <w:rPr>
          <w:rFonts w:ascii="Arial" w:cs="Arial" w:eastAsia="Arial" w:hAnsi="Arial"/>
          <w:sz w:val="18"/>
          <w:szCs w:val="18"/>
          <w:color w:val="auto"/>
        </w:rPr>
      </w:pPr>
    </w:p>
    <w:p>
      <w:pPr>
        <w:jc w:val="both"/>
        <w:ind w:left="-20" w:right="320" w:firstLine="1304"/>
        <w:spacing w:after="0" w:line="224" w:lineRule="auto"/>
        <w:tabs>
          <w:tab w:leader="none" w:pos="192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1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as amended concurrently with the Closing, and bylaws or under the laws of the State of Delaware or otherwise.</w:t>
      </w:r>
    </w:p>
    <w:p>
      <w:pPr>
        <w:spacing w:after="0" w:line="108" w:lineRule="exact"/>
        <w:rPr>
          <w:rFonts w:ascii="Arial" w:cs="Arial" w:eastAsia="Arial" w:hAnsi="Arial"/>
          <w:sz w:val="18"/>
          <w:szCs w:val="18"/>
          <w:color w:val="auto"/>
        </w:rPr>
      </w:pPr>
    </w:p>
    <w:p>
      <w:pPr>
        <w:ind w:left="-20" w:right="240" w:firstLine="1304"/>
        <w:spacing w:after="0" w:line="244" w:lineRule="auto"/>
        <w:tabs>
          <w:tab w:leader="none" w:pos="1921"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This Subscription Agreement, the Merger Agreement and the Other Subscription Agreements (collectively, the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04" w:lineRule="exact"/>
        <w:rPr>
          <w:rFonts w:ascii="Arial" w:cs="Arial" w:eastAsia="Arial" w:hAnsi="Arial"/>
          <w:sz w:val="16"/>
          <w:szCs w:val="16"/>
          <w:color w:val="auto"/>
        </w:rPr>
      </w:pPr>
    </w:p>
    <w:p>
      <w:pPr>
        <w:ind w:left="-20" w:firstLine="1304"/>
        <w:spacing w:after="0" w:line="236" w:lineRule="auto"/>
        <w:tabs>
          <w:tab w:leader="none" w:pos="191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or its subsidiaries is a party or by which the Issuer or its subsidiaries is bound or to which any of the property or assets of the Issuer or its subsidiaries is subject; (ii) the organizational documents of the Issuer; or (iii) any statute or any judgment, order, rule or regulation of any court or governmental agency, taxing authority or regulatory body, domestic or foreign, having jurisdiction over the Issuer or its subsidiaries or any of its or their properties, that, in the case of clause (i) or (iii), would reasonably be expected to have a Material Adverse Effect. For purposes of this Subscription Agreement,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condition, circumstance,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20"/>
          </w:cols>
          <w:pgMar w:left="340" w:top="1440" w:right="339" w:bottom="1440" w:gutter="0" w:footer="0" w:header="0"/>
        </w:sectPr>
      </w:pPr>
    </w:p>
    <w:bookmarkStart w:id="477" w:name="page478"/>
    <w:bookmarkEnd w:id="477"/>
    <w:p>
      <w:pPr>
        <w:spacing w:after="0" w:line="130"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development, occurrence or state of facts (whether specific to the applicable party or generally applicable to multiple parties) or other matter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Effect</w:t>
      </w:r>
      <w:r>
        <w:rPr>
          <w:rFonts w:ascii="Arial" w:cs="Arial" w:eastAsia="Arial" w:hAnsi="Arial"/>
          <w:sz w:val="16"/>
          <w:szCs w:val="16"/>
          <w:i w:val="1"/>
          <w:iCs w:val="1"/>
          <w:color w:val="auto"/>
        </w:rPr>
        <w:t>”</w:t>
      </w:r>
      <w:r>
        <w:rPr>
          <w:rFonts w:ascii="Arial" w:cs="Arial" w:eastAsia="Arial" w:hAnsi="Arial"/>
          <w:sz w:val="16"/>
          <w:szCs w:val="16"/>
          <w:color w:val="auto"/>
        </w:rPr>
        <w:t>) that, individually or in the aggregate with all other Effects, has, or would reasonably be expected to have, a material adverse effect on or give rise to a material adverse change to (i) the condition (financial or otherwise), business, results of operations, assets or liabilities of the Issuer and its subsidiaries or</w:t>
      </w:r>
    </w:p>
    <w:p>
      <w:pPr>
        <w:spacing w:after="0" w:line="2" w:lineRule="exact"/>
        <w:rPr>
          <w:sz w:val="20"/>
          <w:szCs w:val="20"/>
          <w:color w:val="auto"/>
        </w:rPr>
      </w:pPr>
    </w:p>
    <w:p>
      <w:pPr>
        <w:ind w:right="120" w:firstLine="8"/>
        <w:spacing w:after="0" w:line="228" w:lineRule="auto"/>
        <w:tabs>
          <w:tab w:leader="none" w:pos="26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the ability of the Issuer to perform its obligations under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applicable Law (as defined in the Merger Agreement) or Accounting Standards (as defined in the Merger Agreement) (or, in each case, any interpretation thereof) after the Closing Date, or</w:t>
      </w:r>
    </w:p>
    <w:p>
      <w:pPr>
        <w:spacing w:after="0" w:line="2" w:lineRule="exact"/>
        <w:rPr>
          <w:rFonts w:ascii="Arial" w:cs="Arial" w:eastAsia="Arial" w:hAnsi="Arial"/>
          <w:sz w:val="16"/>
          <w:szCs w:val="16"/>
          <w:color w:val="auto"/>
        </w:rPr>
      </w:pPr>
    </w:p>
    <w:p>
      <w:pPr>
        <w:ind w:right="180"/>
        <w:spacing w:after="0" w:line="212" w:lineRule="auto"/>
        <w:rPr>
          <w:rFonts w:ascii="Arial" w:cs="Arial" w:eastAsia="Arial" w:hAnsi="Arial"/>
          <w:sz w:val="16"/>
          <w:szCs w:val="16"/>
          <w:color w:val="auto"/>
        </w:rPr>
      </w:pPr>
      <w:r>
        <w:rPr>
          <w:rFonts w:ascii="Arial" w:cs="Arial" w:eastAsia="Arial" w:hAnsi="Arial"/>
          <w:sz w:val="18"/>
          <w:szCs w:val="18"/>
          <w:color w:val="auto"/>
        </w:rPr>
        <w:t>(C) earthquakes, hostilities, acts of war, sabotage or terrorism or military actions, epidemic, public health event or pandemic (including COVID-19 (as defined in the Merger Agreement) and any worsening thereof (including any COVID-19 Response (as defined in the Merger Agreement))), except, in the case of the forgoing clauses (A), (B) and (C), to the extent such conditions, changes or events disproportionately affect the Issuer and its subsidiaries relative to similarly situated industry participants (in which case the incremental disproportionate impact or impacts may be taken into account in determining whether there has been a Material Adverse Effect).</w:t>
      </w:r>
    </w:p>
    <w:p>
      <w:pPr>
        <w:spacing w:after="0" w:line="109" w:lineRule="exact"/>
        <w:rPr>
          <w:rFonts w:ascii="Arial" w:cs="Arial" w:eastAsia="Arial" w:hAnsi="Arial"/>
          <w:sz w:val="16"/>
          <w:szCs w:val="16"/>
          <w:color w:val="auto"/>
        </w:rPr>
      </w:pPr>
    </w:p>
    <w:p>
      <w:pPr>
        <w:ind w:right="120" w:firstLine="1304"/>
        <w:spacing w:after="0" w:line="225" w:lineRule="auto"/>
        <w:tabs>
          <w:tab w:leader="none" w:pos="194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Issuer and its subsidiaries are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or its subsidiaries is a party or by which the Issuer’s or its subsidiaries’ properties or assets are bound or (iii) any statute or any judgment, order, rule or regulation of any court or governmental agency, taxing authority or regulatory body, domestic or foreign, having jurisdiction over the Issuer or its subsidiaries or any of its or their properties, except, in the case of clauses (ii) and (iii), for defaults or violations that have not had and would not reasonably be expected to have, individually or in the aggregate, a Material Adverse Effect.</w:t>
      </w:r>
    </w:p>
    <w:p>
      <w:pPr>
        <w:spacing w:after="0" w:line="107" w:lineRule="exact"/>
        <w:rPr>
          <w:rFonts w:ascii="Arial" w:cs="Arial" w:eastAsia="Arial" w:hAnsi="Arial"/>
          <w:sz w:val="17"/>
          <w:szCs w:val="17"/>
          <w:color w:val="auto"/>
        </w:rPr>
      </w:pPr>
    </w:p>
    <w:p>
      <w:pPr>
        <w:ind w:right="40" w:firstLine="1304"/>
        <w:spacing w:after="0" w:line="222" w:lineRule="auto"/>
        <w:tabs>
          <w:tab w:leader="none" w:pos="193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Merger Agreement; and (viii) the filing of a Notice of Exempt Offering of Securities on Form D with the Commission under Regulation D of the Securities Act.</w:t>
      </w:r>
    </w:p>
    <w:p>
      <w:pPr>
        <w:spacing w:after="0" w:line="114" w:lineRule="exact"/>
        <w:rPr>
          <w:rFonts w:ascii="Arial" w:cs="Arial" w:eastAsia="Arial" w:hAnsi="Arial"/>
          <w:sz w:val="17"/>
          <w:szCs w:val="17"/>
          <w:color w:val="auto"/>
        </w:rPr>
      </w:pPr>
    </w:p>
    <w:p>
      <w:pPr>
        <w:ind w:firstLine="1304"/>
        <w:spacing w:after="0" w:line="231" w:lineRule="auto"/>
        <w:tabs>
          <w:tab w:leader="none" w:pos="193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As of the date of this Subscription Agreement,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380,000,000 Class A Shares. As of December 31, 2021, (i) no shares of Preferred Stock are issued and outstanding, (ii) 242,578,824 Class A Shares are issued and outstanding, (iii) 14,758,305 redeemable warrants and 7,236,667 private placement warrants are outstanding, and (iv) (A) options to purchase 33,354,727 Class A shares are outstanding and (B)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which may be settled for 12,600,859 shares of Class A Shares are outstanding. All (i) issued and outstanding Class A Shares have been duly authorized and validly issued, are fully paid and are non-assessable and are not subject to and were not issued in violation of any preemptive rights, (ii) outstanding warrants have been duly authorized and validly issued, are fully paid and are not subject to and were not issued in violation of any preemptive rights and</w:t>
      </w:r>
    </w:p>
    <w:p>
      <w:pPr>
        <w:spacing w:after="0" w:line="4" w:lineRule="exact"/>
        <w:rPr>
          <w:rFonts w:ascii="Arial" w:cs="Arial" w:eastAsia="Arial" w:hAnsi="Arial"/>
          <w:sz w:val="16"/>
          <w:szCs w:val="16"/>
          <w:color w:val="auto"/>
        </w:rPr>
      </w:pPr>
    </w:p>
    <w:p>
      <w:pPr>
        <w:ind w:firstLine="8"/>
        <w:spacing w:after="0" w:line="219" w:lineRule="auto"/>
        <w:tabs>
          <w:tab w:leader="none" w:pos="31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outstanding options and RSUs have been duly authorized and validly issued and are not subject to and were not issued in violation of any preemptive rights. Except (i) as set forth above, (ii) for any Class A Shares and RSUs that may be issued pursuant to Article III of the Agreement and Plan of Merger, dated as of February 9, 2021 (as amended,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the Issuer, S-IV Sub, Inc. and Mount Sinai Genomics, Inc. d/b/a Sema4 (“</w:t>
      </w:r>
      <w:r>
        <w:rPr>
          <w:rFonts w:ascii="Arial" w:cs="Arial" w:eastAsia="Arial" w:hAnsi="Arial"/>
          <w:sz w:val="17"/>
          <w:szCs w:val="17"/>
          <w:u w:val="single" w:color="auto"/>
          <w:color w:val="auto"/>
        </w:rPr>
        <w:t>Legacy Sema4</w:t>
      </w:r>
      <w:r>
        <w:rPr>
          <w:rFonts w:ascii="Arial" w:cs="Arial" w:eastAsia="Arial" w:hAnsi="Arial"/>
          <w:sz w:val="17"/>
          <w:szCs w:val="17"/>
          <w:color w:val="auto"/>
        </w:rPr>
        <w:t>”), (iii) for any equity awards or purchase rights that may be issued pursuant to the Issuer’s 2021 Equity Incentive Plan or the Issuer’s 2021 Employee Stock Purchase Plan and (iv) pursuant to the Other Subscription Agreements and the Merger Agreement, there are no outstanding options, warrants or other rights to subscribe for, purchase or acquire from the Issuer any Class A Shares or other equity interests in the Issuer, or securities convertible into or exchangeable or exercisable for such equity interests. Other than Sema4 OpCo, Inc. and the Merger Subs and as contemplated by the Merger Agreement,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pursuant to this Subscription Agreement and the Other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20"/>
          </w:cols>
          <w:pgMar w:left="320" w:top="1440" w:right="359" w:bottom="1440" w:gutter="0" w:footer="0" w:header="0"/>
        </w:sectPr>
      </w:pPr>
    </w:p>
    <w:bookmarkStart w:id="478" w:name="page479"/>
    <w:bookmarkEnd w:id="478"/>
    <w:p>
      <w:pPr>
        <w:spacing w:after="0" w:line="130"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Agreements, the Support Agreements and the Shareholder Agreements. Except as disclosed in the SEC Reports, the Issuer has no outstanding indebtedness.</w:t>
      </w:r>
    </w:p>
    <w:p>
      <w:pPr>
        <w:spacing w:after="0" w:line="108" w:lineRule="exact"/>
        <w:rPr>
          <w:sz w:val="20"/>
          <w:szCs w:val="20"/>
          <w:color w:val="auto"/>
        </w:rPr>
      </w:pPr>
    </w:p>
    <w:p>
      <w:pPr>
        <w:ind w:firstLine="1304"/>
        <w:spacing w:after="0" w:line="259"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Issuer and its subsidiaries are in compliance with all applicable laws and have not received any written communication from a governmental entity that alleges that the Issuer or any of its subsidiaries is not in compliance with or is in default or violation of any applicable law, except where such non-compliance, default or violation would not, individually or in the aggregate, be reasonably likely to have a Material Adverse Effect.</w:t>
      </w:r>
    </w:p>
    <w:p>
      <w:pPr>
        <w:spacing w:after="0" w:line="92" w:lineRule="exact"/>
        <w:rPr>
          <w:rFonts w:ascii="Arial" w:cs="Arial" w:eastAsia="Arial" w:hAnsi="Arial"/>
          <w:sz w:val="16"/>
          <w:szCs w:val="16"/>
          <w:color w:val="auto"/>
        </w:rPr>
      </w:pPr>
    </w:p>
    <w:p>
      <w:pPr>
        <w:ind w:firstLine="1304"/>
        <w:spacing w:after="0" w:line="239"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issued and outstanding Class A Shares are registered pursuant to Section 12(b)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are listed for trading on Nasdaq under the symbol “SMFR”.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listing of additional shares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07" w:lineRule="exact"/>
        <w:rPr>
          <w:rFonts w:ascii="Arial" w:cs="Arial" w:eastAsia="Arial" w:hAnsi="Arial"/>
          <w:sz w:val="16"/>
          <w:szCs w:val="16"/>
          <w:color w:val="auto"/>
        </w:rPr>
      </w:pPr>
    </w:p>
    <w:p>
      <w:pPr>
        <w:ind w:right="40" w:firstLine="1304"/>
        <w:spacing w:after="0" w:line="241"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6" w:lineRule="exact"/>
        <w:rPr>
          <w:rFonts w:ascii="Arial" w:cs="Arial" w:eastAsia="Arial" w:hAnsi="Arial"/>
          <w:sz w:val="16"/>
          <w:szCs w:val="16"/>
          <w:color w:val="auto"/>
        </w:rPr>
      </w:pPr>
    </w:p>
    <w:p>
      <w:pPr>
        <w:ind w:firstLine="1304"/>
        <w:spacing w:after="0"/>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July 22, 2021 (the “</w:t>
      </w:r>
      <w:r>
        <w:rPr>
          <w:rFonts w:ascii="Arial" w:cs="Arial" w:eastAsia="Arial" w:hAnsi="Arial"/>
          <w:sz w:val="16"/>
          <w:szCs w:val="16"/>
          <w:u w:val="single" w:color="auto"/>
          <w:color w:val="auto"/>
        </w:rPr>
        <w:t>SEC Reports</w:t>
      </w:r>
      <w:r>
        <w:rPr>
          <w:rFonts w:ascii="Arial" w:cs="Arial" w:eastAsia="Arial" w:hAnsi="Arial"/>
          <w:sz w:val="16"/>
          <w:szCs w:val="16"/>
          <w:color w:val="auto"/>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any information related to the Company included in the proxy statement to be filed by the Issuer with respect to the Transactions, included in any other SEC Report or filed as an exhibit thereto, the representation and warranty in this sentence is made to the Issuer’s knowledge. The Issuer has timely filed each SEC Report that the Issuer was required to file with the Commission since July 22, 2021.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July 22, 2021. Except as disclosed in the SEC Reports,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or Legacy Sema4, as applicable, as at the respective dates thereof and for the respective periods indicated therein. For purposes of this Subscription Agreement,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the Issuer as of September 30, 2021 and for the three months and nine months ended September 30, 2021 and 2020 and the related notes.</w:t>
      </w:r>
    </w:p>
    <w:p>
      <w:pPr>
        <w:spacing w:after="0" w:line="133" w:lineRule="exact"/>
        <w:rPr>
          <w:rFonts w:ascii="Arial" w:cs="Arial" w:eastAsia="Arial" w:hAnsi="Arial"/>
          <w:sz w:val="16"/>
          <w:szCs w:val="16"/>
          <w:color w:val="auto"/>
        </w:rPr>
      </w:pPr>
    </w:p>
    <w:p>
      <w:pPr>
        <w:ind w:right="520" w:firstLine="1304"/>
        <w:spacing w:after="0" w:line="235" w:lineRule="auto"/>
        <w:tabs>
          <w:tab w:leader="none" w:pos="193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20"/>
          </w:cols>
          <w:pgMar w:left="320" w:top="1440" w:right="359" w:bottom="1440" w:gutter="0" w:footer="0" w:header="0"/>
        </w:sectPr>
      </w:pPr>
    </w:p>
    <w:bookmarkStart w:id="479" w:name="page480"/>
    <w:bookmarkEnd w:id="479"/>
    <w:p>
      <w:pPr>
        <w:spacing w:after="0" w:line="130" w:lineRule="exact"/>
        <w:rPr>
          <w:sz w:val="20"/>
          <w:szCs w:val="20"/>
          <w:color w:val="auto"/>
        </w:rPr>
      </w:pPr>
    </w:p>
    <w:p>
      <w:pPr>
        <w:ind w:right="840"/>
        <w:spacing w:after="0" w:line="289" w:lineRule="auto"/>
        <w:rPr>
          <w:sz w:val="20"/>
          <w:szCs w:val="20"/>
          <w:color w:val="auto"/>
        </w:rPr>
      </w:pPr>
      <w:r>
        <w:rPr>
          <w:rFonts w:ascii="Arial" w:cs="Arial" w:eastAsia="Arial" w:hAnsi="Arial"/>
          <w:sz w:val="16"/>
          <w:szCs w:val="16"/>
          <w:color w:val="auto"/>
        </w:rPr>
        <w:t>proceeding, in each case by or before any governmental authority pending, or, to the knowledge of the Issuer, threatened against the Issuer or its subsidiaries or (ii) judgment, decree, injunction, ruling or order of any governmental entity outstanding against the Issuer or its subsidiaries.</w:t>
      </w:r>
    </w:p>
    <w:p>
      <w:pPr>
        <w:spacing w:after="0" w:line="70" w:lineRule="exact"/>
        <w:rPr>
          <w:sz w:val="20"/>
          <w:szCs w:val="20"/>
          <w:color w:val="auto"/>
        </w:rPr>
      </w:pPr>
    </w:p>
    <w:p>
      <w:pPr>
        <w:ind w:right="220" w:firstLine="1304"/>
        <w:spacing w:after="0" w:line="232" w:lineRule="auto"/>
        <w:tabs>
          <w:tab w:leader="none" w:pos="1934" w:val="left"/>
        </w:tabs>
        <w:numPr>
          <w:ilvl w:val="0"/>
          <w:numId w:val="366"/>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Agents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Subscriber. The Issuer is solely responsible for the payment of any fees, costs, expenses and commissions of the Placement Agents.</w:t>
      </w:r>
    </w:p>
    <w:p>
      <w:pPr>
        <w:spacing w:after="0" w:line="108" w:lineRule="exact"/>
        <w:rPr>
          <w:rFonts w:ascii="Arial" w:cs="Arial" w:eastAsia="Arial" w:hAnsi="Arial"/>
          <w:sz w:val="17"/>
          <w:szCs w:val="17"/>
          <w:color w:val="auto"/>
        </w:rPr>
      </w:pPr>
    </w:p>
    <w:p>
      <w:pPr>
        <w:ind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08" w:lineRule="exact"/>
        <w:rPr>
          <w:rFonts w:ascii="Arial" w:cs="Arial" w:eastAsia="Arial" w:hAnsi="Arial"/>
          <w:sz w:val="18"/>
          <w:szCs w:val="18"/>
          <w:color w:val="auto"/>
        </w:rPr>
      </w:pPr>
    </w:p>
    <w:p>
      <w:pPr>
        <w:ind w:right="120"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08" w:lineRule="exact"/>
        <w:rPr>
          <w:rFonts w:ascii="Arial" w:cs="Arial" w:eastAsia="Arial" w:hAnsi="Arial"/>
          <w:sz w:val="18"/>
          <w:szCs w:val="18"/>
          <w:color w:val="auto"/>
        </w:rPr>
      </w:pPr>
    </w:p>
    <w:p>
      <w:pPr>
        <w:ind w:right="20" w:firstLine="1304"/>
        <w:spacing w:after="0" w:line="235" w:lineRule="auto"/>
        <w:tabs>
          <w:tab w:leader="none" w:pos="193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Issuer has not entered into any side letter or similar agreement with any Other Subscriber relating to such Other Subscriber’s purchase of its respective Other Acquired Shares other than the Other Subscription Agreements to the extent that an Other Subscriber is party thereto, or any side letter or similar agreement unrelated to such Other Acquired Shares or whose terms (including as to restriction on transfer of, and voting obligations in respect of, securities held by such other Subscriber) are not materially more advantageous to such Other Subscriber than to Subscriber hereunder, other than the Support Agreements, the Shareholder Agreements, any separate lock-up agreements entered into with the Issuer in connection with Other Subscribers’ evaluation of the transactions contemplated by the Other Subscription Agreements (if applicable) (“</w:t>
      </w:r>
      <w:r>
        <w:rPr>
          <w:rFonts w:ascii="Arial" w:cs="Arial" w:eastAsia="Arial" w:hAnsi="Arial"/>
          <w:sz w:val="16"/>
          <w:szCs w:val="16"/>
          <w:u w:val="single" w:color="auto"/>
          <w:color w:val="auto"/>
        </w:rPr>
        <w:t>Other Lock-Ups</w:t>
      </w:r>
      <w:r>
        <w:rPr>
          <w:rFonts w:ascii="Arial" w:cs="Arial" w:eastAsia="Arial" w:hAnsi="Arial"/>
          <w:sz w:val="16"/>
          <w:szCs w:val="16"/>
          <w:color w:val="auto"/>
        </w:rPr>
        <w:t>”), the Amended and Restated Registration Rights Agreement, dated as of July 22, 2021, among the Issuer, CMLS Holdings LLC and the other holders party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or the subscription agreements, dated as of February 9, 2021, between the Issuer and the respective subscribers party thereto, in each case, to the extent that an Other Subscriber is a party thereto. To the extent Subscriber has entered into a separate lock-up agreement with the Issuer in connection with Subscriber’s evaluation of the transactions contemplated by this Subscription Agreement, the terms of any Other Lock-Up are not materially more advantageous to any Other Subscriber party thereto than to Subscriber under its lock-up agreement with the Issuer.</w:t>
      </w:r>
    </w:p>
    <w:p>
      <w:pPr>
        <w:spacing w:after="0" w:line="110" w:lineRule="exact"/>
        <w:rPr>
          <w:rFonts w:ascii="Arial" w:cs="Arial" w:eastAsia="Arial" w:hAnsi="Arial"/>
          <w:sz w:val="16"/>
          <w:szCs w:val="16"/>
          <w:color w:val="auto"/>
        </w:rPr>
      </w:pPr>
    </w:p>
    <w:p>
      <w:pPr>
        <w:ind w:right="20" w:firstLine="1304"/>
        <w:spacing w:after="0" w:line="235"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07" w:lineRule="exact"/>
        <w:rPr>
          <w:rFonts w:ascii="Arial" w:cs="Arial" w:eastAsia="Arial" w:hAnsi="Arial"/>
          <w:sz w:val="18"/>
          <w:szCs w:val="18"/>
          <w:color w:val="auto"/>
        </w:rPr>
      </w:pPr>
    </w:p>
    <w:p>
      <w:pPr>
        <w:ind w:firstLine="1304"/>
        <w:spacing w:after="0" w:line="210" w:lineRule="auto"/>
        <w:tabs>
          <w:tab w:leader="none" w:pos="193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applicable laws relating to corruption and bribery, including the U.S. Foreign Corrupt Practices Act of 1977 (as amended) (“FCPA”), the UK Bribery Act 2010, and any similar law that prohibits bribery or corruption.</w:t>
      </w:r>
    </w:p>
    <w:p>
      <w:pPr>
        <w:spacing w:after="0" w:line="111" w:lineRule="exact"/>
        <w:rPr>
          <w:rFonts w:ascii="Arial" w:cs="Arial" w:eastAsia="Arial" w:hAnsi="Arial"/>
          <w:sz w:val="18"/>
          <w:szCs w:val="18"/>
          <w:color w:val="auto"/>
        </w:rPr>
      </w:pPr>
    </w:p>
    <w:p>
      <w:pPr>
        <w:ind w:right="500" w:firstLine="1304"/>
        <w:spacing w:after="0" w:line="224" w:lineRule="auto"/>
        <w:tabs>
          <w:tab w:leader="none" w:pos="193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08" w:lineRule="exact"/>
        <w:rPr>
          <w:rFonts w:ascii="Arial" w:cs="Arial" w:eastAsia="Arial" w:hAnsi="Arial"/>
          <w:sz w:val="18"/>
          <w:szCs w:val="18"/>
          <w:color w:val="auto"/>
        </w:rPr>
      </w:pPr>
    </w:p>
    <w:p>
      <w:pPr>
        <w:ind w:right="80"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20"/>
          </w:cols>
          <w:pgMar w:left="320" w:top="1440" w:right="359" w:bottom="1440" w:gutter="0" w:footer="0" w:header="0"/>
        </w:sectPr>
      </w:pPr>
    </w:p>
    <w:bookmarkStart w:id="480" w:name="page481"/>
    <w:bookmarkEnd w:id="480"/>
    <w:p>
      <w:pPr>
        <w:spacing w:after="0" w:line="130" w:lineRule="exact"/>
        <w:rPr>
          <w:sz w:val="20"/>
          <w:szCs w:val="20"/>
          <w:color w:val="auto"/>
        </w:rPr>
      </w:pPr>
    </w:p>
    <w:p>
      <w:pPr>
        <w:ind w:left="-20" w:right="100" w:firstLine="1304"/>
        <w:spacing w:after="0" w:line="216" w:lineRule="auto"/>
        <w:tabs>
          <w:tab w:leader="none" w:pos="191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w:t>
      </w:r>
    </w:p>
    <w:p>
      <w:pPr>
        <w:spacing w:after="0" w:line="108" w:lineRule="exact"/>
        <w:rPr>
          <w:rFonts w:ascii="Arial" w:cs="Arial" w:eastAsia="Arial" w:hAnsi="Arial"/>
          <w:sz w:val="18"/>
          <w:szCs w:val="18"/>
          <w:color w:val="auto"/>
        </w:rPr>
      </w:pPr>
    </w:p>
    <w:p>
      <w:pPr>
        <w:ind w:left="-20" w:right="20" w:firstLine="1304"/>
        <w:spacing w:after="0" w:line="221" w:lineRule="auto"/>
        <w:tabs>
          <w:tab w:leader="none" w:pos="1918" w:val="left"/>
        </w:tabs>
        <w:numPr>
          <w:ilvl w:val="1"/>
          <w:numId w:val="367"/>
        </w:numPr>
        <w:rPr>
          <w:rFonts w:ascii="Arial" w:cs="Arial" w:eastAsia="Arial" w:hAnsi="Arial"/>
          <w:sz w:val="17"/>
          <w:szCs w:val="17"/>
          <w:color w:val="auto"/>
        </w:rPr>
      </w:pPr>
      <w:r>
        <w:rPr>
          <w:rFonts w:ascii="Arial" w:cs="Arial" w:eastAsia="Arial" w:hAnsi="Arial"/>
          <w:sz w:val="17"/>
          <w:szCs w:val="17"/>
          <w:color w:val="auto"/>
        </w:rPr>
        <w:t>No Other Subscription Agreement (excluding any Commitments agreed to therein) includes terms and conditions that are materially more advantageous to any such Other Subscriber than Subscriber hereunder, and the terms of such Other Subscription Agreements (excluding any such Commitments) have not been amended or modified following the date of this Subscription Agreement in any way that are materially more advantageous to any such Other Subscriber than Subscriber hereunder. Each Other Subscriber that alone or together with its Affiliates beneficially owns five percent (5%) of the outstanding Class A Shares as of the date of this Subscription Agreement is subject to Other Commitments, either pursuant to a Support Agreement or an Other Subscription Agreement. To the extent Subscriber has entered into a Support Agreement, no other Commitments include terms and conditions that are materially more advantageous to any stockholder of the Issuer party thereto than Subscriber under its Support Agreement (it being understood that certain Other Commitments apply to all the Class A Shares held by the applicable stockholder and certain Other Commitments apply to 33% of the Class A Shares held by the applicable stockholder), and the terms of such other Commitments have not been amended, released, waived or otherwise modified following the date of this Subscription Agreement in any way that are materially more advantageous to any such other stockholder than Subscriber under its Support Agreement.</w:t>
      </w:r>
    </w:p>
    <w:p>
      <w:pPr>
        <w:spacing w:after="0" w:line="112" w:lineRule="exact"/>
        <w:rPr>
          <w:rFonts w:ascii="Arial" w:cs="Arial" w:eastAsia="Arial" w:hAnsi="Arial"/>
          <w:sz w:val="17"/>
          <w:szCs w:val="17"/>
          <w:color w:val="auto"/>
        </w:rPr>
      </w:pPr>
    </w:p>
    <w:p>
      <w:pPr>
        <w:ind w:left="1280" w:hanging="644"/>
        <w:spacing w:after="0"/>
        <w:tabs>
          <w:tab w:leader="none" w:pos="128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30" w:lineRule="exact"/>
        <w:rPr>
          <w:rFonts w:ascii="Arial" w:cs="Arial" w:eastAsia="Arial" w:hAnsi="Arial"/>
          <w:sz w:val="18"/>
          <w:szCs w:val="18"/>
          <w:color w:val="auto"/>
        </w:rPr>
      </w:pPr>
    </w:p>
    <w:p>
      <w:pPr>
        <w:ind w:left="-20" w:right="120" w:firstLine="1304"/>
        <w:spacing w:after="0" w:line="219" w:lineRule="auto"/>
        <w:tabs>
          <w:tab w:leader="none" w:pos="192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1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08" w:lineRule="exact"/>
        <w:rPr>
          <w:rFonts w:ascii="Arial" w:cs="Arial" w:eastAsia="Arial" w:hAnsi="Arial"/>
          <w:sz w:val="18"/>
          <w:szCs w:val="18"/>
          <w:color w:val="auto"/>
        </w:rPr>
      </w:pPr>
    </w:p>
    <w:p>
      <w:pPr>
        <w:ind w:left="-20" w:right="220" w:firstLine="1304"/>
        <w:spacing w:after="0" w:line="244" w:lineRule="auto"/>
        <w:tabs>
          <w:tab w:leader="none" w:pos="192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that none of the Issuer, the Seller or the Company, or any of their respective affiliates, have provided any tax advice or any other representation or guarantee, whether written or oral, regarding the tax consequences of the transactions contemplated by this Subscription Agreement.</w:t>
      </w:r>
    </w:p>
    <w:p>
      <w:pPr>
        <w:spacing w:after="0" w:line="104" w:lineRule="exact"/>
        <w:rPr>
          <w:rFonts w:ascii="Arial" w:cs="Arial" w:eastAsia="Arial" w:hAnsi="Arial"/>
          <w:sz w:val="16"/>
          <w:szCs w:val="16"/>
          <w:color w:val="auto"/>
        </w:rPr>
      </w:pPr>
    </w:p>
    <w:p>
      <w:pPr>
        <w:ind w:left="-20" w:firstLine="1304"/>
        <w:spacing w:after="0" w:line="236" w:lineRule="auto"/>
        <w:tabs>
          <w:tab w:leader="none" w:pos="1918"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3" w:lineRule="exact"/>
        <w:rPr>
          <w:rFonts w:ascii="Arial" w:cs="Arial" w:eastAsia="Arial" w:hAnsi="Arial"/>
          <w:sz w:val="16"/>
          <w:szCs w:val="16"/>
          <w:color w:val="auto"/>
        </w:rPr>
      </w:pPr>
    </w:p>
    <w:p>
      <w:pPr>
        <w:ind w:left="-20" w:right="20" w:firstLine="1304"/>
        <w:spacing w:after="0" w:line="214" w:lineRule="auto"/>
        <w:tabs>
          <w:tab w:leader="none" w:pos="192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(ii) is an “Institutional Account” as defined in FINRA Rule 4512(c), (iii)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00"/>
          </w:cols>
          <w:pgMar w:left="340" w:top="1440" w:right="359" w:bottom="1440" w:gutter="0" w:footer="0" w:header="0"/>
        </w:sectPr>
      </w:pPr>
    </w:p>
    <w:bookmarkStart w:id="481" w:name="page482"/>
    <w:bookmarkEnd w:id="481"/>
    <w:p>
      <w:pPr>
        <w:spacing w:after="0" w:line="130"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 xml:space="preserve">the acknowledgements, representations and agreements herein on behalf of each owner of each such account, and (iv)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11" w:lineRule="exact"/>
        <w:rPr>
          <w:sz w:val="20"/>
          <w:szCs w:val="20"/>
          <w:color w:val="auto"/>
        </w:rPr>
      </w:pPr>
    </w:p>
    <w:p>
      <w:pPr>
        <w:ind w:firstLine="1304"/>
        <w:spacing w:after="0" w:line="222" w:lineRule="auto"/>
        <w:tabs>
          <w:tab w:leader="none" w:pos="193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Subscriber is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Subscription. Subscriber has determined based on its own independent review and such professional advice as it deems appropriate that its purchase of the Acquired Shares and participation in the Subscription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it, notwithstanding the substantial risks inherent in investing in or holding the Acquired Shares. Subscriber is able to bear the substantial risks associated with your purchase of the Acquired Shares, including but not limited to loss of its entire investment therein.</w:t>
      </w:r>
    </w:p>
    <w:p>
      <w:pPr>
        <w:spacing w:after="0" w:line="114" w:lineRule="exact"/>
        <w:rPr>
          <w:rFonts w:ascii="Arial" w:cs="Arial" w:eastAsia="Arial" w:hAnsi="Arial"/>
          <w:sz w:val="17"/>
          <w:szCs w:val="17"/>
          <w:color w:val="auto"/>
        </w:rPr>
      </w:pPr>
    </w:p>
    <w:p>
      <w:pPr>
        <w:ind w:right="20" w:firstLine="1304"/>
        <w:spacing w:after="0" w:line="232" w:lineRule="auto"/>
        <w:tabs>
          <w:tab w:leader="none" w:pos="193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and in accordance with Regulation S under the Securities Act, (iii) pursuant to Rule 144 under the Securities Act, provided that all of the applicable conditions thereof (including those set out in Rule 144(i) which are applicable to the Issuer) have been met,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in which case, notwithstanding anything else contained herein to the contrary,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8(c)</w:t>
      </w:r>
      <w:r>
        <w:rPr>
          <w:rFonts w:ascii="Arial" w:cs="Arial" w:eastAsia="Arial" w:hAnsi="Arial"/>
          <w:sz w:val="16"/>
          <w:szCs w:val="16"/>
          <w:color w:val="auto"/>
        </w:rPr>
        <w:t xml:space="preserve"> hereof shall not apply and not be effective with respect to such Subscriber, or (v) otherwise except in compliance with applicable law.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119" w:lineRule="exact"/>
        <w:rPr>
          <w:rFonts w:ascii="Arial" w:cs="Arial" w:eastAsia="Arial" w:hAnsi="Arial"/>
          <w:sz w:val="16"/>
          <w:szCs w:val="16"/>
          <w:color w:val="auto"/>
        </w:rPr>
      </w:pPr>
    </w:p>
    <w:p>
      <w:pPr>
        <w:ind w:firstLine="1304"/>
        <w:spacing w:after="0" w:line="232" w:lineRule="auto"/>
        <w:tabs>
          <w:tab w:leader="none" w:pos="193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08" w:lineRule="exact"/>
        <w:rPr>
          <w:rFonts w:ascii="Arial" w:cs="Arial" w:eastAsia="Arial" w:hAnsi="Arial"/>
          <w:sz w:val="17"/>
          <w:szCs w:val="17"/>
          <w:color w:val="auto"/>
        </w:rPr>
      </w:pPr>
    </w:p>
    <w:p>
      <w:pPr>
        <w:ind w:right="40" w:firstLine="1304"/>
        <w:spacing w:after="0" w:line="224" w:lineRule="auto"/>
        <w:tabs>
          <w:tab w:leader="none" w:pos="193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08" w:lineRule="exact"/>
        <w:rPr>
          <w:rFonts w:ascii="Arial" w:cs="Arial" w:eastAsia="Arial" w:hAnsi="Arial"/>
          <w:sz w:val="18"/>
          <w:szCs w:val="18"/>
          <w:color w:val="auto"/>
        </w:rPr>
      </w:pPr>
    </w:p>
    <w:p>
      <w:pPr>
        <w:ind w:right="240" w:firstLine="1304"/>
        <w:spacing w:after="0" w:line="216" w:lineRule="auto"/>
        <w:tabs>
          <w:tab w:leader="none" w:pos="193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making its decision to purchase the Acquired Shares, Subscriber has (i) received and had the opportunity to review the offering materials made available to it in connection with the Subscription, as the case may be, (ii) had the opportunity to ask questions of and receive answers from the Issuer directly and (iii) conducted and completed its own independent due diligence with respect to the Subscription. Based on such information as Subscriber has deemed appropriate and without reliance upon any Placement Agent, Subscriber has independently made its own analysis and decision to enter into the Subscription. Except for the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00"/>
          </w:cols>
          <w:pgMar w:left="320" w:top="1440" w:right="379" w:bottom="1440" w:gutter="0" w:footer="0" w:header="0"/>
        </w:sectPr>
      </w:pPr>
    </w:p>
    <w:bookmarkStart w:id="482" w:name="page483"/>
    <w:bookmarkEnd w:id="482"/>
    <w:p>
      <w:pPr>
        <w:spacing w:after="0" w:line="130"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 xml:space="preserve">warranties, covenants and agreements of the Issuer expressly set forth in this Subscription Agreement, Subscriber is relying exclusively on its own sources of information, investment analysis and due diligence (including professional advice it may deem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and had the opportunity to review the offering materials made available to it in connection with the Subscription and such other information as Subscriber deems necessary in order to make an investment decision with respect to the Acquired Shares, including with respect to the Issuer, the Company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the Seller, the Company,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in making its investment or decision to invest in the Issuer.</w:t>
      </w:r>
    </w:p>
    <w:p>
      <w:pPr>
        <w:spacing w:after="0" w:line="115" w:lineRule="exact"/>
        <w:rPr>
          <w:sz w:val="20"/>
          <w:szCs w:val="20"/>
          <w:color w:val="auto"/>
        </w:rPr>
      </w:pPr>
    </w:p>
    <w:p>
      <w:pPr>
        <w:ind w:right="20" w:firstLine="1304"/>
        <w:spacing w:after="0" w:line="219"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became aware of this offering of the Acquired Shares solely by means of direct contact between Subscriber and the Issuer or by means of contact from a Placement Agent, and the Acquired Shares were offered to Subscriber solely by direct contact between Subscriber and the Issuer or by contact between Subscriber and one or more Placement Agents. Subscriber did not become aware of this offering of the Acquired Shares, nor were the Acquired Shares offered to Subscriber, by any other means.</w:t>
      </w:r>
    </w:p>
    <w:p>
      <w:pPr>
        <w:spacing w:after="0" w:line="108" w:lineRule="exact"/>
        <w:rPr>
          <w:rFonts w:ascii="Arial" w:cs="Arial" w:eastAsia="Arial" w:hAnsi="Arial"/>
          <w:sz w:val="18"/>
          <w:szCs w:val="18"/>
          <w:color w:val="auto"/>
        </w:rPr>
      </w:pPr>
    </w:p>
    <w:p>
      <w:pPr>
        <w:ind w:right="100" w:firstLine="1304"/>
        <w:spacing w:after="0" w:line="259" w:lineRule="auto"/>
        <w:tabs>
          <w:tab w:leader="none" w:pos="193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Subscriber acknowledges that it is not relying upon, and has not relied upon, any statement, representation or warranty made by Goldman Sachs &amp; Co. LLC, Jefferies LLC, Cowen and Company LLC, BTIG, LLC or any of their affiliates or any of their control persons, officers, directors or employees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in making its investment or decision to invest in the Issuer.</w:t>
      </w:r>
    </w:p>
    <w:p>
      <w:pPr>
        <w:spacing w:after="0" w:line="92" w:lineRule="exact"/>
        <w:rPr>
          <w:rFonts w:ascii="Arial" w:cs="Arial" w:eastAsia="Arial" w:hAnsi="Arial"/>
          <w:sz w:val="16"/>
          <w:szCs w:val="16"/>
          <w:color w:val="auto"/>
        </w:rPr>
      </w:pPr>
    </w:p>
    <w:p>
      <w:pPr>
        <w:ind w:right="20" w:firstLine="1304"/>
        <w:spacing w:after="0" w:line="216" w:lineRule="auto"/>
        <w:tabs>
          <w:tab w:leader="none" w:pos="193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08" w:lineRule="exact"/>
        <w:rPr>
          <w:rFonts w:ascii="Arial" w:cs="Arial" w:eastAsia="Arial" w:hAnsi="Arial"/>
          <w:sz w:val="18"/>
          <w:szCs w:val="18"/>
          <w:color w:val="auto"/>
        </w:rPr>
      </w:pPr>
    </w:p>
    <w:p>
      <w:pPr>
        <w:jc w:val="both"/>
        <w:ind w:right="280" w:firstLine="1304"/>
        <w:spacing w:after="0" w:line="219"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08" w:lineRule="exact"/>
        <w:rPr>
          <w:rFonts w:ascii="Arial" w:cs="Arial" w:eastAsia="Arial" w:hAnsi="Arial"/>
          <w:sz w:val="18"/>
          <w:szCs w:val="18"/>
          <w:color w:val="auto"/>
        </w:rPr>
      </w:pPr>
    </w:p>
    <w:p>
      <w:pPr>
        <w:ind w:right="200" w:firstLine="1304"/>
        <w:spacing w:after="0" w:line="235"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07" w:lineRule="exact"/>
        <w:rPr>
          <w:rFonts w:ascii="Arial" w:cs="Arial" w:eastAsia="Arial" w:hAnsi="Arial"/>
          <w:sz w:val="18"/>
          <w:szCs w:val="18"/>
          <w:color w:val="auto"/>
        </w:rPr>
      </w:pPr>
    </w:p>
    <w:p>
      <w:pPr>
        <w:ind w:firstLine="1304"/>
        <w:spacing w:after="0" w:line="221" w:lineRule="auto"/>
        <w:tabs>
          <w:tab w:leader="none" w:pos="1938" w:val="left"/>
        </w:tabs>
        <w:numPr>
          <w:ilvl w:val="0"/>
          <w:numId w:val="370"/>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30"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09" w:lineRule="exact"/>
        <w:rPr>
          <w:sz w:val="20"/>
          <w:szCs w:val="20"/>
          <w:color w:val="auto"/>
        </w:rPr>
      </w:pPr>
    </w:p>
    <w:p>
      <w:pPr>
        <w:ind w:firstLine="1304"/>
        <w:spacing w:after="0" w:line="233" w:lineRule="auto"/>
        <w:tabs>
          <w:tab w:leader="none" w:pos="1938" w:val="left"/>
        </w:tabs>
        <w:numPr>
          <w:ilvl w:val="2"/>
          <w:numId w:val="371"/>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Arial" w:cs="Arial" w:eastAsia="Arial" w:hAnsi="Arial"/>
          <w:sz w:val="16"/>
          <w:szCs w:val="16"/>
          <w:u w:val="single" w:color="auto"/>
          <w:color w:val="auto"/>
        </w:rPr>
        <w:t>ERISA Plan</w:t>
      </w:r>
      <w:r>
        <w:rPr>
          <w:rFonts w:ascii="Arial" w:cs="Arial" w:eastAsia="Arial" w:hAnsi="Arial"/>
          <w:sz w:val="16"/>
          <w:szCs w:val="16"/>
          <w:color w:val="auto"/>
        </w:rPr>
        <w:t>”), or (iv) an employee benefit plan that is a governmental plan (as defined in Section 3(32) of ERISA), a church plan (as defined in Section 3(33) of ERISA), a non-U.S. plan (as described in Section 4(b)(4) of ERISA) or other plan that is not subject to the foregoing clauses (i),</w:t>
      </w:r>
    </w:p>
    <w:p>
      <w:pPr>
        <w:ind w:right="80" w:firstLine="8"/>
        <w:spacing w:after="0" w:line="223" w:lineRule="auto"/>
        <w:tabs>
          <w:tab w:leader="none" w:pos="26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09" w:lineRule="exact"/>
        <w:rPr>
          <w:rFonts w:ascii="Arial" w:cs="Arial" w:eastAsia="Arial" w:hAnsi="Arial"/>
          <w:sz w:val="17"/>
          <w:szCs w:val="17"/>
          <w:color w:val="auto"/>
        </w:rPr>
      </w:pPr>
    </w:p>
    <w:p>
      <w:pPr>
        <w:ind w:left="1940" w:hanging="636"/>
        <w:spacing w:after="0"/>
        <w:tabs>
          <w:tab w:leader="none" w:pos="1940" w:val="left"/>
        </w:tabs>
        <w:numPr>
          <w:ilvl w:val="2"/>
          <w:numId w:val="372"/>
        </w:numPr>
        <w:rPr>
          <w:rFonts w:ascii="Arial" w:cs="Arial" w:eastAsia="Arial" w:hAnsi="Arial"/>
          <w:sz w:val="16"/>
          <w:szCs w:val="16"/>
          <w:color w:val="auto"/>
        </w:rPr>
      </w:pPr>
      <w:r>
        <w:rPr>
          <w:rFonts w:ascii="Arial" w:cs="Arial" w:eastAsia="Arial" w:hAnsi="Arial"/>
          <w:sz w:val="16"/>
          <w:szCs w:val="16"/>
          <w:color w:val="auto"/>
        </w:rPr>
        <w:t xml:space="preserve">At the Purchase Price Payment Date, Subscriber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300" w:hanging="644"/>
        <w:spacing w:after="0"/>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40" w:hanging="636"/>
        <w:spacing w:after="0"/>
        <w:tabs>
          <w:tab w:leader="none" w:pos="1940" w:val="left"/>
        </w:tabs>
        <w:numPr>
          <w:ilvl w:val="2"/>
          <w:numId w:val="373"/>
        </w:numPr>
        <w:rPr>
          <w:rFonts w:ascii="Arial" w:cs="Arial" w:eastAsia="Arial" w:hAnsi="Arial"/>
          <w:sz w:val="16"/>
          <w:szCs w:val="16"/>
          <w:color w:val="auto"/>
        </w:rPr>
      </w:pPr>
      <w:r>
        <w:rPr>
          <w:rFonts w:ascii="Arial" w:cs="Arial" w:eastAsia="Arial" w:hAnsi="Arial"/>
          <w:sz w:val="16"/>
          <w:szCs w:val="16"/>
          <w:color w:val="auto"/>
        </w:rPr>
        <w:t>The Issuer agrees that, as soon as practicable, but in no event later than thirty (30) calendar days after the Closing Date (the</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w:t>
      </w:r>
      <w:r>
        <w:rPr>
          <w:rFonts w:ascii="Arial" w:cs="Arial" w:eastAsia="Arial" w:hAnsi="Arial"/>
          <w:sz w:val="16"/>
          <w:szCs w:val="16"/>
          <w:color w:val="auto"/>
        </w:rPr>
        <w:t>e”), the Issuer will file with the Commission (at the Issuer’s sole cost and expense) a registration statement registering the resale of the Acquired Shares (the “</w:t>
      </w:r>
      <w:r>
        <w:rPr>
          <w:rFonts w:ascii="Arial" w:cs="Arial" w:eastAsia="Arial" w:hAnsi="Arial"/>
          <w:sz w:val="16"/>
          <w:szCs w:val="16"/>
          <w:u w:val="single" w:color="auto"/>
          <w:color w:val="auto"/>
        </w:rPr>
        <w:t>Registration Statemen</w:t>
      </w:r>
      <w:r>
        <w:rPr>
          <w:rFonts w:ascii="Arial" w:cs="Arial" w:eastAsia="Arial" w:hAnsi="Arial"/>
          <w:sz w:val="16"/>
          <w:szCs w:val="16"/>
          <w:color w:val="auto"/>
        </w:rPr>
        <w:t>t”), and the Issuer shall use its commercially reasonable efforts to cause the Registration Statement to be declared effective as soon as practicable after the filing thereof, but no later than the earlier of (i) the 60th calendar day (or 90th calendar day if the Commission notifies the Issuer that it will “review” the Registration Statement) following the Closing and (ii) the 5th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Commission is closed for operations due to a government shutdown or otherwise, the Effectiveness Date shall be extended by the same amount of days that the Commission remains closed for operations,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under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three (3)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or other Acquired Shares to be registered for the undersigned and each Other Subscriber named in the Registration Statement shall be reduced pro rata among all such selling shareholders (except to the extent otherwise required by the Commission).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20"/>
          </w:cols>
          <w:pgMar w:left="320" w:top="1440" w:right="359" w:bottom="1440" w:gutter="0" w:footer="0" w:header="0"/>
        </w:sectPr>
      </w:pPr>
    </w:p>
    <w:bookmarkStart w:id="484" w:name="page485"/>
    <w:bookmarkEnd w:id="484"/>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w:t>
      </w:r>
      <w:r>
        <w:rPr>
          <w:rFonts w:ascii="Arial" w:cs="Arial" w:eastAsia="Arial" w:hAnsi="Arial"/>
          <w:sz w:val="16"/>
          <w:szCs w:val="16"/>
          <w:u w:val="single" w:color="auto"/>
          <w:color w:val="auto"/>
        </w:rPr>
        <w:t>Rule 144</w:t>
      </w:r>
      <w:r>
        <w:rPr>
          <w:rFonts w:ascii="Arial" w:cs="Arial" w:eastAsia="Arial" w:hAnsi="Arial"/>
          <w:sz w:val="16"/>
          <w:szCs w:val="16"/>
          <w:color w:val="auto"/>
        </w:rPr>
        <w:t xml:space="preserve">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(including, for the avoidance of doubt, the requirements of Rule 144(i)(2)); (C) when they shall have ceased to be outstanding; or (D) four (4) years from the date of effectiveness of the Registration Statement.</w:t>
      </w:r>
    </w:p>
    <w:p>
      <w:pPr>
        <w:spacing w:after="0" w:line="111" w:lineRule="exact"/>
        <w:rPr>
          <w:sz w:val="20"/>
          <w:szCs w:val="20"/>
          <w:color w:val="auto"/>
        </w:rPr>
      </w:pPr>
    </w:p>
    <w:p>
      <w:pPr>
        <w:ind w:right="200" w:firstLine="1304"/>
        <w:spacing w:after="0" w:line="224" w:lineRule="auto"/>
        <w:tabs>
          <w:tab w:leader="none" w:pos="19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08" w:lineRule="exact"/>
        <w:rPr>
          <w:rFonts w:ascii="Arial" w:cs="Arial" w:eastAsia="Arial" w:hAnsi="Arial"/>
          <w:sz w:val="18"/>
          <w:szCs w:val="18"/>
          <w:color w:val="auto"/>
        </w:rPr>
      </w:pPr>
    </w:p>
    <w:p>
      <w:pPr>
        <w:ind w:right="180" w:firstLine="1952"/>
        <w:spacing w:after="0" w:line="216" w:lineRule="auto"/>
        <w:tabs>
          <w:tab w:leader="none" w:pos="2586"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8" w:lineRule="exact"/>
        <w:rPr>
          <w:rFonts w:ascii="Arial" w:cs="Arial" w:eastAsia="Arial" w:hAnsi="Arial"/>
          <w:sz w:val="18"/>
          <w:szCs w:val="18"/>
          <w:color w:val="auto"/>
        </w:rPr>
      </w:pPr>
    </w:p>
    <w:p>
      <w:pPr>
        <w:ind w:left="2600" w:hanging="648"/>
        <w:spacing w:after="0"/>
        <w:tabs>
          <w:tab w:leader="none" w:pos="26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two (2) business days:</w:t>
      </w:r>
    </w:p>
    <w:p>
      <w:pPr>
        <w:spacing w:after="0" w:line="130" w:lineRule="exact"/>
        <w:rPr>
          <w:rFonts w:ascii="Arial" w:cs="Arial" w:eastAsia="Arial" w:hAnsi="Arial"/>
          <w:sz w:val="18"/>
          <w:szCs w:val="18"/>
          <w:color w:val="auto"/>
        </w:rPr>
      </w:pPr>
    </w:p>
    <w:p>
      <w:pPr>
        <w:ind w:left="1300" w:right="120" w:firstLine="1300"/>
        <w:spacing w:after="0" w:line="235" w:lineRule="auto"/>
        <w:tabs>
          <w:tab w:leader="none" w:pos="323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07" w:lineRule="exact"/>
        <w:rPr>
          <w:rFonts w:ascii="Arial" w:cs="Arial" w:eastAsia="Arial" w:hAnsi="Arial"/>
          <w:sz w:val="18"/>
          <w:szCs w:val="18"/>
          <w:color w:val="auto"/>
        </w:rPr>
      </w:pPr>
    </w:p>
    <w:p>
      <w:pPr>
        <w:ind w:left="1300" w:right="700" w:firstLine="1300"/>
        <w:spacing w:after="0" w:line="235" w:lineRule="auto"/>
        <w:tabs>
          <w:tab w:leader="none" w:pos="323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07" w:lineRule="exact"/>
        <w:rPr>
          <w:rFonts w:ascii="Arial" w:cs="Arial" w:eastAsia="Arial" w:hAnsi="Arial"/>
          <w:sz w:val="18"/>
          <w:szCs w:val="18"/>
          <w:color w:val="auto"/>
        </w:rPr>
      </w:pPr>
    </w:p>
    <w:p>
      <w:pPr>
        <w:ind w:left="1300" w:right="460" w:firstLine="1300"/>
        <w:spacing w:after="0" w:line="289" w:lineRule="auto"/>
        <w:tabs>
          <w:tab w:leader="none" w:pos="3238" w:val="left"/>
        </w:tabs>
        <w:numPr>
          <w:ilvl w:val="2"/>
          <w:numId w:val="374"/>
        </w:numPr>
        <w:rPr>
          <w:rFonts w:ascii="Arial" w:cs="Arial" w:eastAsia="Arial" w:hAnsi="Arial"/>
          <w:sz w:val="16"/>
          <w:szCs w:val="16"/>
          <w:color w:val="auto"/>
        </w:rPr>
      </w:pPr>
      <w:r>
        <w:rPr>
          <w:rFonts w:ascii="Arial" w:cs="Arial" w:eastAsia="Arial" w:hAnsi="Arial"/>
          <w:sz w:val="16"/>
          <w:szCs w:val="16"/>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69" w:lineRule="exact"/>
        <w:rPr>
          <w:rFonts w:ascii="Arial" w:cs="Arial" w:eastAsia="Arial" w:hAnsi="Arial"/>
          <w:sz w:val="16"/>
          <w:szCs w:val="16"/>
          <w:color w:val="auto"/>
        </w:rPr>
      </w:pPr>
    </w:p>
    <w:p>
      <w:pPr>
        <w:ind w:left="1300" w:firstLine="1300"/>
        <w:spacing w:after="0" w:line="232" w:lineRule="auto"/>
        <w:tabs>
          <w:tab w:leader="none" w:pos="3238" w:val="left"/>
        </w:tabs>
        <w:numPr>
          <w:ilvl w:val="2"/>
          <w:numId w:val="374"/>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08" w:lineRule="exact"/>
        <w:rPr>
          <w:sz w:val="20"/>
          <w:szCs w:val="20"/>
          <w:color w:val="auto"/>
        </w:rPr>
      </w:pPr>
    </w:p>
    <w:p>
      <w:pPr>
        <w:jc w:val="both"/>
        <w:ind w:right="280" w:firstLine="648"/>
        <w:spacing w:after="0" w:line="237" w:lineRule="auto"/>
        <w:rPr>
          <w:sz w:val="20"/>
          <w:szCs w:val="20"/>
          <w:color w:val="auto"/>
        </w:rPr>
      </w:pPr>
      <w:r>
        <w:rPr>
          <w:rFonts w:ascii="Arial" w:cs="Arial" w:eastAsia="Arial" w:hAnsi="Arial"/>
          <w:sz w:val="17"/>
          <w:szCs w:val="17"/>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109" w:lineRule="exact"/>
        <w:rPr>
          <w:sz w:val="20"/>
          <w:szCs w:val="20"/>
          <w:color w:val="auto"/>
        </w:rPr>
      </w:pPr>
    </w:p>
    <w:p>
      <w:pPr>
        <w:ind w:right="500" w:firstLine="1952"/>
        <w:spacing w:after="0" w:line="235" w:lineRule="auto"/>
        <w:tabs>
          <w:tab w:leader="none" w:pos="259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07" w:lineRule="exact"/>
        <w:rPr>
          <w:rFonts w:ascii="Arial" w:cs="Arial" w:eastAsia="Arial" w:hAnsi="Arial"/>
          <w:sz w:val="18"/>
          <w:szCs w:val="18"/>
          <w:color w:val="auto"/>
        </w:rPr>
      </w:pPr>
    </w:p>
    <w:p>
      <w:pPr>
        <w:ind w:right="40" w:firstLine="1952"/>
        <w:spacing w:after="0" w:line="216" w:lineRule="auto"/>
        <w:tabs>
          <w:tab w:leader="none" w:pos="258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material fact necessary to make the statements therein, in the light of the circumstances under which they were made, not misleading;</w:t>
      </w:r>
    </w:p>
    <w:p>
      <w:pPr>
        <w:spacing w:after="0" w:line="131" w:lineRule="exact"/>
        <w:rPr>
          <w:sz w:val="20"/>
          <w:szCs w:val="20"/>
          <w:color w:val="auto"/>
        </w:rPr>
      </w:pPr>
    </w:p>
    <w:p>
      <w:pPr>
        <w:ind w:right="160" w:firstLine="1952"/>
        <w:spacing w:after="0" w:line="235" w:lineRule="auto"/>
        <w:tabs>
          <w:tab w:leader="none" w:pos="258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 and</w:t>
      </w:r>
    </w:p>
    <w:p>
      <w:pPr>
        <w:spacing w:after="0" w:line="107" w:lineRule="exact"/>
        <w:rPr>
          <w:rFonts w:ascii="Arial" w:cs="Arial" w:eastAsia="Arial" w:hAnsi="Arial"/>
          <w:sz w:val="18"/>
          <w:szCs w:val="18"/>
          <w:color w:val="auto"/>
        </w:rPr>
      </w:pPr>
    </w:p>
    <w:p>
      <w:pPr>
        <w:ind w:right="240" w:firstLine="1952"/>
        <w:spacing w:after="0" w:line="224" w:lineRule="auto"/>
        <w:tabs>
          <w:tab w:leader="none" w:pos="258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108" w:lineRule="exact"/>
        <w:rPr>
          <w:rFonts w:ascii="Arial" w:cs="Arial" w:eastAsia="Arial" w:hAnsi="Arial"/>
          <w:sz w:val="18"/>
          <w:szCs w:val="18"/>
          <w:color w:val="auto"/>
        </w:rPr>
      </w:pPr>
    </w:p>
    <w:p>
      <w:pPr>
        <w:ind w:firstLine="1304"/>
        <w:spacing w:after="0" w:line="232" w:lineRule="auto"/>
        <w:tabs>
          <w:tab w:leader="none" w:pos="1941" w:val="left"/>
        </w:tabs>
        <w:numPr>
          <w:ilvl w:val="0"/>
          <w:numId w:val="37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12" w:lineRule="exact"/>
        <w:rPr>
          <w:rFonts w:ascii="Arial" w:cs="Arial" w:eastAsia="Arial" w:hAnsi="Arial"/>
          <w:sz w:val="16"/>
          <w:szCs w:val="16"/>
          <w:color w:val="auto"/>
        </w:rPr>
      </w:pPr>
    </w:p>
    <w:p>
      <w:pPr>
        <w:ind w:right="20" w:firstLine="1304"/>
        <w:spacing w:after="0" w:line="222" w:lineRule="auto"/>
        <w:tabs>
          <w:tab w:leader="none" w:pos="1938"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Subscriber may deliver written notice (including via email in accordance with Section 9(n), an “</w:t>
      </w:r>
      <w:r>
        <w:rPr>
          <w:rFonts w:ascii="Arial" w:cs="Arial" w:eastAsia="Arial" w:hAnsi="Arial"/>
          <w:sz w:val="17"/>
          <w:szCs w:val="17"/>
          <w:u w:val="single" w:color="auto"/>
          <w:color w:val="auto"/>
        </w:rPr>
        <w:t>Opt-Out Notice</w:t>
      </w:r>
      <w:r>
        <w:rPr>
          <w:rFonts w:ascii="Arial" w:cs="Arial" w:eastAsia="Arial" w:hAnsi="Arial"/>
          <w:sz w:val="17"/>
          <w:szCs w:val="17"/>
          <w:color w:val="auto"/>
        </w:rPr>
        <w:t xml:space="preserve">”) to the Issuer requesting that Subscriber not receive notices from the Issuer otherwise required by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14" w:lineRule="exact"/>
        <w:rPr>
          <w:rFonts w:ascii="Arial" w:cs="Arial" w:eastAsia="Arial" w:hAnsi="Arial"/>
          <w:sz w:val="17"/>
          <w:szCs w:val="17"/>
          <w:color w:val="auto"/>
        </w:rPr>
      </w:pPr>
    </w:p>
    <w:p>
      <w:pPr>
        <w:ind w:left="1940" w:hanging="636"/>
        <w:spacing w:after="0"/>
        <w:tabs>
          <w:tab w:leader="none" w:pos="194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0" w:firstLine="1952"/>
        <w:spacing w:after="0" w:line="225" w:lineRule="auto"/>
        <w:tabs>
          <w:tab w:leader="none" w:pos="258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The Issuer shall, notwithstanding the termination of this Subscription Agreement, indemnify, defend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to the fullest extent permitted by applicable law,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that arise out of or are based upon (A) any untrue or alleged untrue statement of material fact contained in any Registration Statement (or incorporated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30"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indemnification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5(e)</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apply to amounts paid in settlement of any Losses if such settlement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Subscription Agreement.</w:t>
      </w:r>
    </w:p>
    <w:p>
      <w:pPr>
        <w:spacing w:after="0" w:line="109" w:lineRule="exact"/>
        <w:rPr>
          <w:sz w:val="20"/>
          <w:szCs w:val="20"/>
          <w:color w:val="auto"/>
        </w:rPr>
      </w:pPr>
    </w:p>
    <w:p>
      <w:pPr>
        <w:ind w:firstLine="1952"/>
        <w:spacing w:after="0" w:line="234" w:lineRule="auto"/>
        <w:tabs>
          <w:tab w:leader="none" w:pos="258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the aggregate liability of Subscriber (including, for the avoidance of doubt, under </w:t>
      </w:r>
      <w:r>
        <w:rPr>
          <w:rFonts w:ascii="Arial" w:cs="Arial" w:eastAsia="Arial" w:hAnsi="Arial"/>
          <w:sz w:val="16"/>
          <w:szCs w:val="16"/>
          <w:u w:val="single" w:color="auto"/>
          <w:color w:val="auto"/>
        </w:rPr>
        <w:t>Section 5(e)(v)</w:t>
      </w:r>
      <w:r>
        <w:rPr>
          <w:rFonts w:ascii="Arial" w:cs="Arial" w:eastAsia="Arial" w:hAnsi="Arial"/>
          <w:sz w:val="16"/>
          <w:szCs w:val="16"/>
          <w:color w:val="auto"/>
        </w:rPr>
        <w:t>) be greater in amount than the dollar amount of the net proceeds received by Subscriber from the sale of Acquired Shares pursuant to such Registration Statement giving rise to such indemnification obligation.</w:t>
      </w:r>
    </w:p>
    <w:p>
      <w:pPr>
        <w:spacing w:after="0" w:line="115" w:lineRule="exact"/>
        <w:rPr>
          <w:rFonts w:ascii="Arial" w:cs="Arial" w:eastAsia="Arial" w:hAnsi="Arial"/>
          <w:sz w:val="16"/>
          <w:szCs w:val="16"/>
          <w:color w:val="auto"/>
        </w:rPr>
      </w:pPr>
    </w:p>
    <w:p>
      <w:pPr>
        <w:ind w:firstLine="1952"/>
        <w:spacing w:after="0" w:line="234" w:lineRule="auto"/>
        <w:tabs>
          <w:tab w:leader="none" w:pos="259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(such consent not to be unreasonably withheld, conditioned or delayed). An indemnifying party who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culpability or failure to act on the party of such indemnified party.</w:t>
      </w:r>
    </w:p>
    <w:p>
      <w:pPr>
        <w:spacing w:after="0" w:line="115" w:lineRule="exact"/>
        <w:rPr>
          <w:rFonts w:ascii="Arial" w:cs="Arial" w:eastAsia="Arial" w:hAnsi="Arial"/>
          <w:sz w:val="16"/>
          <w:szCs w:val="16"/>
          <w:color w:val="auto"/>
        </w:rPr>
      </w:pPr>
    </w:p>
    <w:p>
      <w:pPr>
        <w:ind w:right="80" w:firstLine="1952"/>
        <w:spacing w:after="0" w:line="224" w:lineRule="auto"/>
        <w:tabs>
          <w:tab w:leader="none" w:pos="258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08" w:lineRule="exact"/>
        <w:rPr>
          <w:rFonts w:ascii="Arial" w:cs="Arial" w:eastAsia="Arial" w:hAnsi="Arial"/>
          <w:sz w:val="18"/>
          <w:szCs w:val="18"/>
          <w:color w:val="auto"/>
        </w:rPr>
      </w:pPr>
    </w:p>
    <w:p>
      <w:pPr>
        <w:ind w:right="20" w:firstLine="1952"/>
        <w:spacing w:after="0" w:line="236" w:lineRule="auto"/>
        <w:tabs>
          <w:tab w:leader="none" w:pos="2586"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30" w:lineRule="exact"/>
        <w:rPr>
          <w:sz w:val="20"/>
          <w:szCs w:val="20"/>
          <w:color w:val="auto"/>
        </w:rPr>
      </w:pPr>
    </w:p>
    <w:p>
      <w:pPr>
        <w:spacing w:after="0" w:line="224" w:lineRule="auto"/>
        <w:rPr>
          <w:sz w:val="20"/>
          <w:szCs w:val="20"/>
          <w:color w:val="auto"/>
        </w:rPr>
      </w:pPr>
      <w:r>
        <w:rPr>
          <w:rFonts w:ascii="Arial" w:cs="Arial" w:eastAsia="Arial" w:hAnsi="Arial"/>
          <w:sz w:val="18"/>
          <w:szCs w:val="18"/>
          <w:u w:val="single" w:color="auto"/>
          <w:color w:val="auto"/>
        </w:rPr>
        <w:t>Sections 5(e)(i)</w:t>
      </w:r>
      <w:r>
        <w:rPr>
          <w:rFonts w:ascii="Arial" w:cs="Arial" w:eastAsia="Arial" w:hAnsi="Arial"/>
          <w:sz w:val="18"/>
          <w:szCs w:val="18"/>
          <w:color w:val="auto"/>
        </w:rPr>
        <w:t xml:space="preserve">, </w:t>
      </w:r>
      <w:r>
        <w:rPr>
          <w:rFonts w:ascii="Arial" w:cs="Arial" w:eastAsia="Arial" w:hAnsi="Arial"/>
          <w:sz w:val="18"/>
          <w:szCs w:val="18"/>
          <w:u w:val="single" w:color="auto"/>
          <w:color w:val="auto"/>
        </w:rPr>
        <w:t>5(e)(ii)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5(e)(iii)</w:t>
      </w:r>
      <w:r>
        <w:rPr>
          <w:rFonts w:ascii="Arial" w:cs="Arial" w:eastAsia="Arial" w:hAnsi="Arial"/>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Section 5(e)(v)</w:t>
      </w:r>
      <w:r>
        <w:rPr>
          <w:rFonts w:ascii="Arial" w:cs="Arial" w:eastAsia="Arial" w:hAnsi="Arial"/>
          <w:sz w:val="18"/>
          <w:szCs w:val="18"/>
          <w:color w:val="auto"/>
        </w:rPr>
        <w:t xml:space="preserve"> from any person who was not guilty of such fraudulent misrepresentation.</w:t>
      </w:r>
    </w:p>
    <w:p>
      <w:pPr>
        <w:spacing w:after="0" w:line="109" w:lineRule="exact"/>
        <w:rPr>
          <w:sz w:val="20"/>
          <w:szCs w:val="20"/>
          <w:color w:val="auto"/>
        </w:rPr>
      </w:pPr>
    </w:p>
    <w:p>
      <w:pPr>
        <w:ind w:right="60" w:firstLine="1304"/>
        <w:spacing w:after="0" w:line="214" w:lineRule="auto"/>
        <w:tabs>
          <w:tab w:leader="none" w:pos="193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Piggyback Rights. Subscriber agrees that each New Holder (as defined in the Registration Rights Agreement) and the Seller and each 5% Insider (as defined in the Shareholders Agreements) shall have piggyback registration rights in respect of any Registration Statement that is filed pursuant to this Section 5, pursuant to and in accordance with Section 5.6 of the Registration Rights Agreement and Section 8 of the Shareholder Agreements, respectively, and that the provisions of each of the Registration Rights Agreement and the Shareholder Agreements shall apply, mutatis mutandis, to the exercise of any such piggyback registration rights by any such New Holder, the Seller or any such 5% Insider in respect of any such Registration Statement.</w:t>
      </w:r>
    </w:p>
    <w:p>
      <w:pPr>
        <w:spacing w:after="0" w:line="107" w:lineRule="exact"/>
        <w:rPr>
          <w:rFonts w:ascii="Arial" w:cs="Arial" w:eastAsia="Arial" w:hAnsi="Arial"/>
          <w:sz w:val="18"/>
          <w:szCs w:val="18"/>
          <w:color w:val="auto"/>
        </w:rPr>
      </w:pPr>
    </w:p>
    <w:p>
      <w:pPr>
        <w:ind w:right="100" w:firstLine="656"/>
        <w:spacing w:after="0" w:line="219" w:lineRule="auto"/>
        <w:tabs>
          <w:tab w:leader="none" w:pos="1296"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Merger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(or waived, to the extent waivable) on or prior to the earlier of the Closing Date or October 14, 2022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Subscriber may, by written notice to the Issuer, extend the Outside Date beyond October 14, 2022. The Issuer shall promptly notify Subscriber in writing (with email being sufficient) of the termination of the Merger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18" w:lineRule="exact"/>
        <w:rPr>
          <w:rFonts w:ascii="Arial" w:cs="Arial" w:eastAsia="Arial" w:hAnsi="Arial"/>
          <w:sz w:val="17"/>
          <w:szCs w:val="17"/>
          <w:color w:val="auto"/>
        </w:rPr>
      </w:pPr>
    </w:p>
    <w:p>
      <w:pPr>
        <w:ind w:left="1300" w:hanging="644"/>
        <w:spacing w:after="0"/>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Additional Agreements of Subscriber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20" w:firstLine="1304"/>
        <w:spacing w:after="0" w:line="216" w:lineRule="auto"/>
        <w:tabs>
          <w:tab w:leader="none" w:pos="194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Subscriber agrees that none of the Seller, the Company or any of the Placement Agents shall be liable to Subscriber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Subscriber, the Issuer or any other person or entity), whether in contract, tort or otherwise, to Subscriber, or to any person claiming through Subscriber, in respect of the Subscription.</w:t>
      </w:r>
    </w:p>
    <w:p>
      <w:pPr>
        <w:spacing w:after="0" w:line="108" w:lineRule="exact"/>
        <w:rPr>
          <w:rFonts w:ascii="Arial" w:cs="Arial" w:eastAsia="Arial" w:hAnsi="Arial"/>
          <w:sz w:val="18"/>
          <w:szCs w:val="18"/>
          <w:color w:val="auto"/>
        </w:rPr>
      </w:pPr>
    </w:p>
    <w:p>
      <w:pPr>
        <w:ind w:right="100" w:firstLine="1304"/>
        <w:spacing w:after="0" w:line="223" w:lineRule="auto"/>
        <w:tabs>
          <w:tab w:leader="none" w:pos="1938" w:val="left"/>
        </w:tabs>
        <w:numPr>
          <w:ilvl w:val="1"/>
          <w:numId w:val="380"/>
        </w:numPr>
        <w:rPr>
          <w:rFonts w:ascii="Arial" w:cs="Arial" w:eastAsia="Arial" w:hAnsi="Arial"/>
          <w:sz w:val="17"/>
          <w:szCs w:val="17"/>
          <w:color w:val="auto"/>
        </w:rPr>
      </w:pPr>
      <w:r>
        <w:rPr>
          <w:rFonts w:ascii="Arial" w:cs="Arial" w:eastAsia="Arial" w:hAnsi="Arial"/>
          <w:sz w:val="17"/>
          <w:szCs w:val="17"/>
          <w:color w:val="auto"/>
        </w:rPr>
        <w:t>Subscriber hereby acknowledges and agrees that (a) each Placement Agent is acting solely as the Issuer’s placement agent in connection with the Subscription and is not acting as an underwriter or in any other capacity and is not and shall not be construed as a fiduciary for Subscriber, the Issuer or any other person or entity in connection with the Subscription, (b) no Placement Agent has made or will make any representation or warranty, whether express or implied, of any kind or character and has not provided any advice or recommendation in connection with the Subscription, and (c) no Placement Agent will have any responsibility with respect to (i) any representations, warranties or agreements made by any person or entity under or in connection with the Subscription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Issuer or the Subscription.</w:t>
      </w:r>
    </w:p>
    <w:p>
      <w:pPr>
        <w:spacing w:after="0" w:line="112" w:lineRule="exact"/>
        <w:rPr>
          <w:rFonts w:ascii="Arial" w:cs="Arial" w:eastAsia="Arial" w:hAnsi="Arial"/>
          <w:sz w:val="17"/>
          <w:szCs w:val="17"/>
          <w:color w:val="auto"/>
        </w:rPr>
      </w:pPr>
    </w:p>
    <w:p>
      <w:pPr>
        <w:ind w:right="60" w:firstLine="1304"/>
        <w:spacing w:after="0" w:line="239" w:lineRule="auto"/>
        <w:tabs>
          <w:tab w:leader="none" w:pos="1941"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The Issuer hereby acknowledges and agrees that, except as expressly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hereto (and except pursuant to any Support Agreement or separate lock-up agreement entered into with the Issuer in connection with Subscriber’s evaluation of the transactions contemplated by Subscription Agreement (if applicable)): (i) Subscriber has not been asked by the Issuer to agree, nor, to the knowledge of the Issuer, has Subscriber agreed, to desist from purchasing or selling, long and/or short, securities of the Issuer, or “derivative” securities based on securities issued by the Issuer or to hold the Acquired Shares for any specified term, (ii) past or future open market or other transactions by Subscriber, before or after the closing of this or future private placement transactions, may negatively impact the market price of the Issuer’s publicly-traded securities, and (iii) Subscriber shall not be deemed to have any affiliation with or control over any arm’s length counter-party in any “derivative”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30" w:lineRule="exact"/>
        <w:rPr>
          <w:sz w:val="20"/>
          <w:szCs w:val="20"/>
          <w:color w:val="auto"/>
        </w:rPr>
      </w:pPr>
    </w:p>
    <w:p>
      <w:pPr>
        <w:ind w:left="1280" w:hanging="644"/>
        <w:spacing w:after="0"/>
        <w:tabs>
          <w:tab w:leader="none" w:pos="128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 w:right="120" w:firstLine="1304"/>
        <w:spacing w:after="0" w:line="224" w:lineRule="auto"/>
        <w:tabs>
          <w:tab w:leader="none" w:pos="192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08" w:lineRule="exact"/>
        <w:rPr>
          <w:rFonts w:ascii="Arial" w:cs="Arial" w:eastAsia="Arial" w:hAnsi="Arial"/>
          <w:sz w:val="18"/>
          <w:szCs w:val="18"/>
          <w:color w:val="auto"/>
        </w:rPr>
      </w:pPr>
    </w:p>
    <w:p>
      <w:pPr>
        <w:ind w:left="-20" w:firstLine="1304"/>
        <w:spacing w:after="0" w:line="224" w:lineRule="auto"/>
        <w:tabs>
          <w:tab w:leader="none" w:pos="191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08" w:lineRule="exact"/>
        <w:rPr>
          <w:rFonts w:ascii="Arial" w:cs="Arial" w:eastAsia="Arial" w:hAnsi="Arial"/>
          <w:sz w:val="18"/>
          <w:szCs w:val="18"/>
          <w:color w:val="auto"/>
        </w:rPr>
      </w:pPr>
    </w:p>
    <w:p>
      <w:pPr>
        <w:ind w:left="2580" w:hanging="648"/>
        <w:spacing w:after="0"/>
        <w:tabs>
          <w:tab w:leader="none" w:pos="258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30" w:lineRule="exact"/>
        <w:rPr>
          <w:rFonts w:ascii="Arial" w:cs="Arial" w:eastAsia="Arial" w:hAnsi="Arial"/>
          <w:sz w:val="18"/>
          <w:szCs w:val="18"/>
          <w:color w:val="auto"/>
        </w:rPr>
      </w:pPr>
    </w:p>
    <w:p>
      <w:pPr>
        <w:ind w:left="-20" w:right="40" w:firstLine="1952"/>
        <w:spacing w:after="0" w:line="224" w:lineRule="auto"/>
        <w:tabs>
          <w:tab w:leader="none" w:pos="256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08" w:lineRule="exact"/>
        <w:rPr>
          <w:rFonts w:ascii="Arial" w:cs="Arial" w:eastAsia="Arial" w:hAnsi="Arial"/>
          <w:sz w:val="18"/>
          <w:szCs w:val="18"/>
          <w:color w:val="auto"/>
        </w:rPr>
      </w:pPr>
    </w:p>
    <w:p>
      <w:pPr>
        <w:ind w:left="-20" w:right="100" w:firstLine="1952"/>
        <w:spacing w:after="0" w:line="216" w:lineRule="auto"/>
        <w:tabs>
          <w:tab w:leader="none" w:pos="257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08" w:lineRule="exact"/>
        <w:rPr>
          <w:rFonts w:ascii="Arial" w:cs="Arial" w:eastAsia="Arial" w:hAnsi="Arial"/>
          <w:sz w:val="18"/>
          <w:szCs w:val="18"/>
          <w:color w:val="auto"/>
        </w:rPr>
      </w:pPr>
    </w:p>
    <w:p>
      <w:pPr>
        <w:ind w:left="-20" w:right="20" w:firstLine="1304"/>
        <w:spacing w:after="0" w:line="233" w:lineRule="auto"/>
        <w:tabs>
          <w:tab w:leader="none" w:pos="192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DTC, if (i) such Acquired Shares are registered for resale under the Securities Act;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or (iv) at any time on or after July 28, 2022, the holder of any Acquired Shares certifies that it is not an “affiliate” of the Issuer (as such term is used under Rule 144) and that the such holder’s holding period for purposes of Rule 144 and subsection (d)(3)(iii) thereof with respect to such Acquired Shares is at least six (6) months.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12" w:lineRule="exact"/>
        <w:rPr>
          <w:rFonts w:ascii="Arial" w:cs="Arial" w:eastAsia="Arial" w:hAnsi="Arial"/>
          <w:sz w:val="16"/>
          <w:szCs w:val="16"/>
          <w:color w:val="auto"/>
        </w:rPr>
      </w:pPr>
    </w:p>
    <w:p>
      <w:pPr>
        <w:ind w:left="-20" w:right="20" w:firstLine="1304"/>
        <w:spacing w:after="0" w:line="211" w:lineRule="auto"/>
        <w:tabs>
          <w:tab w:leader="none" w:pos="191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Issuer shall use its best efforts not, and shall use its best efforts not to permit any of its subsidiaries and Affiliates or any of its or their respective directors, officers or representatives to, promise, authorize or make any payment to, or otherwise contribute any item of value to, directly or indirectly, any non-U.S. government official, in each case, in violation of the FCPA or any other applicable anti-bribery or anti-corruption law. The Issuer shall, and shall cause each of its subsidiaries and Affiliates to, cease all of its or their respective activities, as well as remediate any actions taken by the Issuer, its subsidiaries or Affiliates or any of its or their respective directors, officers or representatives in violation of the FCPA or any other applicable anti-bribery or anti-corruption law. The Issuer shall, and shall cause each of its Affiliates and subsidiaries to, maintain systems or internal controls (including, but not limited to, accounting systems, purchasing systems and billing systems) to ensure compliance with the FCPA or any other applicable anti-bribery or anti-corruption law.</w:t>
      </w:r>
    </w:p>
    <w:p>
      <w:pPr>
        <w:spacing w:after="0" w:line="110" w:lineRule="exact"/>
        <w:rPr>
          <w:rFonts w:ascii="Arial" w:cs="Arial" w:eastAsia="Arial" w:hAnsi="Arial"/>
          <w:sz w:val="18"/>
          <w:szCs w:val="18"/>
          <w:color w:val="auto"/>
        </w:rPr>
      </w:pPr>
    </w:p>
    <w:p>
      <w:pPr>
        <w:ind w:left="1280" w:hanging="644"/>
        <w:spacing w:after="0"/>
        <w:tabs>
          <w:tab w:leader="none" w:pos="128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 w:right="200" w:firstLine="1304"/>
        <w:spacing w:after="0" w:line="259" w:lineRule="auto"/>
        <w:tabs>
          <w:tab w:leader="none" w:pos="192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00"/>
          </w:cols>
          <w:pgMar w:left="340" w:top="1440" w:right="359" w:bottom="1440" w:gutter="0" w:footer="0" w:header="0"/>
        </w:sectPr>
      </w:pPr>
    </w:p>
    <w:bookmarkStart w:id="489" w:name="page490"/>
    <w:bookmarkEnd w:id="489"/>
    <w:p>
      <w:pPr>
        <w:spacing w:after="0" w:line="13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 xml:space="preserve">no longer accurate in all material respects. Subscriber further acknowledges and agrees that (i) each Placement Agent is a third-party beneficiary of the representations and warranties of Subscriber contained in this Subscription Agreement and (ii) each New Holder, the Seller and each 5% Insider is a third-party beneficiary of the piggyback registration rights provided in </w:t>
      </w:r>
      <w:r>
        <w:rPr>
          <w:rFonts w:ascii="Arial" w:cs="Arial" w:eastAsia="Arial" w:hAnsi="Arial"/>
          <w:sz w:val="18"/>
          <w:szCs w:val="18"/>
          <w:u w:val="single" w:color="auto"/>
          <w:color w:val="auto"/>
        </w:rPr>
        <w:t>Section 5(f)</w:t>
      </w:r>
      <w:r>
        <w:rPr>
          <w:rFonts w:ascii="Arial" w:cs="Arial" w:eastAsia="Arial" w:hAnsi="Arial"/>
          <w:sz w:val="18"/>
          <w:szCs w:val="18"/>
          <w:color w:val="auto"/>
        </w:rPr>
        <w:t>.</w:t>
      </w:r>
    </w:p>
    <w:p>
      <w:pPr>
        <w:spacing w:after="0" w:line="109" w:lineRule="exact"/>
        <w:rPr>
          <w:sz w:val="20"/>
          <w:szCs w:val="20"/>
          <w:color w:val="auto"/>
        </w:rPr>
      </w:pPr>
    </w:p>
    <w:p>
      <w:pPr>
        <w:ind w:firstLine="1304"/>
        <w:spacing w:after="0" w:line="219"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Each Placement Agent, in its capacity as such, is entitled to rely upon the representations, warranties, agreements and covenants of the Issuer and the representations and warranties of Subscriber in this Subscription Agreement.</w:t>
      </w:r>
    </w:p>
    <w:p>
      <w:pPr>
        <w:spacing w:after="0" w:line="108" w:lineRule="exact"/>
        <w:rPr>
          <w:rFonts w:ascii="Arial" w:cs="Arial" w:eastAsia="Arial" w:hAnsi="Arial"/>
          <w:sz w:val="18"/>
          <w:szCs w:val="18"/>
          <w:color w:val="auto"/>
        </w:rPr>
      </w:pPr>
    </w:p>
    <w:p>
      <w:pPr>
        <w:ind w:right="100" w:firstLine="1304"/>
        <w:spacing w:after="0" w:line="222" w:lineRule="auto"/>
        <w:tabs>
          <w:tab w:leader="none" w:pos="194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This Subscription Agreement may not be transferred or assigned without the prior written consent of each of the other parties hereto. Notwithstanding the foregoing, (i) this Subscription Agreement and any of Subscriber’s rights and obligations hereunder may be assigned at any time to one or more affiliates of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 and (ii) at any time following the Closing, Subscriber’s rights (including under </w:t>
      </w:r>
      <w:r>
        <w:rPr>
          <w:rFonts w:ascii="Arial" w:cs="Arial" w:eastAsia="Arial" w:hAnsi="Arial"/>
          <w:sz w:val="17"/>
          <w:szCs w:val="17"/>
          <w:u w:val="single" w:color="auto"/>
          <w:color w:val="auto"/>
        </w:rPr>
        <w:t>Section 5</w:t>
      </w:r>
      <w:r>
        <w:rPr>
          <w:rFonts w:ascii="Arial" w:cs="Arial" w:eastAsia="Arial" w:hAnsi="Arial"/>
          <w:sz w:val="17"/>
          <w:szCs w:val="17"/>
          <w:color w:val="auto"/>
        </w:rPr>
        <w:t>) in respect of any Acquired Shares may be assigned to any transferee of such Acquired Shares.</w:t>
      </w:r>
    </w:p>
    <w:p>
      <w:pPr>
        <w:spacing w:after="0" w:line="108" w:lineRule="exact"/>
        <w:rPr>
          <w:rFonts w:ascii="Arial" w:cs="Arial" w:eastAsia="Arial" w:hAnsi="Arial"/>
          <w:sz w:val="17"/>
          <w:szCs w:val="17"/>
          <w:color w:val="auto"/>
        </w:rPr>
      </w:pPr>
    </w:p>
    <w:p>
      <w:pPr>
        <w:ind w:right="14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69" w:lineRule="exact"/>
        <w:rPr>
          <w:rFonts w:ascii="Arial" w:cs="Arial" w:eastAsia="Arial" w:hAnsi="Arial"/>
          <w:sz w:val="16"/>
          <w:szCs w:val="16"/>
          <w:color w:val="auto"/>
        </w:rPr>
      </w:pPr>
    </w:p>
    <w:p>
      <w:pPr>
        <w:ind w:right="80" w:firstLine="1304"/>
        <w:spacing w:after="0" w:line="212" w:lineRule="auto"/>
        <w:tabs>
          <w:tab w:leader="none" w:pos="194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Agents and each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10" w:lineRule="exact"/>
        <w:rPr>
          <w:rFonts w:ascii="Arial" w:cs="Arial" w:eastAsia="Arial" w:hAnsi="Arial"/>
          <w:sz w:val="18"/>
          <w:szCs w:val="18"/>
          <w:color w:val="auto"/>
        </w:rPr>
      </w:pPr>
    </w:p>
    <w:p>
      <w:pPr>
        <w:ind w:right="160" w:firstLine="1304"/>
        <w:spacing w:after="0" w:line="224" w:lineRule="auto"/>
        <w:tabs>
          <w:tab w:leader="none" w:pos="19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08" w:lineRule="exact"/>
        <w:rPr>
          <w:rFonts w:ascii="Arial" w:cs="Arial" w:eastAsia="Arial" w:hAnsi="Arial"/>
          <w:sz w:val="18"/>
          <w:szCs w:val="18"/>
          <w:color w:val="auto"/>
        </w:rPr>
      </w:pPr>
    </w:p>
    <w:p>
      <w:pPr>
        <w:ind w:right="32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69" w:lineRule="exact"/>
        <w:rPr>
          <w:rFonts w:ascii="Arial" w:cs="Arial" w:eastAsia="Arial" w:hAnsi="Arial"/>
          <w:sz w:val="16"/>
          <w:szCs w:val="16"/>
          <w:color w:val="auto"/>
        </w:rPr>
      </w:pPr>
    </w:p>
    <w:p>
      <w:pPr>
        <w:ind w:right="20" w:firstLine="1304"/>
        <w:spacing w:after="0" w:line="216"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Except as otherwise provided herein (including the provisions of Section 5(e), as to which the indemnified parties are express third party beneficiaries),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8" w:lineRule="exact"/>
        <w:rPr>
          <w:rFonts w:ascii="Arial" w:cs="Arial" w:eastAsia="Arial" w:hAnsi="Arial"/>
          <w:sz w:val="18"/>
          <w:szCs w:val="18"/>
          <w:color w:val="auto"/>
        </w:rPr>
      </w:pPr>
    </w:p>
    <w:p>
      <w:pPr>
        <w:jc w:val="both"/>
        <w:ind w:right="6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9" w:lineRule="exact"/>
        <w:rPr>
          <w:rFonts w:ascii="Arial" w:cs="Arial" w:eastAsia="Arial" w:hAnsi="Arial"/>
          <w:sz w:val="16"/>
          <w:szCs w:val="16"/>
          <w:color w:val="auto"/>
        </w:rPr>
      </w:pPr>
    </w:p>
    <w:p>
      <w:pPr>
        <w:jc w:val="both"/>
        <w:ind w:firstLine="1304"/>
        <w:spacing w:after="0" w:line="224"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facsimile, electronic mail or in .pdf or other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08" w:lineRule="exact"/>
        <w:rPr>
          <w:rFonts w:ascii="Arial" w:cs="Arial" w:eastAsia="Arial" w:hAnsi="Arial"/>
          <w:sz w:val="18"/>
          <w:szCs w:val="18"/>
          <w:color w:val="auto"/>
        </w:rPr>
      </w:pPr>
    </w:p>
    <w:p>
      <w:pPr>
        <w:ind w:right="140" w:firstLine="1304"/>
        <w:spacing w:after="0" w:line="235"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00"/>
          </w:cols>
          <w:pgMar w:left="320" w:top="1440" w:right="379" w:bottom="1440" w:gutter="0" w:footer="0" w:header="0"/>
        </w:sectPr>
      </w:pPr>
    </w:p>
    <w:bookmarkStart w:id="490" w:name="page491"/>
    <w:bookmarkEnd w:id="490"/>
    <w:p>
      <w:pPr>
        <w:spacing w:after="0" w:line="130" w:lineRule="exact"/>
        <w:rPr>
          <w:sz w:val="20"/>
          <w:szCs w:val="20"/>
          <w:color w:val="auto"/>
        </w:rPr>
      </w:pPr>
    </w:p>
    <w:p>
      <w:pPr>
        <w:ind w:left="-40" w:right="20" w:firstLine="1304"/>
        <w:spacing w:after="0" w:line="235" w:lineRule="auto"/>
        <w:tabs>
          <w:tab w:leader="none" w:pos="189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07" w:lineRule="exact"/>
        <w:rPr>
          <w:rFonts w:ascii="Arial" w:cs="Arial" w:eastAsia="Arial" w:hAnsi="Arial"/>
          <w:sz w:val="18"/>
          <w:szCs w:val="18"/>
          <w:color w:val="auto"/>
        </w:rPr>
      </w:pPr>
    </w:p>
    <w:p>
      <w:pPr>
        <w:ind w:left="-40" w:firstLine="1304"/>
        <w:spacing w:after="0" w:line="244" w:lineRule="auto"/>
        <w:tabs>
          <w:tab w:leader="none" w:pos="189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Subscriber understands and agrees that (i) no disclosure or offering document has been prepared by the Placement Agents or any of their respective affiliates in connection with the offer and sale of the Acquired Shares; (ii) none of the Placement Agents and their respective directors, officers, employees, representatives and controlling persons has made any independent investigation with respect to the Issuer, the Company, the Transactions or the Acquired Shares or the accuracy, completeness or adequacy of any information supplied to Subscriber by the Issuer; and (iii) in connection with the issue and purchase of the Acquired Shares, the Placement Agents have not acted as Subscriber’s financial advisor, tax or fiduciary.</w:t>
      </w:r>
    </w:p>
    <w:p>
      <w:pPr>
        <w:spacing w:after="0" w:line="104" w:lineRule="exact"/>
        <w:rPr>
          <w:rFonts w:ascii="Arial" w:cs="Arial" w:eastAsia="Arial" w:hAnsi="Arial"/>
          <w:sz w:val="16"/>
          <w:szCs w:val="16"/>
          <w:color w:val="auto"/>
        </w:rPr>
      </w:pPr>
    </w:p>
    <w:p>
      <w:pPr>
        <w:ind w:left="-40" w:right="20" w:firstLine="1304"/>
        <w:spacing w:after="0" w:line="226" w:lineRule="auto"/>
        <w:tabs>
          <w:tab w:leader="none" w:pos="189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29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Issuer, to: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Ludlow Street, North Tower, 8th Floor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Stamford, Connecticut 06902</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legal@sema4.com</w:t>
      </w:r>
    </w:p>
    <w:p>
      <w:pPr>
        <w:spacing w:after="0" w:line="200" w:lineRule="exact"/>
        <w:rPr>
          <w:sz w:val="20"/>
          <w:szCs w:val="20"/>
          <w:color w:val="auto"/>
        </w:rPr>
      </w:pPr>
    </w:p>
    <w:p>
      <w:pPr>
        <w:spacing w:after="0" w:line="3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29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 York, NY 10010</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Attention: Ethan Skerry, Per Chilstrom, Michael Pilo</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eskerry@fenwick.com; pchilstrom@fenwick.com;</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mpilo@fenwick.com</w:t>
      </w:r>
    </w:p>
    <w:p>
      <w:pPr>
        <w:spacing w:after="0" w:line="29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Goldman Sachs &amp; Co. LLC, 200 West Street, New York, New York 10282-2198</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Jefferies LLC, 520 Madison Avenue, New York, New York 10022, Attention: General Counsel</w:t>
      </w:r>
    </w:p>
    <w:p>
      <w:pPr>
        <w:spacing w:after="0" w:line="23" w:lineRule="exact"/>
        <w:rPr>
          <w:sz w:val="20"/>
          <w:szCs w:val="20"/>
          <w:color w:val="auto"/>
        </w:rPr>
      </w:pPr>
    </w:p>
    <w:p>
      <w:pPr>
        <w:ind w:left="2800" w:right="120"/>
        <w:spacing w:after="0" w:line="234" w:lineRule="auto"/>
        <w:rPr>
          <w:sz w:val="20"/>
          <w:szCs w:val="20"/>
          <w:color w:val="auto"/>
        </w:rPr>
      </w:pPr>
      <w:r>
        <w:rPr>
          <w:rFonts w:ascii="Arial" w:cs="Arial" w:eastAsia="Arial" w:hAnsi="Arial"/>
          <w:sz w:val="18"/>
          <w:szCs w:val="18"/>
          <w:color w:val="auto"/>
        </w:rPr>
        <w:t>Cowen and Company, LLC, 599 Lexington Avenue, New York, NY 10022, Attention: General Counsel, Fax: 646-562-1124, Bradley.friedman@cowen.com</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BTIG, LLC, 65 E 55th Street, New York, New York 10022, Attention: Karen Koski, kkoski@btig.com; with a copy</w:t>
      </w:r>
    </w:p>
    <w:p>
      <w:pPr>
        <w:spacing w:after="0" w:line="46" w:lineRule="exact"/>
        <w:rPr>
          <w:sz w:val="20"/>
          <w:szCs w:val="20"/>
          <w:color w:val="auto"/>
        </w:rPr>
      </w:pPr>
    </w:p>
    <w:p>
      <w:pPr>
        <w:ind w:left="2800" w:right="680"/>
        <w:spacing w:after="0" w:line="260" w:lineRule="auto"/>
        <w:rPr>
          <w:sz w:val="20"/>
          <w:szCs w:val="20"/>
          <w:color w:val="auto"/>
        </w:rPr>
      </w:pPr>
      <w:r>
        <w:rPr>
          <w:rFonts w:ascii="Arial" w:cs="Arial" w:eastAsia="Arial" w:hAnsi="Arial"/>
          <w:sz w:val="18"/>
          <w:szCs w:val="18"/>
          <w:color w:val="auto"/>
        </w:rPr>
        <w:t>to: BTIG, LLC, 600 Montgomery Street, 6th Floor, San Francisco, CA 94111, Attention: General Counsel, IBlegal@BTIG.com</w:t>
      </w:r>
    </w:p>
    <w:p>
      <w:pPr>
        <w:spacing w:after="0" w:line="239" w:lineRule="exact"/>
        <w:rPr>
          <w:sz w:val="20"/>
          <w:szCs w:val="20"/>
          <w:color w:val="auto"/>
        </w:rPr>
      </w:pPr>
    </w:p>
    <w:p>
      <w:pPr>
        <w:ind w:left="-40" w:firstLine="1304"/>
        <w:spacing w:after="0" w:line="259" w:lineRule="auto"/>
        <w:tabs>
          <w:tab w:leader="none" w:pos="189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60"/>
          </w:cols>
          <w:pgMar w:left="360" w:top="1440" w:right="379" w:bottom="1440" w:gutter="0" w:footer="0" w:header="0"/>
        </w:sectPr>
      </w:pPr>
    </w:p>
    <w:bookmarkStart w:id="491" w:name="page492"/>
    <w:bookmarkEnd w:id="491"/>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Subscription Agreement, this being in addition to any other remedy to which such party is entitled at law, in equity, in contract, in tort or otherwise.</w:t>
      </w:r>
    </w:p>
    <w:p>
      <w:pPr>
        <w:spacing w:after="0" w:line="142" w:lineRule="exact"/>
        <w:rPr>
          <w:sz w:val="20"/>
          <w:szCs w:val="20"/>
          <w:color w:val="auto"/>
        </w:rPr>
      </w:pPr>
    </w:p>
    <w:p>
      <w:pPr>
        <w:ind w:firstLine="1304"/>
        <w:spacing w:after="0" w:line="219" w:lineRule="auto"/>
        <w:tabs>
          <w:tab w:leader="none" w:pos="193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regard to the principles of conflicts of laws that would otherwise require the application of the law of any other state.</w:t>
      </w:r>
    </w:p>
    <w:p>
      <w:pPr>
        <w:spacing w:after="0" w:line="10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 xml:space="preserve">THE PARTIES HERETO IRREVOCABLY SUBMIT TO THE EXCLUSIVE JURISDICTION OF THE COURTS OF THE STATE OF NEW YORK OR THE FEDERAL COURTS OF THE UNITED STATES OF AMERICA LOCATED IN THE CITY OF NEW YORK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9(n)</w:t>
      </w:r>
      <w:r>
        <w:rPr>
          <w:rFonts w:ascii="Arial" w:cs="Arial" w:eastAsia="Arial" w:hAnsi="Arial"/>
          <w:sz w:val="17"/>
          <w:szCs w:val="17"/>
          <w:color w:val="auto"/>
        </w:rPr>
        <w:t xml:space="preserve"> OR IN SUCH OTHER MANNER AS MAY BE PERMITTED BY LAW SHALL BE VALID AND SUFFICIENT SERVICE THEREOF.</w:t>
      </w:r>
    </w:p>
    <w:p>
      <w:pPr>
        <w:spacing w:after="0" w:line="108"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r>
        <w:rPr>
          <w:rFonts w:ascii="Arial" w:cs="Arial" w:eastAsia="Arial" w:hAnsi="Arial"/>
          <w:sz w:val="18"/>
          <w:szCs w:val="18"/>
          <w:color w:val="auto"/>
        </w:rPr>
        <w:t>.</w:t>
      </w:r>
    </w:p>
    <w:p>
      <w:pPr>
        <w:spacing w:after="0" w:line="110" w:lineRule="exact"/>
        <w:rPr>
          <w:sz w:val="20"/>
          <w:szCs w:val="20"/>
          <w:color w:val="auto"/>
        </w:rPr>
      </w:pPr>
    </w:p>
    <w:p>
      <w:pPr>
        <w:ind w:firstLine="1304"/>
        <w:spacing w:after="0" w:line="230" w:lineRule="auto"/>
        <w:tabs>
          <w:tab w:leader="none" w:pos="1938"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or its representatives has provided to Subscriber any time prior to the filing of the Disclosure Document, to the extent such information has not previously been publicly disclosed by the Issuer in a press release or filing with the Commission and the Issuer considers such information material at the time of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Agents) and Subscriber shall no longer be subject to any confidentiality or similar obligations under any current agreement, whether written or oral with the Issuer, the Placement Agents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(which consent shall not be unreasonably withheld, conditioned or delayed) (i) in any press release; or (ii) in any filing with the Commission or any regulatory agency or trading market, except (A) current reports on Form 8-K filed with the SEC by the Issuer in connection with the announcement of the execution of this Subscription Agreement and the announcement of the Closing of the Transactions or</w:t>
      </w:r>
    </w:p>
    <w:p>
      <w:pPr>
        <w:spacing w:after="0" w:line="5" w:lineRule="exact"/>
        <w:rPr>
          <w:rFonts w:ascii="Arial" w:cs="Arial" w:eastAsia="Arial" w:hAnsi="Arial"/>
          <w:sz w:val="16"/>
          <w:szCs w:val="16"/>
          <w:color w:val="auto"/>
        </w:rPr>
      </w:pPr>
    </w:p>
    <w:p>
      <w:pPr>
        <w:jc w:val="both"/>
        <w:ind w:right="60" w:firstLine="8"/>
        <w:spacing w:after="0" w:line="242" w:lineRule="auto"/>
        <w:tabs>
          <w:tab w:leader="none" w:pos="28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as required by state or federal securities law, any governmental authority or stock exchange rule, in which case the Issuer shall provide Subscriber with prior written notice of such disclosure permitted under hereunder. The Issuer shall not, and shall cause each of its officers, directors, employees and agents, not to, provide Subscriber with any material, nonpublic information from and after the filing of the Disclosure Document and if and so long as Subscriber has not designated a representative on the Issuer’s board of directors, without the express prior written consent of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30" w:lineRule="exact"/>
        <w:rPr>
          <w:sz w:val="20"/>
          <w:szCs w:val="20"/>
          <w:color w:val="auto"/>
        </w:rPr>
      </w:pPr>
    </w:p>
    <w:p>
      <w:pPr>
        <w:ind w:left="-20" w:right="240" w:firstLine="1304"/>
        <w:spacing w:after="0" w:line="235" w:lineRule="auto"/>
        <w:tabs>
          <w:tab w:leader="none" w:pos="191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Issuer hereto agrees, and the Subscriber acknowledges such agreement for the express benefit of the Placement Agent, its respective affiliates and its respective representatives that:</w:t>
      </w:r>
    </w:p>
    <w:p>
      <w:pPr>
        <w:spacing w:after="0" w:line="107" w:lineRule="exact"/>
        <w:rPr>
          <w:rFonts w:ascii="Arial" w:cs="Arial" w:eastAsia="Arial" w:hAnsi="Arial"/>
          <w:sz w:val="18"/>
          <w:szCs w:val="18"/>
          <w:color w:val="auto"/>
        </w:rPr>
      </w:pPr>
    </w:p>
    <w:p>
      <w:pPr>
        <w:ind w:left="-20" w:right="60" w:firstLine="1952"/>
        <w:spacing w:after="0" w:line="236" w:lineRule="auto"/>
        <w:tabs>
          <w:tab w:leader="none" w:pos="2566" w:val="left"/>
        </w:tabs>
        <w:numPr>
          <w:ilvl w:val="1"/>
          <w:numId w:val="388"/>
        </w:numPr>
        <w:rPr>
          <w:rFonts w:ascii="Arial" w:cs="Arial" w:eastAsia="Arial" w:hAnsi="Arial"/>
          <w:sz w:val="16"/>
          <w:szCs w:val="16"/>
          <w:color w:val="auto"/>
        </w:rPr>
      </w:pPr>
      <w:r>
        <w:rPr>
          <w:rFonts w:ascii="Arial" w:cs="Arial" w:eastAsia="Arial" w:hAnsi="Arial"/>
          <w:sz w:val="16"/>
          <w:szCs w:val="16"/>
          <w:color w:val="auto"/>
        </w:rPr>
        <w:t>neither the Placement Agents nor any of their affiliates or any of their representatives (1) have any duties or obligations other than those specifically set forth herein or in the engagement letter among the Issuer and each Placement Agent (each an “</w:t>
      </w:r>
      <w:r>
        <w:rPr>
          <w:rFonts w:ascii="Arial" w:cs="Arial" w:eastAsia="Arial" w:hAnsi="Arial"/>
          <w:sz w:val="16"/>
          <w:szCs w:val="16"/>
          <w:u w:val="single" w:color="auto"/>
          <w:color w:val="auto"/>
        </w:rPr>
        <w:t>Engagement Letter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Engagement Letters</w:t>
      </w:r>
      <w:r>
        <w:rPr>
          <w:rFonts w:ascii="Arial" w:cs="Arial" w:eastAsia="Arial" w:hAnsi="Arial"/>
          <w:sz w:val="16"/>
          <w:szCs w:val="16"/>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Merger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Merger Agreement or any agreement contemplated therein, or (y) for anything which any of them may do or refrain from doing in connection with this Subscription Agreement, the Merger Agreement or any agreement contemplated therein, except for such party’s own gross negligence, willful misconduct or bad faith.</w:t>
      </w:r>
    </w:p>
    <w:p>
      <w:pPr>
        <w:spacing w:after="0" w:line="113" w:lineRule="exact"/>
        <w:rPr>
          <w:rFonts w:ascii="Arial" w:cs="Arial" w:eastAsia="Arial" w:hAnsi="Arial"/>
          <w:sz w:val="16"/>
          <w:szCs w:val="16"/>
          <w:color w:val="auto"/>
        </w:rPr>
      </w:pPr>
    </w:p>
    <w:p>
      <w:pPr>
        <w:ind w:left="-20" w:right="100" w:firstLine="1304"/>
        <w:spacing w:after="0" w:line="259" w:lineRule="auto"/>
        <w:tabs>
          <w:tab w:leader="none" w:pos="191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Placement Agents, their affiliates and their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Agents hereunder pursuant the indemnification provisions set forth in the Engagement Letters.</w:t>
      </w:r>
    </w:p>
    <w:p>
      <w:pPr>
        <w:spacing w:after="0" w:line="92" w:lineRule="exact"/>
        <w:rPr>
          <w:rFonts w:ascii="Arial" w:cs="Arial" w:eastAsia="Arial" w:hAnsi="Arial"/>
          <w:sz w:val="16"/>
          <w:szCs w:val="16"/>
          <w:color w:val="auto"/>
        </w:rPr>
      </w:pPr>
    </w:p>
    <w:p>
      <w:pPr>
        <w:ind w:left="-20" w:right="40" w:firstLine="1304"/>
        <w:spacing w:after="0" w:line="232" w:lineRule="auto"/>
        <w:tabs>
          <w:tab w:leader="none" w:pos="191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14" w:lineRule="exact"/>
        <w:rPr>
          <w:rFonts w:ascii="Arial" w:cs="Arial" w:eastAsia="Arial" w:hAnsi="Arial"/>
          <w:sz w:val="16"/>
          <w:szCs w:val="16"/>
          <w:color w:val="auto"/>
        </w:rPr>
      </w:pPr>
    </w:p>
    <w:p>
      <w:pPr>
        <w:ind w:left="-20" w:firstLine="1304"/>
        <w:spacing w:after="0" w:line="234" w:lineRule="auto"/>
        <w:tabs>
          <w:tab w:leader="none" w:pos="191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20"/>
          </w:cols>
          <w:pgMar w:left="340" w:top="1440" w:right="339" w:bottom="1440" w:gutter="0" w:footer="0" w:header="0"/>
        </w:sectPr>
      </w:pPr>
    </w:p>
    <w:bookmarkStart w:id="493" w:name="page494"/>
    <w:bookmarkEnd w:id="493"/>
    <w:p>
      <w:pPr>
        <w:spacing w:after="0" w:line="130"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color w:val="auto"/>
        </w:rPr>
        <w:t>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08" w:lineRule="exact"/>
        <w:rPr>
          <w:sz w:val="20"/>
          <w:szCs w:val="20"/>
          <w:color w:val="auto"/>
        </w:rPr>
      </w:pPr>
    </w:p>
    <w:p>
      <w:pPr>
        <w:ind w:firstLine="1304"/>
        <w:spacing w:after="0" w:line="239" w:lineRule="auto"/>
        <w:tabs>
          <w:tab w:leader="none" w:pos="1938"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07" w:lineRule="exact"/>
        <w:rPr>
          <w:rFonts w:ascii="Arial" w:cs="Arial" w:eastAsia="Arial" w:hAnsi="Arial"/>
          <w:sz w:val="16"/>
          <w:szCs w:val="16"/>
          <w:color w:val="auto"/>
        </w:rPr>
      </w:pPr>
    </w:p>
    <w:p>
      <w:pPr>
        <w:ind w:right="80" w:firstLine="1304"/>
        <w:spacing w:after="0" w:line="216" w:lineRule="auto"/>
        <w:tabs>
          <w:tab w:leader="none" w:pos="193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08" w:lineRule="exact"/>
        <w:rPr>
          <w:rFonts w:ascii="Arial" w:cs="Arial" w:eastAsia="Arial" w:hAnsi="Arial"/>
          <w:sz w:val="18"/>
          <w:szCs w:val="18"/>
          <w:color w:val="auto"/>
        </w:rPr>
      </w:pPr>
    </w:p>
    <w:p>
      <w:pPr>
        <w:ind w:right="80" w:firstLine="1304"/>
        <w:spacing w:after="0" w:line="221" w:lineRule="auto"/>
        <w:tabs>
          <w:tab w:leader="none" w:pos="1938"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This Subscription Agreement may only be enforced against, and a claim or cause of action based upon, arising out of, or related to this Subscription Agreement may only be brought by the expressly named party hereto and then only with respect to the specific obligations set forth herein with respect to such party. Except to the extent a named party, no present, former or future Affiliate, officer, director, employee, incorporator, member, partner, stockholder, agent, attorney or other Representative of any party or their Affiliates shall have any Liability (whether in contract, in tort or otherwise) for any obligations or Liabilities of any party which is not otherwise expressly identified as a party, and no recourse shall be brought or granted against any of them, by virtue of or based upon any alleged misrepresentation or inaccuracy in or breach of any of the representations, warranties, agreements or covenants of any party under this Subscription Agreement for any claim based upon, in respect of, or by reason of, the transactions contemplated by this Subscription Agreement or in respect of any representations made or alleged to have been made in connection therewith. The provisions of this Section 9(x) are intended to be for the benefit of, and enforceable by the Affiliates, officers, directors, employees, incorporators, members, partners, stockholders, agents, attorneys and other Representatives referenced in this Section 9(x) and each such Person shall be a third-party beneficiary of this Section 9(x).</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20"/>
          </w:cols>
          <w:pgMar w:left="320" w:top="1440" w:right="359" w:bottom="1440" w:gutter="0" w:footer="0" w:header="0"/>
        </w:sectPr>
      </w:pPr>
    </w:p>
    <w:bookmarkStart w:id="494" w:name="page495"/>
    <w:bookmarkEnd w:id="494"/>
    <w:p>
      <w:pPr>
        <w:spacing w:after="0" w:line="13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0"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Sema4 Holdings Corp.</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1905</wp:posOffset>
            </wp:positionV>
            <wp:extent cx="342900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0"/>
          <w:szCs w:val="20"/>
          <w:color w:val="auto"/>
        </w:rPr>
        <w:t>Name:</w:t>
      </w:r>
    </w:p>
    <w:p>
      <w:pPr>
        <w:spacing w:after="0" w:line="262"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Title: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2022</w:t>
      </w:r>
    </w:p>
    <w:p>
      <w:pPr>
        <w:sectPr>
          <w:pgSz w:w="11900" w:h="16838" w:orient="portrait"/>
          <w:cols w:equalWidth="0" w:num="1">
            <w:col w:w="10880"/>
          </w:cols>
          <w:pgMar w:left="32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1">
            <w:col w:w="10880"/>
          </w:cols>
          <w:pgMar w:left="320" w:top="1440" w:right="699" w:bottom="1440" w:gutter="0" w:footer="0" w:header="0"/>
          <w:type w:val="continuous"/>
        </w:sectPr>
      </w:pPr>
    </w:p>
    <w:bookmarkStart w:id="495" w:name="page496"/>
    <w:bookmarkEnd w:id="495"/>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SUBSCRIBER: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Subscriber: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203" w:lineRule="auto"/>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 of Subscriber: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ind w:right="1200"/>
        <w:spacing w:after="0" w:line="254" w:lineRule="auto"/>
        <w:rPr>
          <w:sz w:val="20"/>
          <w:szCs w:val="20"/>
          <w:color w:val="auto"/>
        </w:rPr>
      </w:pPr>
      <w:r>
        <w:rPr>
          <w:rFonts w:ascii="Arial" w:cs="Arial" w:eastAsia="Arial" w:hAnsi="Arial"/>
          <w:sz w:val="16"/>
          <w:szCs w:val="16"/>
          <w:color w:val="auto"/>
        </w:rPr>
        <w:t>(Please print. Please indicate name and capacity of person signing above)</w:t>
      </w:r>
    </w:p>
    <w:p>
      <w:pPr>
        <w:spacing w:after="0" w:line="221" w:lineRule="auto"/>
        <w:rPr>
          <w:sz w:val="20"/>
          <w:szCs w:val="20"/>
          <w:color w:val="auto"/>
        </w:rPr>
      </w:pPr>
      <w:r>
        <w:rPr>
          <w:rFonts w:ascii="Arial" w:cs="Arial" w:eastAsia="Arial" w:hAnsi="Arial"/>
          <w:sz w:val="18"/>
          <w:szCs w:val="18"/>
          <w:color w:val="auto"/>
        </w:rPr>
        <w:t>___________________________________</w:t>
      </w:r>
    </w:p>
    <w:p>
      <w:pPr>
        <w:ind w:right="780"/>
        <w:spacing w:after="0" w:line="226" w:lineRule="auto"/>
        <w:rPr>
          <w:sz w:val="20"/>
          <w:szCs w:val="20"/>
          <w:color w:val="auto"/>
        </w:rPr>
      </w:pPr>
      <w:r>
        <w:rPr>
          <w:rFonts w:ascii="Arial" w:cs="Arial" w:eastAsia="Arial" w:hAnsi="Arial"/>
          <w:sz w:val="18"/>
          <w:szCs w:val="18"/>
          <w:color w:val="auto"/>
        </w:rPr>
        <w:t>Name in which securities are to be registered (if different)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there are joint investors, please check one:</w:t>
      </w:r>
    </w:p>
    <w:p>
      <w:pPr>
        <w:spacing w:after="0" w:line="239" w:lineRule="exact"/>
        <w:rPr>
          <w:sz w:val="20"/>
          <w:szCs w:val="20"/>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238" w:lineRule="exact"/>
        <w:rPr>
          <w:rFonts w:ascii="MS PGothic" w:cs="MS PGothic" w:eastAsia="MS PGothic" w:hAnsi="MS PGothic"/>
          <w:sz w:val="18"/>
          <w:szCs w:val="18"/>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238" w:lineRule="exact"/>
        <w:rPr>
          <w:rFonts w:ascii="MS PGothic" w:cs="MS PGothic" w:eastAsia="MS PGothic" w:hAnsi="MS PGothic"/>
          <w:sz w:val="18"/>
          <w:szCs w:val="18"/>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Subscriber’s EIN: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8"/>
          <w:szCs w:val="18"/>
          <w:color w:val="auto"/>
        </w:rPr>
        <w:t>City, State, Zip: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Telephone No.: ___________________</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Facsimile No.: ____________________</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Acquired Shares subscribed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 of Joint Subscriber, if applicable: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By: ___________________________________</w:t>
      </w:r>
    </w:p>
    <w:p>
      <w:pPr>
        <w:ind w:left="880"/>
        <w:spacing w:after="0" w:line="211" w:lineRule="auto"/>
        <w:rPr>
          <w:sz w:val="20"/>
          <w:szCs w:val="20"/>
          <w:color w:val="auto"/>
        </w:rPr>
      </w:pPr>
      <w:r>
        <w:rPr>
          <w:rFonts w:ascii="Arial" w:cs="Arial" w:eastAsia="Arial" w:hAnsi="Arial"/>
          <w:sz w:val="18"/>
          <w:szCs w:val="18"/>
          <w:color w:val="auto"/>
        </w:rPr>
        <w:t>Name:</w:t>
      </w:r>
    </w:p>
    <w:p>
      <w:pPr>
        <w:ind w:left="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of Joint Subscriber, if applicable:</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ind w:left="880"/>
        <w:spacing w:after="0" w:line="203" w:lineRule="auto"/>
        <w:rPr>
          <w:sz w:val="20"/>
          <w:szCs w:val="20"/>
          <w:color w:val="auto"/>
        </w:rPr>
      </w:pPr>
      <w:r>
        <w:rPr>
          <w:rFonts w:ascii="Arial" w:cs="Arial" w:eastAsia="Arial" w:hAnsi="Arial"/>
          <w:sz w:val="18"/>
          <w:szCs w:val="18"/>
          <w:color w:val="auto"/>
        </w:rPr>
        <w:t>(Please print. Please indicate name and</w:t>
      </w:r>
    </w:p>
    <w:p>
      <w:pPr>
        <w:ind w:left="880"/>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Joint Subscriber’s EIN:</w:t>
      </w:r>
    </w:p>
    <w:p>
      <w:pPr>
        <w:ind w:left="880"/>
        <w:spacing w:after="0"/>
        <w:rPr>
          <w:sz w:val="20"/>
          <w:szCs w:val="20"/>
          <w:color w:val="auto"/>
        </w:rPr>
      </w:pPr>
      <w:r>
        <w:rPr>
          <w:rFonts w:ascii="Arial" w:cs="Arial" w:eastAsia="Arial" w:hAnsi="Arial"/>
          <w:sz w:val="18"/>
          <w:szCs w:val="18"/>
          <w:color w:val="auto"/>
        </w:rPr>
        <w:t>________________________________</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Mailing Address-Street (if different):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ind w:left="880"/>
        <w:spacing w:after="0"/>
        <w:rPr>
          <w:sz w:val="20"/>
          <w:szCs w:val="20"/>
          <w:color w:val="auto"/>
        </w:rPr>
      </w:pPr>
      <w:r>
        <w:rPr>
          <w:rFonts w:ascii="Arial" w:cs="Arial" w:eastAsia="Arial" w:hAnsi="Arial"/>
          <w:sz w:val="18"/>
          <w:szCs w:val="18"/>
          <w:color w:val="auto"/>
        </w:rPr>
        <w:t>City, State, Zip:</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No.: ___________________</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65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65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2">
            <w:col w:w="4020" w:space="720"/>
            <w:col w:w="5379"/>
          </w:cols>
          <w:pgMar w:left="340" w:top="1440" w:right="1440" w:bottom="1440" w:gutter="0" w:footer="0" w:header="0"/>
        </w:sectPr>
      </w:pPr>
    </w:p>
    <w:bookmarkStart w:id="496" w:name="page497"/>
    <w:bookmarkEnd w:id="496"/>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Number of Acquired Shares subscribed for and aggregate Purchase Price accepted and agreed to as of this 14th day of January, 2022, 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288925</wp:posOffset>
            </wp:positionV>
            <wp:extent cx="23571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20"/>
          </w:cols>
          <w:pgMar w:left="3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1">
            <w:col w:w="10720"/>
          </w:cols>
          <w:pgMar w:left="320" w:top="1440" w:right="859" w:bottom="1440" w:gutter="0" w:footer="0" w:header="0"/>
          <w:type w:val="continuous"/>
        </w:sectPr>
      </w:pPr>
    </w:p>
    <w:bookmarkStart w:id="497" w:name="page498"/>
    <w:bookmarkEnd w:id="497"/>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197" w:lineRule="exact"/>
        <w:rPr>
          <w:sz w:val="20"/>
          <w:szCs w:val="20"/>
          <w:color w:val="auto"/>
        </w:rPr>
      </w:pPr>
    </w:p>
    <w:p>
      <w:pPr>
        <w:ind w:left="480" w:right="6940" w:hanging="454"/>
        <w:spacing w:after="0" w:line="258" w:lineRule="auto"/>
        <w:tabs>
          <w:tab w:leader="none" w:pos="48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8" w:lineRule="exact"/>
        <w:rPr>
          <w:rFonts w:ascii="Arial" w:cs="Arial" w:eastAsia="Arial" w:hAnsi="Arial"/>
          <w:sz w:val="17"/>
          <w:szCs w:val="17"/>
          <w:color w:val="auto"/>
        </w:rPr>
      </w:pPr>
    </w:p>
    <w:p>
      <w:pPr>
        <w:ind w:left="940" w:hanging="469"/>
        <w:spacing w:after="0" w:line="207" w:lineRule="exact"/>
        <w:tabs>
          <w:tab w:leader="none" w:pos="940" w:val="left"/>
        </w:tabs>
        <w:numPr>
          <w:ilvl w:val="1"/>
          <w:numId w:val="3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38" w:lineRule="exact"/>
        <w:rPr>
          <w:rFonts w:ascii="Arial" w:cs="Arial" w:eastAsia="Arial" w:hAnsi="Arial"/>
          <w:sz w:val="18"/>
          <w:szCs w:val="18"/>
          <w:color w:val="auto"/>
        </w:rPr>
      </w:pPr>
    </w:p>
    <w:p>
      <w:pPr>
        <w:ind w:left="940" w:right="80" w:hanging="469"/>
        <w:spacing w:after="0" w:line="220" w:lineRule="exact"/>
        <w:tabs>
          <w:tab w:leader="none" w:pos="940" w:val="left"/>
        </w:tabs>
        <w:numPr>
          <w:ilvl w:val="1"/>
          <w:numId w:val="3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12" w:lineRule="exact"/>
        <w:rPr>
          <w:sz w:val="20"/>
          <w:szCs w:val="20"/>
          <w:color w:val="auto"/>
        </w:rPr>
      </w:pPr>
    </w:p>
    <w:p>
      <w:pPr>
        <w:ind w:left="480" w:right="6500" w:hanging="454"/>
        <w:spacing w:after="0" w:line="258" w:lineRule="auto"/>
        <w:tabs>
          <w:tab w:leader="none" w:pos="4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8" w:lineRule="exact"/>
        <w:rPr>
          <w:rFonts w:ascii="Arial" w:cs="Arial" w:eastAsia="Arial" w:hAnsi="Arial"/>
          <w:sz w:val="17"/>
          <w:szCs w:val="17"/>
          <w:color w:val="auto"/>
        </w:rPr>
      </w:pPr>
    </w:p>
    <w:p>
      <w:pPr>
        <w:jc w:val="both"/>
        <w:ind w:left="940" w:hanging="469"/>
        <w:spacing w:after="0" w:line="205" w:lineRule="exact"/>
        <w:tabs>
          <w:tab w:leader="none" w:pos="940" w:val="left"/>
        </w:tabs>
        <w:numPr>
          <w:ilvl w:val="1"/>
          <w:numId w:val="3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ind w:left="940" w:hanging="469"/>
        <w:spacing w:after="0" w:line="207" w:lineRule="exact"/>
        <w:tabs>
          <w:tab w:leader="none" w:pos="940" w:val="left"/>
        </w:tabs>
        <w:numPr>
          <w:ilvl w:val="1"/>
          <w:numId w:val="3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196" w:lineRule="exact"/>
        <w:rPr>
          <w:sz w:val="20"/>
          <w:szCs w:val="20"/>
          <w:color w:val="auto"/>
        </w:rPr>
      </w:pPr>
    </w:p>
    <w:p>
      <w:pPr>
        <w:ind w:left="480" w:hanging="454"/>
        <w:spacing w:after="0"/>
        <w:tabs>
          <w:tab w:leader="none" w:pos="4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AFFILIATE STATUS</w:t>
      </w:r>
    </w:p>
    <w:p>
      <w:pPr>
        <w:ind w:left="48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37" w:lineRule="exact"/>
        <w:rPr>
          <w:rFonts w:ascii="Arial" w:cs="Arial" w:eastAsia="Arial" w:hAnsi="Arial"/>
          <w:sz w:val="18"/>
          <w:szCs w:val="18"/>
          <w:color w:val="auto"/>
        </w:rPr>
      </w:pPr>
    </w:p>
    <w:p>
      <w:pPr>
        <w:ind w:left="940" w:hanging="469"/>
        <w:spacing w:after="0"/>
        <w:tabs>
          <w:tab w:leader="none" w:pos="94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38" w:lineRule="exact"/>
        <w:rPr>
          <w:rFonts w:ascii="MS PGothic" w:cs="MS PGothic" w:eastAsia="MS PGothic" w:hAnsi="MS PGothic"/>
          <w:sz w:val="18"/>
          <w:szCs w:val="18"/>
          <w:color w:val="auto"/>
        </w:rPr>
      </w:pPr>
    </w:p>
    <w:p>
      <w:pPr>
        <w:ind w:left="940" w:hanging="469"/>
        <w:spacing w:after="0"/>
        <w:tabs>
          <w:tab w:leader="none" w:pos="94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right="480" w:hanging="4"/>
        <w:spacing w:after="0" w:line="277" w:lineRule="auto"/>
        <w:tabs>
          <w:tab w:leader="none" w:pos="867"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1440" w:right="439" w:bottom="1440" w:gutter="0" w:footer="0" w:header="0"/>
        </w:sectPr>
      </w:pPr>
    </w:p>
    <w:bookmarkStart w:id="498" w:name="page499"/>
    <w:bookmarkEnd w:id="498"/>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right="12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6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right="66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right="98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ind w:left="660" w:right="60" w:hanging="4"/>
        <w:spacing w:after="0" w:line="259"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right="60" w:hanging="4"/>
        <w:spacing w:after="0" w:line="342" w:lineRule="auto"/>
        <w:tabs>
          <w:tab w:leader="none" w:pos="867"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99" w:name="page500"/>
    <w:bookmarkEnd w:id="499"/>
    <w:p>
      <w:pPr>
        <w:spacing w:after="0" w:line="143" w:lineRule="exact"/>
        <w:rPr>
          <w:sz w:val="20"/>
          <w:szCs w:val="20"/>
          <w:color w:val="auto"/>
        </w:rPr>
      </w:pPr>
    </w:p>
    <w:p>
      <w:pPr>
        <w:jc w:val="center"/>
        <w:ind w:right="59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59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right="180" w:hanging="4"/>
        <w:spacing w:after="0" w:line="277"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ind w:left="4" w:right="20" w:hanging="4"/>
        <w:spacing w:after="0" w:line="259"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ind w:left="4" w:right="260" w:hanging="4"/>
        <w:spacing w:after="0" w:line="263"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ind w:left="4" w:hanging="4"/>
        <w:spacing w:after="0" w:line="293" w:lineRule="auto"/>
        <w:tabs>
          <w:tab w:leader="none" w:pos="211" w:val="left"/>
        </w:tabs>
        <w:numPr>
          <w:ilvl w:val="0"/>
          <w:numId w:val="396"/>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1" w:val="left"/>
        </w:tabs>
        <w:numPr>
          <w:ilvl w:val="0"/>
          <w:numId w:val="396"/>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976" w:top="1440" w:right="379" w:bottom="1440" w:gutter="0" w:footer="0" w:header="0"/>
        </w:sectPr>
      </w:pPr>
    </w:p>
    <w:bookmarkStart w:id="500" w:name="page501"/>
    <w:bookmarkEnd w:id="500"/>
    <w:p>
      <w:pPr>
        <w:jc w:val="center"/>
        <w:ind w:right="19"/>
        <w:spacing w:after="0"/>
        <w:rPr>
          <w:sz w:val="20"/>
          <w:szCs w:val="20"/>
          <w:color w:val="auto"/>
        </w:rPr>
      </w:pPr>
      <w:r>
        <w:rPr>
          <w:rFonts w:ascii="Arial" w:cs="Arial" w:eastAsia="Arial" w:hAnsi="Arial"/>
          <w:sz w:val="18"/>
          <w:szCs w:val="18"/>
          <w:b w:val="1"/>
          <w:bCs w:val="1"/>
          <w:color w:val="auto"/>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17780</wp:posOffset>
            </wp:positionV>
            <wp:extent cx="6000750" cy="7766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0" cy="776668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501" w:name="page502"/>
    <w:bookmarkEnd w:id="5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603250</wp:posOffset>
            </wp:positionV>
            <wp:extent cx="6172200" cy="7980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spacing w:after="0" w:line="153" w:lineRule="exact"/>
        <w:rPr>
          <w:sz w:val="20"/>
          <w:szCs w:val="20"/>
          <w:color w:val="auto"/>
        </w:rPr>
      </w:pPr>
    </w:p>
    <w:p>
      <w:pPr>
        <w:ind w:left="10160"/>
        <w:spacing w:after="0"/>
        <w:rPr>
          <w:sz w:val="20"/>
          <w:szCs w:val="20"/>
          <w:color w:val="auto"/>
        </w:rPr>
      </w:pPr>
      <w:r>
        <w:rPr>
          <w:rFonts w:ascii="Arial" w:cs="Arial" w:eastAsia="Arial" w:hAnsi="Arial"/>
          <w:sz w:val="18"/>
          <w:szCs w:val="18"/>
          <w:b w:val="1"/>
          <w:bCs w:val="1"/>
          <w:color w:val="auto"/>
        </w:rPr>
        <w:t>EXHIBIT 107</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(Form Type)</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Sema4 Holdings Corp.</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 – Transaction Value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80" w:type="dxa"/>
            <w:vAlign w:val="bottom"/>
            <w:tcBorders>
              <w:top w:val="single" w:sz="8" w:color="auto"/>
              <w:left w:val="single" w:sz="8" w:color="auto"/>
              <w:right w:val="single" w:sz="8" w:color="auto"/>
            </w:tcBorders>
          </w:tcPr>
          <w:p>
            <w:pPr>
              <w:spacing w:after="0"/>
              <w:rPr>
                <w:sz w:val="18"/>
                <w:szCs w:val="18"/>
                <w:color w:val="auto"/>
              </w:rPr>
            </w:pPr>
          </w:p>
        </w:tc>
        <w:tc>
          <w:tcPr>
            <w:tcW w:w="3600" w:type="dxa"/>
            <w:vAlign w:val="bottom"/>
            <w:tcBorders>
              <w:top w:val="single" w:sz="8" w:color="auto"/>
              <w:right w:val="single" w:sz="8" w:color="auto"/>
            </w:tcBorders>
          </w:tcPr>
          <w:p>
            <w:pPr>
              <w:ind w:left="40"/>
              <w:spacing w:after="0" w:line="216" w:lineRule="exact"/>
              <w:rPr>
                <w:sz w:val="20"/>
                <w:szCs w:val="20"/>
                <w:color w:val="auto"/>
              </w:rPr>
            </w:pPr>
            <w:r>
              <w:rPr>
                <w:rFonts w:ascii="Arial" w:cs="Arial" w:eastAsia="Arial" w:hAnsi="Arial"/>
                <w:sz w:val="18"/>
                <w:szCs w:val="18"/>
                <w:b w:val="1"/>
                <w:bCs w:val="1"/>
                <w:color w:val="auto"/>
                <w:w w:val="90"/>
              </w:rPr>
              <w:t>Proposed Maximum Value of Transaction</w:t>
            </w:r>
            <w:r>
              <w:rPr>
                <w:rFonts w:ascii="Arial" w:cs="Arial" w:eastAsia="Arial" w:hAnsi="Arial"/>
                <w:sz w:val="23"/>
                <w:szCs w:val="23"/>
                <w:b w:val="1"/>
                <w:bCs w:val="1"/>
                <w:color w:val="auto"/>
                <w:w w:val="90"/>
                <w:vertAlign w:val="superscript"/>
              </w:rPr>
              <w:t>(1)(2)</w:t>
            </w:r>
          </w:p>
        </w:tc>
        <w:tc>
          <w:tcPr>
            <w:tcW w:w="1180" w:type="dxa"/>
            <w:vAlign w:val="bottom"/>
            <w:tcBorders>
              <w:top w:val="single" w:sz="8" w:color="auto"/>
              <w:right w:val="single" w:sz="8" w:color="auto"/>
            </w:tcBorders>
          </w:tcPr>
          <w:p>
            <w:pPr>
              <w:spacing w:after="0"/>
              <w:rPr>
                <w:sz w:val="18"/>
                <w:szCs w:val="18"/>
                <w:color w:val="auto"/>
              </w:rPr>
            </w:pPr>
          </w:p>
        </w:tc>
        <w:tc>
          <w:tcPr>
            <w:tcW w:w="23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180" w:type="dxa"/>
            <w:vAlign w:val="bottom"/>
            <w:tcBorders>
              <w:left w:val="single" w:sz="8" w:color="auto"/>
              <w:right w:val="single" w:sz="8" w:color="auto"/>
            </w:tcBorders>
          </w:tcPr>
          <w:p>
            <w:pPr>
              <w:spacing w:after="0"/>
              <w:rPr>
                <w:sz w:val="11"/>
                <w:szCs w:val="11"/>
                <w:color w:val="auto"/>
              </w:rPr>
            </w:pPr>
          </w:p>
        </w:tc>
        <w:tc>
          <w:tcPr>
            <w:tcW w:w="3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1"/>
              </w:rPr>
              <w:t>(3)</w:t>
            </w:r>
          </w:p>
        </w:tc>
        <w:tc>
          <w:tcPr>
            <w:tcW w:w="118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0"/>
              </w:rPr>
              <w:t>Fee Rate</w:t>
            </w:r>
          </w:p>
        </w:tc>
        <w:tc>
          <w:tcPr>
            <w:tcW w:w="2300" w:type="dxa"/>
            <w:vAlign w:val="bottom"/>
            <w:tcBorders>
              <w:right w:val="single" w:sz="8" w:color="auto"/>
            </w:tcBorders>
            <w:vMerge w:val="restart"/>
          </w:tcPr>
          <w:p>
            <w:pPr>
              <w:ind w:left="80"/>
              <w:spacing w:after="0" w:line="189" w:lineRule="exact"/>
              <w:rPr>
                <w:sz w:val="20"/>
                <w:szCs w:val="20"/>
                <w:color w:val="auto"/>
              </w:rPr>
            </w:pPr>
            <w:r>
              <w:rPr>
                <w:rFonts w:ascii="Arial" w:cs="Arial" w:eastAsia="Arial" w:hAnsi="Arial"/>
                <w:sz w:val="18"/>
                <w:szCs w:val="18"/>
                <w:b w:val="1"/>
                <w:bCs w:val="1"/>
                <w:color w:val="auto"/>
                <w:w w:val="92"/>
              </w:rPr>
              <w:t>Amount of Registration Fee</w:t>
            </w:r>
          </w:p>
        </w:tc>
        <w:tc>
          <w:tcPr>
            <w:tcW w:w="0" w:type="dxa"/>
            <w:vAlign w:val="bottom"/>
          </w:tcPr>
          <w:p>
            <w:pPr>
              <w:spacing w:after="0"/>
              <w:rPr>
                <w:sz w:val="1"/>
                <w:szCs w:val="1"/>
                <w:color w:val="auto"/>
              </w:rPr>
            </w:pPr>
          </w:p>
        </w:tc>
      </w:tr>
      <w:tr>
        <w:trPr>
          <w:trHeight w:val="54"/>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vMerge w:val="continue"/>
          </w:tcPr>
          <w:p>
            <w:pPr>
              <w:spacing w:after="0"/>
              <w:rPr>
                <w:sz w:val="4"/>
                <w:szCs w:val="4"/>
                <w:color w:val="auto"/>
              </w:rPr>
            </w:pPr>
          </w:p>
        </w:tc>
        <w:tc>
          <w:tcPr>
            <w:tcW w:w="23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Fees to Be Paid</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240,000,000</w:t>
            </w:r>
          </w:p>
        </w:tc>
        <w:tc>
          <w:tcPr>
            <w:tcW w:w="11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0.0000927</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$22,248</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Fees Previously Paid</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Transaction Value</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240,000,000</w:t>
            </w: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Fees Due for Filing</w:t>
            </w:r>
          </w:p>
        </w:tc>
        <w:tc>
          <w:tcPr>
            <w:tcW w:w="3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Fees Previously Paid</w:t>
            </w:r>
          </w:p>
        </w:tc>
        <w:tc>
          <w:tcPr>
            <w:tcW w:w="3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Fee Offsets</w:t>
            </w:r>
          </w:p>
        </w:tc>
        <w:tc>
          <w:tcPr>
            <w:tcW w:w="3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Net Fee Due</w:t>
            </w:r>
          </w:p>
        </w:tc>
        <w:tc>
          <w:tcPr>
            <w:tcW w:w="3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$22,248</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32" w:lineRule="exact"/>
        <w:rPr>
          <w:sz w:val="20"/>
          <w:szCs w:val="20"/>
          <w:color w:val="auto"/>
        </w:rPr>
      </w:pPr>
    </w:p>
    <w:p>
      <w:pPr>
        <w:ind w:left="320" w:hanging="312"/>
        <w:spacing w:after="0"/>
        <w:tabs>
          <w:tab w:leader="none" w:pos="320" w:val="left"/>
        </w:tabs>
        <w:numPr>
          <w:ilvl w:val="0"/>
          <w:numId w:val="397"/>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 Sema4 Class A common stock (“Class A common stock”)</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97"/>
        </w:numPr>
        <w:rPr>
          <w:rFonts w:ascii="Arial" w:cs="Arial" w:eastAsia="Arial" w:hAnsi="Arial"/>
          <w:sz w:val="14"/>
          <w:szCs w:val="14"/>
          <w:color w:val="auto"/>
        </w:rPr>
      </w:pPr>
      <w:r>
        <w:rPr>
          <w:rFonts w:ascii="Arial" w:cs="Arial" w:eastAsia="Arial" w:hAnsi="Arial"/>
          <w:sz w:val="14"/>
          <w:szCs w:val="14"/>
          <w:color w:val="auto"/>
        </w:rPr>
        <w:t>Aggregate number of securities to which the transaction applies: 80 million shares of Class A common stock.</w:t>
      </w:r>
    </w:p>
    <w:p>
      <w:pPr>
        <w:spacing w:after="0" w:line="28" w:lineRule="exact"/>
        <w:rPr>
          <w:rFonts w:ascii="Arial" w:cs="Arial" w:eastAsia="Arial" w:hAnsi="Arial"/>
          <w:sz w:val="14"/>
          <w:szCs w:val="14"/>
          <w:color w:val="auto"/>
        </w:rPr>
      </w:pPr>
    </w:p>
    <w:p>
      <w:pPr>
        <w:ind w:left="340" w:right="20" w:hanging="332"/>
        <w:spacing w:after="0" w:line="281" w:lineRule="auto"/>
        <w:tabs>
          <w:tab w:leader="none" w:pos="332" w:val="left"/>
        </w:tabs>
        <w:numPr>
          <w:ilvl w:val="0"/>
          <w:numId w:val="397"/>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4"/>
          <w:szCs w:val="14"/>
          <w:color w:val="auto"/>
        </w:rPr>
      </w:pPr>
    </w:p>
    <w:p>
      <w:pPr>
        <w:ind w:left="340" w:right="60"/>
        <w:spacing w:after="0" w:line="297" w:lineRule="auto"/>
        <w:rPr>
          <w:rFonts w:ascii="Arial" w:cs="Arial" w:eastAsia="Arial" w:hAnsi="Arial"/>
          <w:sz w:val="14"/>
          <w:szCs w:val="14"/>
          <w:color w:val="auto"/>
        </w:rPr>
      </w:pPr>
      <w:r>
        <w:rPr>
          <w:rFonts w:ascii="Arial" w:cs="Arial" w:eastAsia="Arial" w:hAnsi="Arial"/>
          <w:sz w:val="14"/>
          <w:szCs w:val="14"/>
          <w:color w:val="auto"/>
        </w:rPr>
        <w:t>The proposed maximum aggregate value of the transaction for purposes of calculating the filing fee is $240,000,000 (the “Total Transaction Value”). Solely for the purposes of calculating the filing fee, the Total Transaction Value was based upon on the product of: (A) 80,000,000; and (B) $3.00, the average of the high and low sales prices of Class A common stock as quoted on the Nasdaq Global Select Market on March 10, 2022. The filing fee equals the product of .0000927 multiplied by the Total Transaction Value.</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F37E85"/>
    <w:multiLevelType w:val="hybridMultilevel"/>
    <w:lvl w:ilvl="0">
      <w:lvlJc w:val="left"/>
      <w:lvlText w:val="☒"/>
      <w:numFmt w:val="bullet"/>
      <w:start w:val="1"/>
    </w:lvl>
  </w:abstractNum>
  <w:abstractNum w:abstractNumId="1">
    <w:nsid w:val="5895F5FA"/>
    <w:multiLevelType w:val="hybridMultilevel"/>
    <w:lvl w:ilvl="0">
      <w:lvlJc w:val="left"/>
      <w:lvlText w:val="☐"/>
      <w:numFmt w:val="bullet"/>
      <w:start w:val="1"/>
    </w:lvl>
  </w:abstractNum>
  <w:abstractNum w:abstractNumId="2">
    <w:nsid w:val="38A5D054"/>
    <w:multiLevelType w:val="hybridMultilevel"/>
    <w:lvl w:ilvl="0">
      <w:lvlJc w:val="left"/>
      <w:lvlText w:val="☐"/>
      <w:numFmt w:val="bullet"/>
      <w:start w:val="1"/>
    </w:lvl>
  </w:abstractNum>
  <w:abstractNum w:abstractNumId="3">
    <w:nsid w:val="F3F09D8"/>
    <w:multiLevelType w:val="hybridMultilevel"/>
    <w:lvl w:ilvl="0">
      <w:lvlJc w:val="left"/>
      <w:lvlText w:val="☒"/>
      <w:numFmt w:val="bullet"/>
      <w:start w:val="1"/>
    </w:lvl>
  </w:abstractNum>
  <w:abstractNum w:abstractNumId="4">
    <w:nsid w:val="4B793735"/>
    <w:multiLevelType w:val="hybridMultilevel"/>
    <w:lvl w:ilvl="0">
      <w:lvlJc w:val="left"/>
      <w:lvlText w:val="["/>
      <w:numFmt w:val="bullet"/>
      <w:start w:val="1"/>
    </w:lvl>
  </w:abstractNum>
  <w:abstractNum w:abstractNumId="5">
    <w:nsid w:val="4A10B4E8"/>
    <w:multiLevelType w:val="hybridMultilevel"/>
    <w:lvl w:ilvl="0">
      <w:lvlJc w:val="left"/>
      <w:lvlText w:val="%1."/>
      <w:numFmt w:val="decimal"/>
      <w:start w:val="1"/>
    </w:lvl>
  </w:abstractNum>
  <w:abstractNum w:abstractNumId="6">
    <w:nsid w:val="43D3BCD4"/>
    <w:multiLevelType w:val="hybridMultilevel"/>
    <w:lvl w:ilvl="0">
      <w:lvlJc w:val="left"/>
      <w:lvlText w:val="%1."/>
      <w:numFmt w:val="decimal"/>
      <w:start w:val="7"/>
    </w:lvl>
  </w:abstractNum>
  <w:abstractNum w:abstractNumId="7">
    <w:nsid w:val="4C2A7166"/>
    <w:multiLevelType w:val="hybridMultilevel"/>
    <w:lvl w:ilvl="0">
      <w:lvlJc w:val="left"/>
      <w:lvlText w:val="["/>
      <w:numFmt w:val="bullet"/>
      <w:start w:val="1"/>
    </w:lvl>
  </w:abstractNum>
  <w:abstractNum w:abstractNumId="8">
    <w:nsid w:val="2E534A82"/>
    <w:multiLevelType w:val="hybridMultilevel"/>
    <w:lvl w:ilvl="0">
      <w:lvlJc w:val="left"/>
      <w:lvlText w:val="["/>
      <w:numFmt w:val="bullet"/>
      <w:start w:val="1"/>
    </w:lvl>
  </w:abstractNum>
  <w:abstractNum w:abstractNumId="9">
    <w:nsid w:val="26F2D364"/>
    <w:multiLevelType w:val="hybridMultilevel"/>
    <w:lvl w:ilvl="0">
      <w:lvlJc w:val="left"/>
      <w:lvlText w:val="•"/>
      <w:numFmt w:val="bullet"/>
      <w:start w:val="1"/>
    </w:lvl>
  </w:abstractNum>
  <w:abstractNum w:abstractNumId="10">
    <w:nsid w:val="71C1AF98"/>
    <w:multiLevelType w:val="hybridMultilevel"/>
    <w:lvl w:ilvl="0">
      <w:lvlJc w:val="left"/>
      <w:lvlText w:val="•"/>
      <w:numFmt w:val="bullet"/>
      <w:start w:val="1"/>
    </w:lvl>
  </w:abstractNum>
  <w:abstractNum w:abstractNumId="11">
    <w:nsid w:val="3D00B9D9"/>
    <w:multiLevelType w:val="hybridMultilevel"/>
    <w:lvl w:ilvl="0">
      <w:lvlJc w:val="left"/>
      <w:lvlText w:val="•"/>
      <w:numFmt w:val="bullet"/>
      <w:start w:val="1"/>
    </w:lvl>
    <w:lvl w:ilvl="1">
      <w:lvlJc w:val="left"/>
      <w:lvlText w:val="◦"/>
      <w:numFmt w:val="bullet"/>
      <w:start w:val="1"/>
    </w:lvl>
  </w:abstractNum>
  <w:abstractNum w:abstractNumId="12">
    <w:nsid w:val="15BCABA8"/>
    <w:multiLevelType w:val="hybridMultilevel"/>
    <w:lvl w:ilvl="0">
      <w:lvlJc w:val="left"/>
      <w:lvlText w:val="•"/>
      <w:numFmt w:val="bullet"/>
      <w:start w:val="1"/>
    </w:lvl>
  </w:abstractNum>
  <w:abstractNum w:abstractNumId="13">
    <w:nsid w:val="4E0B9A87"/>
    <w:multiLevelType w:val="hybridMultilevel"/>
    <w:lvl w:ilvl="0">
      <w:lvlJc w:val="left"/>
      <w:lvlText w:val="%1."/>
      <w:numFmt w:val="decimal"/>
      <w:start w:val="1"/>
    </w:lvl>
  </w:abstractNum>
  <w:abstractNum w:abstractNumId="14">
    <w:nsid w:val="434BAE75"/>
    <w:multiLevelType w:val="hybridMultilevel"/>
    <w:lvl w:ilvl="0">
      <w:lvlJc w:val="left"/>
      <w:lvlText w:val="%1:"/>
      <w:numFmt w:val="upperLetter"/>
      <w:start w:val="1"/>
    </w:lvl>
  </w:abstractNum>
  <w:abstractNum w:abstractNumId="15">
    <w:nsid w:val="4F38F265"/>
    <w:multiLevelType w:val="hybridMultilevel"/>
    <w:lvl w:ilvl="0">
      <w:lvlJc w:val="left"/>
      <w:lvlText w:val="%1:"/>
      <w:numFmt w:val="upperLetter"/>
      <w:start w:val="1"/>
    </w:lvl>
  </w:abstractNum>
  <w:abstractNum w:abstractNumId="16">
    <w:nsid w:val="4C502870"/>
    <w:multiLevelType w:val="hybridMultilevel"/>
    <w:lvl w:ilvl="0">
      <w:lvlJc w:val="left"/>
      <w:lvlText w:val="%1:"/>
      <w:numFmt w:val="upperLetter"/>
      <w:start w:val="1"/>
    </w:lvl>
  </w:abstractNum>
  <w:abstractNum w:abstractNumId="17">
    <w:nsid w:val="1DE8725A"/>
    <w:multiLevelType w:val="hybridMultilevel"/>
    <w:lvl w:ilvl="0">
      <w:lvlJc w:val="left"/>
      <w:lvlText w:val="%1:"/>
      <w:numFmt w:val="upperLetter"/>
      <w:start w:val="1"/>
    </w:lvl>
  </w:abstractNum>
  <w:abstractNum w:abstractNumId="18">
    <w:nsid w:val="6A37288A"/>
    <w:multiLevelType w:val="hybridMultilevel"/>
    <w:lvl w:ilvl="0">
      <w:lvlJc w:val="left"/>
      <w:lvlText w:val="%1:"/>
      <w:numFmt w:val="upperLetter"/>
      <w:start w:val="17"/>
    </w:lvl>
  </w:abstractNum>
  <w:abstractNum w:abstractNumId="19">
    <w:nsid w:val="8F8B73F"/>
    <w:multiLevelType w:val="hybridMultilevel"/>
    <w:lvl w:ilvl="0">
      <w:lvlJc w:val="left"/>
      <w:lvlText w:val="%1:"/>
      <w:numFmt w:val="upperLetter"/>
      <w:start w:val="1"/>
    </w:lvl>
  </w:abstractNum>
  <w:abstractNum w:abstractNumId="20">
    <w:nsid w:val="CA6B462"/>
    <w:multiLevelType w:val="hybridMultilevel"/>
    <w:lvl w:ilvl="0">
      <w:lvlJc w:val="left"/>
      <w:lvlText w:val="%1:"/>
      <w:numFmt w:val="upperLetter"/>
      <w:start w:val="1"/>
    </w:lvl>
  </w:abstractNum>
  <w:abstractNum w:abstractNumId="21">
    <w:nsid w:val="763CB680"/>
    <w:multiLevelType w:val="hybridMultilevel"/>
    <w:lvl w:ilvl="0">
      <w:lvlJc w:val="left"/>
      <w:lvlText w:val="%1:"/>
      <w:numFmt w:val="upperLetter"/>
      <w:start w:val="1"/>
    </w:lvl>
  </w:abstractNum>
  <w:abstractNum w:abstractNumId="22">
    <w:nsid w:val="15B71329"/>
    <w:multiLevelType w:val="hybridMultilevel"/>
    <w:lvl w:ilvl="0">
      <w:lvlJc w:val="left"/>
      <w:lvlText w:val="%1:"/>
      <w:numFmt w:val="upperLetter"/>
      <w:start w:val="1"/>
    </w:lvl>
  </w:abstractNum>
  <w:abstractNum w:abstractNumId="23">
    <w:nsid w:val="3DA97044"/>
    <w:multiLevelType w:val="hybridMultilevel"/>
    <w:lvl w:ilvl="0">
      <w:lvlJc w:val="left"/>
      <w:lvlText w:val="%1:"/>
      <w:numFmt w:val="upperLetter"/>
      <w:start w:val="1"/>
    </w:lvl>
  </w:abstractNum>
  <w:abstractNum w:abstractNumId="24">
    <w:nsid w:val="1CDCE2DE"/>
    <w:multiLevelType w:val="hybridMultilevel"/>
    <w:lvl w:ilvl="0">
      <w:lvlJc w:val="left"/>
      <w:lvlText w:val="%1:"/>
      <w:numFmt w:val="upperLetter"/>
      <w:start w:val="1"/>
    </w:lvl>
  </w:abstractNum>
  <w:abstractNum w:abstractNumId="25">
    <w:nsid w:val="69D3947C"/>
    <w:multiLevelType w:val="hybridMultilevel"/>
    <w:lvl w:ilvl="0">
      <w:lvlJc w:val="left"/>
      <w:lvlText w:val="%1:"/>
      <w:numFmt w:val="upperLetter"/>
      <w:start w:val="1"/>
    </w:lvl>
  </w:abstractNum>
  <w:abstractNum w:abstractNumId="26">
    <w:nsid w:val="2539DFA5"/>
    <w:multiLevelType w:val="hybridMultilevel"/>
    <w:lvl w:ilvl="0">
      <w:lvlJc w:val="left"/>
      <w:lvlText w:val="%1:"/>
      <w:numFmt w:val="upperLetter"/>
      <w:start w:val="1"/>
    </w:lvl>
  </w:abstractNum>
  <w:abstractNum w:abstractNumId="27">
    <w:nsid w:val="2DB88089"/>
    <w:multiLevelType w:val="hybridMultilevel"/>
    <w:lvl w:ilvl="0">
      <w:lvlJc w:val="left"/>
      <w:lvlText w:val="%1:"/>
      <w:numFmt w:val="upperLetter"/>
      <w:start w:val="1"/>
    </w:lvl>
  </w:abstractNum>
  <w:abstractNum w:abstractNumId="28">
    <w:nsid w:val="706B674E"/>
    <w:multiLevelType w:val="hybridMultilevel"/>
    <w:lvl w:ilvl="0">
      <w:lvlJc w:val="left"/>
      <w:lvlText w:val="%1:"/>
      <w:numFmt w:val="upperLetter"/>
      <w:start w:val="1"/>
    </w:lvl>
  </w:abstractNum>
  <w:abstractNum w:abstractNumId="29">
    <w:nsid w:val="2C106A57"/>
    <w:multiLevelType w:val="hybridMultilevel"/>
    <w:lvl w:ilvl="0">
      <w:lvlJc w:val="left"/>
      <w:lvlText w:val="%1:"/>
      <w:numFmt w:val="upperLetter"/>
      <w:start w:val="1"/>
    </w:lvl>
  </w:abstractNum>
  <w:abstractNum w:abstractNumId="30">
    <w:nsid w:val="684EED59"/>
    <w:multiLevelType w:val="hybridMultilevel"/>
    <w:lvl w:ilvl="0">
      <w:lvlJc w:val="left"/>
      <w:lvlText w:val="%1:"/>
      <w:numFmt w:val="upperLetter"/>
      <w:start w:val="1"/>
    </w:lvl>
  </w:abstractNum>
  <w:abstractNum w:abstractNumId="31">
    <w:nsid w:val="545EE5D3"/>
    <w:multiLevelType w:val="hybridMultilevel"/>
    <w:lvl w:ilvl="0">
      <w:lvlJc w:val="left"/>
      <w:lvlText w:val="%1:"/>
      <w:numFmt w:val="upperLetter"/>
      <w:start w:val="1"/>
    </w:lvl>
  </w:abstractNum>
  <w:abstractNum w:abstractNumId="32">
    <w:nsid w:val="4A66051"/>
    <w:multiLevelType w:val="hybridMultilevel"/>
    <w:lvl w:ilvl="0">
      <w:lvlJc w:val="left"/>
      <w:lvlText w:val="%1:"/>
      <w:numFmt w:val="upperLetter"/>
      <w:start w:val="1"/>
    </w:lvl>
  </w:abstractNum>
  <w:abstractNum w:abstractNumId="33">
    <w:nsid w:val="20F4BDAD"/>
    <w:multiLevelType w:val="hybridMultilevel"/>
    <w:lvl w:ilvl="0">
      <w:lvlJc w:val="left"/>
      <w:lvlText w:val="%1:"/>
      <w:numFmt w:val="upperLetter"/>
      <w:start w:val="1"/>
    </w:lvl>
  </w:abstractNum>
  <w:abstractNum w:abstractNumId="34">
    <w:nsid w:val="639DEFAC"/>
    <w:multiLevelType w:val="hybridMultilevel"/>
    <w:lvl w:ilvl="0">
      <w:lvlJc w:val="left"/>
      <w:lvlText w:val="•"/>
      <w:numFmt w:val="bullet"/>
      <w:start w:val="1"/>
    </w:lvl>
  </w:abstractNum>
  <w:abstractNum w:abstractNumId="35">
    <w:nsid w:val="501F9786"/>
    <w:multiLevelType w:val="hybridMultilevel"/>
    <w:lvl w:ilvl="0">
      <w:lvlJc w:val="left"/>
      <w:lvlText w:val="•"/>
      <w:numFmt w:val="bullet"/>
      <w:start w:val="1"/>
    </w:lvl>
  </w:abstractNum>
  <w:abstractNum w:abstractNumId="36">
    <w:nsid w:val="6B057295"/>
    <w:multiLevelType w:val="hybridMultilevel"/>
    <w:lvl w:ilvl="0">
      <w:lvlJc w:val="left"/>
      <w:lvlText w:val="%1:"/>
      <w:numFmt w:val="upperLetter"/>
      <w:start w:val="1"/>
    </w:lvl>
  </w:abstractNum>
  <w:abstractNum w:abstractNumId="37">
    <w:nsid w:val="2771AC80"/>
    <w:multiLevelType w:val="hybridMultilevel"/>
    <w:lvl w:ilvl="0">
      <w:lvlJc w:val="left"/>
      <w:lvlText w:val="%1:"/>
      <w:numFmt w:val="upperLetter"/>
      <w:start w:val="1"/>
    </w:lvl>
  </w:abstractNum>
  <w:abstractNum w:abstractNumId="38">
    <w:nsid w:val="1C4A08EC"/>
    <w:multiLevelType w:val="hybridMultilevel"/>
    <w:lvl w:ilvl="0">
      <w:lvlJc w:val="left"/>
      <w:lvlText w:val="%1:"/>
      <w:numFmt w:val="upperLetter"/>
      <w:start w:val="1"/>
    </w:lvl>
  </w:abstractNum>
  <w:abstractNum w:abstractNumId="39">
    <w:nsid w:val="1958BD17"/>
    <w:multiLevelType w:val="hybridMultilevel"/>
    <w:lvl w:ilvl="0">
      <w:lvlJc w:val="left"/>
      <w:lvlText w:val="%1:"/>
      <w:numFmt w:val="upperLetter"/>
      <w:start w:val="1"/>
    </w:lvl>
  </w:abstractNum>
  <w:abstractNum w:abstractNumId="40">
    <w:nsid w:val="4E647FE4"/>
    <w:multiLevelType w:val="hybridMultilevel"/>
    <w:lvl w:ilvl="0">
      <w:lvlJc w:val="left"/>
      <w:lvlText w:val="%1:"/>
      <w:numFmt w:val="upperLetter"/>
      <w:start w:val="1"/>
    </w:lvl>
  </w:abstractNum>
  <w:abstractNum w:abstractNumId="41">
    <w:nsid w:val="E0BB885"/>
    <w:multiLevelType w:val="hybridMultilevel"/>
    <w:lvl w:ilvl="0">
      <w:lvlJc w:val="left"/>
      <w:lvlText w:val="%1:"/>
      <w:numFmt w:val="upperLetter"/>
      <w:start w:val="1"/>
    </w:lvl>
  </w:abstractNum>
  <w:abstractNum w:abstractNumId="42">
    <w:nsid w:val="565976F1"/>
    <w:multiLevelType w:val="hybridMultilevel"/>
    <w:lvl w:ilvl="0">
      <w:lvlJc w:val="left"/>
      <w:lvlText w:val="%1:"/>
      <w:numFmt w:val="upperLetter"/>
      <w:start w:val="1"/>
    </w:lvl>
  </w:abstractNum>
  <w:abstractNum w:abstractNumId="43">
    <w:nsid w:val="64212B8C"/>
    <w:multiLevelType w:val="hybridMultilevel"/>
    <w:lvl w:ilvl="0">
      <w:lvlJc w:val="left"/>
      <w:lvlText w:val="•"/>
      <w:numFmt w:val="bullet"/>
      <w:start w:val="1"/>
    </w:lvl>
  </w:abstractNum>
  <w:abstractNum w:abstractNumId="44">
    <w:nsid w:val="5C17530C"/>
    <w:multiLevelType w:val="hybridMultilevel"/>
    <w:lvl w:ilvl="0">
      <w:lvlJc w:val="left"/>
      <w:lvlText w:val="•"/>
      <w:numFmt w:val="bullet"/>
      <w:start w:val="1"/>
    </w:lvl>
  </w:abstractNum>
  <w:abstractNum w:abstractNumId="45">
    <w:nsid w:val="19A52566"/>
    <w:multiLevelType w:val="hybridMultilevel"/>
    <w:lvl w:ilvl="0">
      <w:lvlJc w:val="left"/>
      <w:lvlText w:val="%1:"/>
      <w:numFmt w:val="upperLetter"/>
      <w:start w:val="1"/>
    </w:lvl>
  </w:abstractNum>
  <w:abstractNum w:abstractNumId="46">
    <w:nsid w:val="335A1DF1"/>
    <w:multiLevelType w:val="hybridMultilevel"/>
    <w:lvl w:ilvl="0">
      <w:lvlJc w:val="left"/>
      <w:lvlText w:val="%1:"/>
      <w:numFmt w:val="upperLetter"/>
      <w:start w:val="1"/>
    </w:lvl>
  </w:abstractNum>
  <w:abstractNum w:abstractNumId="47">
    <w:nsid w:val="28677B7C"/>
    <w:multiLevelType w:val="hybridMultilevel"/>
    <w:lvl w:ilvl="0">
      <w:lvlJc w:val="left"/>
      <w:lvlText w:val="%1:"/>
      <w:numFmt w:val="upperLetter"/>
      <w:start w:val="1"/>
    </w:lvl>
  </w:abstractNum>
  <w:abstractNum w:abstractNumId="48">
    <w:nsid w:val="378D97C0"/>
    <w:multiLevelType w:val="hybridMultilevel"/>
    <w:lvl w:ilvl="0">
      <w:lvlJc w:val="left"/>
      <w:lvlText w:val="%1:"/>
      <w:numFmt w:val="upperLetter"/>
      <w:start w:val="1"/>
    </w:lvl>
  </w:abstractNum>
  <w:abstractNum w:abstractNumId="49">
    <w:nsid w:val="1D91467C"/>
    <w:multiLevelType w:val="hybridMultilevel"/>
    <w:lvl w:ilvl="0">
      <w:lvlJc w:val="left"/>
      <w:lvlText w:val="%1:"/>
      <w:numFmt w:val="upperLetter"/>
      <w:start w:val="1"/>
    </w:lvl>
  </w:abstractNum>
  <w:abstractNum w:abstractNumId="50">
    <w:nsid w:val="316032BB"/>
    <w:multiLevelType w:val="hybridMultilevel"/>
    <w:lvl w:ilvl="0">
      <w:lvlJc w:val="left"/>
      <w:lvlText w:val="%1:"/>
      <w:numFmt w:val="upperLetter"/>
      <w:start w:val="1"/>
    </w:lvl>
  </w:abstractNum>
  <w:abstractNum w:abstractNumId="51">
    <w:nsid w:val="44344C22"/>
    <w:multiLevelType w:val="hybridMultilevel"/>
    <w:lvl w:ilvl="0">
      <w:lvlJc w:val="left"/>
      <w:lvlText w:val="•"/>
      <w:numFmt w:val="bullet"/>
      <w:start w:val="1"/>
    </w:lvl>
  </w:abstractNum>
  <w:abstractNum w:abstractNumId="52">
    <w:nsid w:val="13CDFCFC"/>
    <w:multiLevelType w:val="hybridMultilevel"/>
    <w:lvl w:ilvl="0">
      <w:lvlJc w:val="left"/>
      <w:lvlText w:val="•"/>
      <w:numFmt w:val="bullet"/>
      <w:start w:val="1"/>
    </w:lvl>
  </w:abstractNum>
  <w:abstractNum w:abstractNumId="53">
    <w:nsid w:val="471745E4"/>
    <w:multiLevelType w:val="hybridMultilevel"/>
    <w:lvl w:ilvl="0">
      <w:lvlJc w:val="left"/>
      <w:lvlText w:val="(%1)"/>
      <w:numFmt w:val="lowerRoman"/>
      <w:start w:val="3"/>
    </w:lvl>
  </w:abstractNum>
  <w:abstractNum w:abstractNumId="54">
    <w:nsid w:val="1DDBC66"/>
    <w:multiLevelType w:val="hybridMultilevel"/>
    <w:lvl w:ilvl="0">
      <w:lvlJc w:val="left"/>
      <w:lvlText w:val="(%1)"/>
      <w:numFmt w:val="decimal"/>
      <w:start w:val="1"/>
    </w:lvl>
  </w:abstractNum>
  <w:abstractNum w:abstractNumId="55">
    <w:nsid w:val="30AADFDA"/>
    <w:multiLevelType w:val="hybridMultilevel"/>
    <w:lvl w:ilvl="0">
      <w:lvlJc w:val="left"/>
      <w:lvlText w:val="•"/>
      <w:numFmt w:val="bullet"/>
      <w:start w:val="1"/>
    </w:lvl>
  </w:abstractNum>
  <w:abstractNum w:abstractNumId="56">
    <w:nsid w:val="30EADA61"/>
    <w:multiLevelType w:val="hybridMultilevel"/>
    <w:lvl w:ilvl="0">
      <w:lvlJc w:val="left"/>
      <w:lvlText w:val="•"/>
      <w:numFmt w:val="bullet"/>
      <w:start w:val="1"/>
    </w:lvl>
    <w:lvl w:ilvl="1">
      <w:lvlJc w:val="left"/>
      <w:lvlText w:val="◦"/>
      <w:numFmt w:val="bullet"/>
      <w:start w:val="1"/>
    </w:lvl>
  </w:abstractNum>
  <w:abstractNum w:abstractNumId="57">
    <w:nsid w:val="27179C0B"/>
    <w:multiLevelType w:val="hybridMultilevel"/>
    <w:lvl w:ilvl="0">
      <w:lvlJc w:val="left"/>
      <w:lvlText w:val="•"/>
      <w:numFmt w:val="bullet"/>
      <w:start w:val="1"/>
    </w:lvl>
  </w:abstractNum>
  <w:abstractNum w:abstractNumId="58">
    <w:nsid w:val="5E636063"/>
    <w:multiLevelType w:val="hybridMultilevel"/>
    <w:lvl w:ilvl="0">
      <w:lvlJc w:val="left"/>
      <w:lvlText w:val="•"/>
      <w:numFmt w:val="bullet"/>
      <w:start w:val="1"/>
    </w:lvl>
  </w:abstractNum>
  <w:abstractNum w:abstractNumId="59">
    <w:nsid w:val="215641AF"/>
    <w:multiLevelType w:val="hybridMultilevel"/>
    <w:lvl w:ilvl="0">
      <w:lvlJc w:val="left"/>
      <w:lvlText w:val="-"/>
      <w:numFmt w:val="bullet"/>
      <w:start w:val="1"/>
    </w:lvl>
  </w:abstractNum>
  <w:abstractNum w:abstractNumId="60">
    <w:nsid w:val="53280662"/>
    <w:multiLevelType w:val="hybridMultilevel"/>
    <w:lvl w:ilvl="0">
      <w:lvlJc w:val="left"/>
      <w:lvlText w:val="•"/>
      <w:numFmt w:val="bullet"/>
      <w:start w:val="1"/>
    </w:lvl>
    <w:lvl w:ilvl="1">
      <w:lvlJc w:val="left"/>
      <w:lvlText w:val="◦"/>
      <w:numFmt w:val="bullet"/>
      <w:start w:val="1"/>
    </w:lvl>
  </w:abstractNum>
  <w:abstractNum w:abstractNumId="61">
    <w:nsid w:val="46B24DBC"/>
    <w:multiLevelType w:val="hybridMultilevel"/>
    <w:lvl w:ilvl="0">
      <w:lvlJc w:val="left"/>
      <w:lvlText w:val="•"/>
      <w:numFmt w:val="bullet"/>
      <w:start w:val="1"/>
    </w:lvl>
  </w:abstractNum>
  <w:abstractNum w:abstractNumId="62">
    <w:nsid w:val="75B52783"/>
    <w:multiLevelType w:val="hybridMultilevel"/>
    <w:lvl w:ilvl="0">
      <w:lvlJc w:val="left"/>
      <w:lvlText w:val="•"/>
      <w:numFmt w:val="bullet"/>
      <w:start w:val="1"/>
    </w:lvl>
  </w:abstractNum>
  <w:abstractNum w:abstractNumId="63">
    <w:nsid w:val="57CE66B4"/>
    <w:multiLevelType w:val="hybridMultilevel"/>
    <w:lvl w:ilvl="0">
      <w:lvlJc w:val="left"/>
      <w:lvlText w:val="•"/>
      <w:numFmt w:val="bullet"/>
      <w:start w:val="1"/>
    </w:lvl>
  </w:abstractNum>
  <w:abstractNum w:abstractNumId="64">
    <w:nsid w:val="67A70B69"/>
    <w:multiLevelType w:val="hybridMultilevel"/>
    <w:lvl w:ilvl="0">
      <w:lvlJc w:val="left"/>
      <w:lvlText w:val="•"/>
      <w:numFmt w:val="bullet"/>
      <w:start w:val="1"/>
    </w:lvl>
  </w:abstractNum>
  <w:abstractNum w:abstractNumId="65">
    <w:nsid w:val="5953172F"/>
    <w:multiLevelType w:val="hybridMultilevel"/>
    <w:lvl w:ilvl="0">
      <w:lvlJc w:val="left"/>
      <w:lvlText w:val="•"/>
      <w:numFmt w:val="bullet"/>
      <w:start w:val="1"/>
    </w:lvl>
  </w:abstractNum>
  <w:abstractNum w:abstractNumId="66">
    <w:nsid w:val="27EDFE3A"/>
    <w:multiLevelType w:val="hybridMultilevel"/>
    <w:lvl w:ilvl="0">
      <w:lvlJc w:val="left"/>
      <w:lvlText w:val="•"/>
      <w:numFmt w:val="bullet"/>
      <w:start w:val="1"/>
    </w:lvl>
  </w:abstractNum>
  <w:abstractNum w:abstractNumId="67">
    <w:nsid w:val="52AC7DFF"/>
    <w:multiLevelType w:val="hybridMultilevel"/>
    <w:lvl w:ilvl="0">
      <w:lvlJc w:val="left"/>
      <w:lvlText w:val="•"/>
      <w:numFmt w:val="bullet"/>
      <w:start w:val="1"/>
    </w:lvl>
  </w:abstractNum>
  <w:abstractNum w:abstractNumId="68">
    <w:nsid w:val="C4C3AF"/>
    <w:multiLevelType w:val="hybridMultilevel"/>
    <w:lvl w:ilvl="0">
      <w:lvlJc w:val="left"/>
      <w:lvlText w:val="•"/>
      <w:numFmt w:val="bullet"/>
      <w:start w:val="1"/>
    </w:lvl>
  </w:abstractNum>
  <w:abstractNum w:abstractNumId="69">
    <w:nsid w:val="44380727"/>
    <w:multiLevelType w:val="hybridMultilevel"/>
    <w:lvl w:ilvl="0">
      <w:lvlJc w:val="left"/>
      <w:lvlText w:val="•"/>
      <w:numFmt w:val="bullet"/>
      <w:start w:val="1"/>
    </w:lvl>
  </w:abstractNum>
  <w:abstractNum w:abstractNumId="70">
    <w:nsid w:val="6C053B16"/>
    <w:multiLevelType w:val="hybridMultilevel"/>
    <w:lvl w:ilvl="0">
      <w:lvlJc w:val="left"/>
      <w:lvlText w:val="•"/>
      <w:numFmt w:val="bullet"/>
      <w:start w:val="1"/>
    </w:lvl>
  </w:abstractNum>
  <w:abstractNum w:abstractNumId="71">
    <w:nsid w:val="4F294393"/>
    <w:multiLevelType w:val="hybridMultilevel"/>
    <w:lvl w:ilvl="0">
      <w:lvlJc w:val="left"/>
      <w:lvlText w:val="•"/>
      <w:numFmt w:val="bullet"/>
      <w:start w:val="1"/>
    </w:lvl>
  </w:abstractNum>
  <w:abstractNum w:abstractNumId="72">
    <w:nsid w:val="5243BFAC"/>
    <w:multiLevelType w:val="hybridMultilevel"/>
    <w:lvl w:ilvl="0">
      <w:lvlJc w:val="left"/>
      <w:lvlText w:val="•"/>
      <w:numFmt w:val="bullet"/>
      <w:start w:val="1"/>
    </w:lvl>
  </w:abstractNum>
  <w:abstractNum w:abstractNumId="73">
    <w:nsid w:val="425EB207"/>
    <w:multiLevelType w:val="hybridMultilevel"/>
    <w:lvl w:ilvl="0">
      <w:lvlJc w:val="left"/>
      <w:lvlText w:val="•"/>
      <w:numFmt w:val="bullet"/>
      <w:start w:val="1"/>
    </w:lvl>
  </w:abstractNum>
  <w:abstractNum w:abstractNumId="74">
    <w:nsid w:val="334A6F1F"/>
    <w:multiLevelType w:val="hybridMultilevel"/>
    <w:lvl w:ilvl="0">
      <w:lvlJc w:val="left"/>
      <w:lvlText w:val="•"/>
      <w:numFmt w:val="bullet"/>
      <w:start w:val="1"/>
    </w:lvl>
  </w:abstractNum>
  <w:abstractNum w:abstractNumId="75">
    <w:nsid w:val="2E5B12B8"/>
    <w:multiLevelType w:val="hybridMultilevel"/>
    <w:lvl w:ilvl="0">
      <w:lvlJc w:val="left"/>
      <w:lvlText w:val="•"/>
      <w:numFmt w:val="bullet"/>
      <w:start w:val="1"/>
    </w:lvl>
  </w:abstractNum>
  <w:abstractNum w:abstractNumId="76">
    <w:nsid w:val="5C03D76D"/>
    <w:multiLevelType w:val="hybridMultilevel"/>
    <w:lvl w:ilvl="0">
      <w:lvlJc w:val="left"/>
      <w:lvlText w:val="•"/>
      <w:numFmt w:val="bullet"/>
      <w:start w:val="1"/>
    </w:lvl>
  </w:abstractNum>
  <w:abstractNum w:abstractNumId="77">
    <w:nsid w:val="66A48D11"/>
    <w:multiLevelType w:val="hybridMultilevel"/>
    <w:lvl w:ilvl="0">
      <w:lvlJc w:val="left"/>
      <w:lvlText w:val="•"/>
      <w:numFmt w:val="bullet"/>
      <w:start w:val="1"/>
    </w:lvl>
  </w:abstractNum>
  <w:abstractNum w:abstractNumId="78">
    <w:nsid w:val="56C28E34"/>
    <w:multiLevelType w:val="hybridMultilevel"/>
    <w:lvl w:ilvl="0">
      <w:lvlJc w:val="left"/>
      <w:lvlText w:val="•"/>
      <w:numFmt w:val="bullet"/>
      <w:start w:val="1"/>
    </w:lvl>
  </w:abstractNum>
  <w:abstractNum w:abstractNumId="79">
    <w:nsid w:val="13916F2D"/>
    <w:multiLevelType w:val="hybridMultilevel"/>
    <w:lvl w:ilvl="0">
      <w:lvlJc w:val="left"/>
      <w:lvlText w:val="•"/>
      <w:numFmt w:val="bullet"/>
      <w:start w:val="1"/>
    </w:lvl>
  </w:abstractNum>
  <w:abstractNum w:abstractNumId="80">
    <w:nsid w:val="435D38D"/>
    <w:multiLevelType w:val="hybridMultilevel"/>
    <w:lvl w:ilvl="0">
      <w:lvlJc w:val="left"/>
      <w:lvlText w:val="•"/>
      <w:numFmt w:val="bullet"/>
      <w:start w:val="1"/>
    </w:lvl>
  </w:abstractNum>
  <w:abstractNum w:abstractNumId="81">
    <w:nsid w:val="822C0EF"/>
    <w:multiLevelType w:val="hybridMultilevel"/>
    <w:lvl w:ilvl="0">
      <w:lvlJc w:val="left"/>
      <w:lvlText w:val="•"/>
      <w:numFmt w:val="bullet"/>
      <w:start w:val="1"/>
    </w:lvl>
  </w:abstractNum>
  <w:abstractNum w:abstractNumId="82">
    <w:nsid w:val="57C5BB4F"/>
    <w:multiLevelType w:val="hybridMultilevel"/>
    <w:lvl w:ilvl="0">
      <w:lvlJc w:val="left"/>
      <w:lvlText w:val="•"/>
      <w:numFmt w:val="bullet"/>
      <w:start w:val="1"/>
    </w:lvl>
  </w:abstractNum>
  <w:abstractNum w:abstractNumId="83">
    <w:nsid w:val="1803D089"/>
    <w:multiLevelType w:val="hybridMultilevel"/>
    <w:lvl w:ilvl="0">
      <w:lvlJc w:val="left"/>
      <w:lvlText w:val="•"/>
      <w:numFmt w:val="bullet"/>
      <w:start w:val="1"/>
    </w:lvl>
  </w:abstractNum>
  <w:abstractNum w:abstractNumId="84">
    <w:nsid w:val="4F3A06D4"/>
    <w:multiLevelType w:val="hybridMultilevel"/>
    <w:lvl w:ilvl="0">
      <w:lvlJc w:val="left"/>
      <w:lvlText w:val="•"/>
      <w:numFmt w:val="bullet"/>
      <w:start w:val="1"/>
    </w:lvl>
  </w:abstractNum>
  <w:abstractNum w:abstractNumId="85">
    <w:nsid w:val="59A377B6"/>
    <w:multiLevelType w:val="hybridMultilevel"/>
    <w:lvl w:ilvl="0">
      <w:lvlJc w:val="left"/>
      <w:lvlText w:val="•"/>
      <w:numFmt w:val="bullet"/>
      <w:start w:val="1"/>
    </w:lvl>
  </w:abstractNum>
  <w:abstractNum w:abstractNumId="86">
    <w:nsid w:val="48AEB063"/>
    <w:multiLevelType w:val="hybridMultilevel"/>
    <w:lvl w:ilvl="0">
      <w:lvlJc w:val="left"/>
      <w:lvlText w:val="•"/>
      <w:numFmt w:val="bullet"/>
      <w:start w:val="1"/>
    </w:lvl>
  </w:abstractNum>
  <w:abstractNum w:abstractNumId="87">
    <w:nsid w:val="24E135"/>
    <w:multiLevelType w:val="hybridMultilevel"/>
    <w:lvl w:ilvl="0">
      <w:lvlJc w:val="left"/>
      <w:lvlText w:val="•"/>
      <w:numFmt w:val="bullet"/>
      <w:start w:val="1"/>
    </w:lvl>
  </w:abstractNum>
  <w:abstractNum w:abstractNumId="88">
    <w:nsid w:val="BB13C1"/>
    <w:multiLevelType w:val="hybridMultilevel"/>
    <w:lvl w:ilvl="0">
      <w:lvlJc w:val="left"/>
      <w:lvlText w:val="-"/>
      <w:numFmt w:val="bullet"/>
      <w:start w:val="1"/>
    </w:lvl>
  </w:abstractNum>
  <w:abstractNum w:abstractNumId="89">
    <w:nsid w:val="271210C7"/>
    <w:multiLevelType w:val="hybridMultilevel"/>
    <w:lvl w:ilvl="0">
      <w:lvlJc w:val="left"/>
      <w:lvlText w:val="$"/>
      <w:numFmt w:val="bullet"/>
      <w:start w:val="1"/>
    </w:lvl>
  </w:abstractNum>
  <w:abstractNum w:abstractNumId="90">
    <w:nsid w:val="217B22E4"/>
    <w:multiLevelType w:val="hybridMultilevel"/>
    <w:lvl w:ilvl="0">
      <w:lvlJc w:val="left"/>
      <w:lvlText w:val="$"/>
      <w:numFmt w:val="bullet"/>
      <w:start w:val="1"/>
    </w:lvl>
  </w:abstractNum>
  <w:abstractNum w:abstractNumId="91">
    <w:nsid w:val="53E31A24"/>
    <w:multiLevelType w:val="hybridMultilevel"/>
    <w:lvl w:ilvl="0">
      <w:lvlJc w:val="left"/>
      <w:lvlText w:val="%1)"/>
      <w:numFmt w:val="lowerLetter"/>
      <w:start w:val="2"/>
    </w:lvl>
  </w:abstractNum>
  <w:abstractNum w:abstractNumId="92">
    <w:nsid w:val="6DC45E83"/>
    <w:multiLevelType w:val="hybridMultilevel"/>
    <w:lvl w:ilvl="0">
      <w:lvlJc w:val="left"/>
      <w:lvlText w:val="%1)"/>
      <w:numFmt w:val="lowerLetter"/>
      <w:start w:val="3"/>
    </w:lvl>
  </w:abstractNum>
  <w:abstractNum w:abstractNumId="93">
    <w:nsid w:val="17304A67"/>
    <w:multiLevelType w:val="hybridMultilevel"/>
    <w:lvl w:ilvl="0">
      <w:lvlJc w:val="left"/>
      <w:lvlText w:val="%1)"/>
      <w:numFmt w:val="lowerLetter"/>
      <w:start w:val="6"/>
    </w:lvl>
  </w:abstractNum>
  <w:abstractNum w:abstractNumId="94">
    <w:nsid w:val="2BB180D8"/>
    <w:multiLevelType w:val="hybridMultilevel"/>
    <w:lvl w:ilvl="0">
      <w:lvlJc w:val="left"/>
      <w:lvlText w:val="•"/>
      <w:numFmt w:val="bullet"/>
      <w:start w:val="1"/>
    </w:lvl>
  </w:abstractNum>
  <w:abstractNum w:abstractNumId="95">
    <w:nsid w:val="556B69ED"/>
    <w:multiLevelType w:val="hybridMultilevel"/>
    <w:lvl w:ilvl="0">
      <w:lvlJc w:val="left"/>
      <w:lvlText w:val="•"/>
      <w:numFmt w:val="bullet"/>
      <w:start w:val="1"/>
    </w:lvl>
  </w:abstractNum>
  <w:abstractNum w:abstractNumId="96">
    <w:nsid w:val="70836196"/>
    <w:multiLevelType w:val="hybridMultilevel"/>
    <w:lvl w:ilvl="0">
      <w:lvlJc w:val="left"/>
      <w:lvlText w:val="•"/>
      <w:numFmt w:val="bullet"/>
      <w:start w:val="1"/>
    </w:lvl>
  </w:abstractNum>
  <w:abstractNum w:abstractNumId="97">
    <w:nsid w:val="539F7F12"/>
    <w:multiLevelType w:val="hybridMultilevel"/>
    <w:lvl w:ilvl="0">
      <w:lvlJc w:val="left"/>
      <w:lvlText w:val="•"/>
      <w:numFmt w:val="bullet"/>
      <w:start w:val="1"/>
    </w:lvl>
  </w:abstractNum>
  <w:abstractNum w:abstractNumId="98">
    <w:nsid w:val="2817E7EC"/>
    <w:multiLevelType w:val="hybridMultilevel"/>
    <w:lvl w:ilvl="0">
      <w:lvlJc w:val="left"/>
      <w:lvlText w:val="•"/>
      <w:numFmt w:val="bullet"/>
      <w:start w:val="1"/>
    </w:lvl>
  </w:abstractNum>
  <w:abstractNum w:abstractNumId="99">
    <w:nsid w:val="71482545"/>
    <w:multiLevelType w:val="hybridMultilevel"/>
    <w:lvl w:ilvl="0">
      <w:lvlJc w:val="left"/>
      <w:lvlText w:val="•"/>
      <w:numFmt w:val="bullet"/>
      <w:start w:val="1"/>
    </w:lvl>
  </w:abstractNum>
  <w:abstractNum w:abstractNumId="100">
    <w:nsid w:val="17D78639"/>
    <w:multiLevelType w:val="hybridMultilevel"/>
    <w:lvl w:ilvl="0">
      <w:lvlJc w:val="left"/>
      <w:lvlText w:val="•"/>
      <w:numFmt w:val="bullet"/>
      <w:start w:val="1"/>
    </w:lvl>
  </w:abstractNum>
  <w:abstractNum w:abstractNumId="101">
    <w:nsid w:val="141D2302"/>
    <w:multiLevelType w:val="hybridMultilevel"/>
    <w:lvl w:ilvl="0">
      <w:lvlJc w:val="left"/>
      <w:lvlText w:val="•"/>
      <w:numFmt w:val="bullet"/>
      <w:start w:val="1"/>
    </w:lvl>
  </w:abstractNum>
  <w:abstractNum w:abstractNumId="102">
    <w:nsid w:val="407168D8"/>
    <w:multiLevelType w:val="hybridMultilevel"/>
    <w:lvl w:ilvl="0">
      <w:lvlJc w:val="left"/>
      <w:lvlText w:val="•"/>
      <w:numFmt w:val="bullet"/>
      <w:start w:val="1"/>
    </w:lvl>
  </w:abstractNum>
  <w:abstractNum w:abstractNumId="103">
    <w:nsid w:val="6A1B45E5"/>
    <w:multiLevelType w:val="hybridMultilevel"/>
    <w:lvl w:ilvl="0">
      <w:lvlJc w:val="left"/>
      <w:lvlText w:val="•"/>
      <w:numFmt w:val="bullet"/>
      <w:start w:val="1"/>
    </w:lvl>
  </w:abstractNum>
  <w:abstractNum w:abstractNumId="104">
    <w:nsid w:val="567BD50A"/>
    <w:multiLevelType w:val="hybridMultilevel"/>
    <w:lvl w:ilvl="0">
      <w:lvlJc w:val="left"/>
      <w:lvlText w:val="•"/>
      <w:numFmt w:val="bullet"/>
      <w:start w:val="1"/>
    </w:lvl>
  </w:abstractNum>
  <w:abstractNum w:abstractNumId="105">
    <w:nsid w:val="73BBD7F8"/>
    <w:multiLevelType w:val="hybridMultilevel"/>
    <w:lvl w:ilvl="0">
      <w:lvlJc w:val="left"/>
      <w:lvlText w:val="•"/>
      <w:numFmt w:val="bullet"/>
      <w:start w:val="1"/>
    </w:lvl>
  </w:abstractNum>
  <w:abstractNum w:abstractNumId="106">
    <w:nsid w:val="1876589D"/>
    <w:multiLevelType w:val="hybridMultilevel"/>
    <w:lvl w:ilvl="0">
      <w:lvlJc w:val="left"/>
      <w:lvlText w:val="•"/>
      <w:numFmt w:val="bullet"/>
      <w:start w:val="1"/>
    </w:lvl>
  </w:abstractNum>
  <w:abstractNum w:abstractNumId="107">
    <w:nsid w:val="327FAC77"/>
    <w:multiLevelType w:val="hybridMultilevel"/>
    <w:lvl w:ilvl="0">
      <w:lvlJc w:val="left"/>
      <w:lvlText w:val="(%1)"/>
      <w:numFmt w:val="lowerLetter"/>
      <w:start w:val="1"/>
    </w:lvl>
  </w:abstractNum>
  <w:abstractNum w:abstractNumId="108">
    <w:nsid w:val="5A606509"/>
    <w:multiLevelType w:val="hybridMultilevel"/>
    <w:lvl w:ilvl="0">
      <w:lvlJc w:val="left"/>
      <w:lvlText w:val="(%1)"/>
      <w:numFmt w:val="lowerLetter"/>
      <w:start w:val="1"/>
    </w:lvl>
  </w:abstractNum>
  <w:abstractNum w:abstractNumId="109">
    <w:nsid w:val="6F38E6D1"/>
    <w:multiLevelType w:val="hybridMultilevel"/>
    <w:lvl w:ilvl="0">
      <w:lvlJc w:val="left"/>
      <w:lvlText w:val="•"/>
      <w:numFmt w:val="bullet"/>
      <w:start w:val="1"/>
    </w:lvl>
  </w:abstractNum>
  <w:abstractNum w:abstractNumId="110">
    <w:nsid w:val="46111BA5"/>
    <w:multiLevelType w:val="hybridMultilevel"/>
    <w:lvl w:ilvl="0">
      <w:lvlJc w:val="left"/>
      <w:lvlText w:val="•"/>
      <w:numFmt w:val="bullet"/>
      <w:start w:val="1"/>
    </w:lvl>
  </w:abstractNum>
  <w:abstractNum w:abstractNumId="111">
    <w:nsid w:val="5E963896"/>
    <w:multiLevelType w:val="hybridMultilevel"/>
    <w:lvl w:ilvl="0">
      <w:lvlJc w:val="left"/>
      <w:lvlText w:val="•"/>
      <w:numFmt w:val="bullet"/>
      <w:start w:val="1"/>
    </w:lvl>
  </w:abstractNum>
  <w:abstractNum w:abstractNumId="112">
    <w:nsid w:val="775BA7C1"/>
    <w:multiLevelType w:val="hybridMultilevel"/>
    <w:lvl w:ilvl="0">
      <w:lvlJc w:val="left"/>
      <w:lvlText w:val="•"/>
      <w:numFmt w:val="bullet"/>
      <w:start w:val="1"/>
    </w:lvl>
  </w:abstractNum>
  <w:abstractNum w:abstractNumId="113">
    <w:nsid w:val="1DD6D6F4"/>
    <w:multiLevelType w:val="hybridMultilevel"/>
    <w:lvl w:ilvl="0">
      <w:lvlJc w:val="left"/>
      <w:lvlText w:val="•"/>
      <w:numFmt w:val="bullet"/>
      <w:start w:val="1"/>
    </w:lvl>
  </w:abstractNum>
  <w:abstractNum w:abstractNumId="114">
    <w:nsid w:val="769A091F"/>
    <w:multiLevelType w:val="hybridMultilevel"/>
    <w:lvl w:ilvl="0">
      <w:lvlJc w:val="left"/>
      <w:lvlText w:val="•"/>
      <w:numFmt w:val="bullet"/>
      <w:start w:val="1"/>
    </w:lvl>
  </w:abstractNum>
  <w:abstractNum w:abstractNumId="115">
    <w:nsid w:val="4695AE95"/>
    <w:multiLevelType w:val="hybridMultilevel"/>
    <w:lvl w:ilvl="0">
      <w:lvlJc w:val="left"/>
      <w:lvlText w:val="%1."/>
      <w:numFmt w:val="decimal"/>
      <w:start w:val="1"/>
    </w:lvl>
  </w:abstractNum>
  <w:abstractNum w:abstractNumId="116">
    <w:nsid w:val="777A4EAA"/>
    <w:multiLevelType w:val="hybridMultilevel"/>
    <w:lvl w:ilvl="0">
      <w:lvlJc w:val="left"/>
      <w:lvlText w:val="•"/>
      <w:numFmt w:val="bullet"/>
      <w:start w:val="1"/>
    </w:lvl>
  </w:abstractNum>
  <w:abstractNum w:abstractNumId="117">
    <w:nsid w:val="3F48B982"/>
    <w:multiLevelType w:val="hybridMultilevel"/>
    <w:lvl w:ilvl="0">
      <w:lvlJc w:val="left"/>
      <w:lvlText w:val="•"/>
      <w:numFmt w:val="bullet"/>
      <w:start w:val="1"/>
    </w:lvl>
    <w:lvl w:ilvl="1">
      <w:lvlJc w:val="left"/>
      <w:lvlText w:val="◦"/>
      <w:numFmt w:val="bullet"/>
      <w:start w:val="1"/>
    </w:lvl>
  </w:abstractNum>
  <w:abstractNum w:abstractNumId="118">
    <w:nsid w:val="46BA8FCA"/>
    <w:multiLevelType w:val="hybridMultilevel"/>
    <w:lvl w:ilvl="0">
      <w:lvlJc w:val="left"/>
      <w:lvlText w:val="•"/>
      <w:numFmt w:val="bullet"/>
      <w:start w:val="1"/>
    </w:lvl>
  </w:abstractNum>
  <w:abstractNum w:abstractNumId="119">
    <w:nsid w:val="7835626C"/>
    <w:multiLevelType w:val="hybridMultilevel"/>
    <w:lvl w:ilvl="0">
      <w:lvlJc w:val="left"/>
      <w:lvlText w:val="•"/>
      <w:numFmt w:val="bullet"/>
      <w:start w:val="1"/>
    </w:lvl>
  </w:abstractNum>
  <w:abstractNum w:abstractNumId="120">
    <w:nsid w:val="665ACA49"/>
    <w:multiLevelType w:val="hybridMultilevel"/>
    <w:lvl w:ilvl="0">
      <w:lvlJc w:val="left"/>
      <w:lvlText w:val="(%1)"/>
      <w:numFmt w:val="decimal"/>
      <w:start w:val="1"/>
    </w:lvl>
  </w:abstractNum>
  <w:abstractNum w:abstractNumId="121">
    <w:nsid w:val="6835B2AE"/>
    <w:multiLevelType w:val="hybridMultilevel"/>
    <w:lvl w:ilvl="0">
      <w:lvlJc w:val="left"/>
      <w:lvlText w:val="(%1)"/>
      <w:numFmt w:val="decimal"/>
      <w:start w:val="1"/>
    </w:lvl>
  </w:abstractNum>
  <w:abstractNum w:abstractNumId="122">
    <w:nsid w:val="4C187C90"/>
    <w:multiLevelType w:val="hybridMultilevel"/>
    <w:lvl w:ilvl="0">
      <w:lvlJc w:val="left"/>
      <w:lvlText w:val="(%1)"/>
      <w:numFmt w:val="decimal"/>
      <w:start w:val="1"/>
    </w:lvl>
  </w:abstractNum>
  <w:abstractNum w:abstractNumId="123">
    <w:nsid w:val="541F28CD"/>
    <w:multiLevelType w:val="hybridMultilevel"/>
    <w:lvl w:ilvl="0">
      <w:lvlJc w:val="left"/>
      <w:lvlText w:val="(%1)"/>
      <w:numFmt w:val="decimal"/>
      <w:start w:val="1"/>
    </w:lvl>
  </w:abstractNum>
  <w:abstractNum w:abstractNumId="124">
    <w:nsid w:val="7F65FD16"/>
    <w:multiLevelType w:val="hybridMultilevel"/>
    <w:lvl w:ilvl="0">
      <w:lvlJc w:val="left"/>
      <w:lvlText w:val="•"/>
      <w:numFmt w:val="bullet"/>
      <w:start w:val="1"/>
    </w:lvl>
  </w:abstractNum>
  <w:abstractNum w:abstractNumId="125">
    <w:nsid w:val="77C9FD68"/>
    <w:multiLevelType w:val="hybridMultilevel"/>
    <w:lvl w:ilvl="0">
      <w:lvlJc w:val="left"/>
      <w:lvlText w:val="▪"/>
      <w:numFmt w:val="bullet"/>
      <w:start w:val="1"/>
    </w:lvl>
  </w:abstractNum>
  <w:abstractNum w:abstractNumId="126">
    <w:nsid w:val="298A92BA"/>
    <w:multiLevelType w:val="hybridMultilevel"/>
    <w:lvl w:ilvl="0">
      <w:lvlJc w:val="left"/>
      <w:lvlText w:val="▪"/>
      <w:numFmt w:val="bullet"/>
      <w:start w:val="1"/>
    </w:lvl>
  </w:abstractNum>
  <w:abstractNum w:abstractNumId="127">
    <w:nsid w:val="6FE95EAC"/>
    <w:multiLevelType w:val="hybridMultilevel"/>
    <w:lvl w:ilvl="0">
      <w:lvlJc w:val="left"/>
      <w:lvlText w:val="•"/>
      <w:numFmt w:val="bullet"/>
      <w:start w:val="1"/>
    </w:lvl>
  </w:abstractNum>
  <w:abstractNum w:abstractNumId="128">
    <w:nsid w:val="4B697C7A"/>
    <w:multiLevelType w:val="hybridMultilevel"/>
    <w:lvl w:ilvl="0">
      <w:lvlJc w:val="left"/>
      <w:lvlText w:val="•"/>
      <w:numFmt w:val="bullet"/>
      <w:start w:val="1"/>
    </w:lvl>
  </w:abstractNum>
  <w:abstractNum w:abstractNumId="129">
    <w:nsid w:val="51A27AA6"/>
    <w:multiLevelType w:val="hybridMultilevel"/>
    <w:lvl w:ilvl="0">
      <w:lvlJc w:val="left"/>
      <w:lvlText w:val="•"/>
      <w:numFmt w:val="bullet"/>
      <w:start w:val="1"/>
    </w:lvl>
  </w:abstractNum>
  <w:abstractNum w:abstractNumId="130">
    <w:nsid w:val="613183F2"/>
    <w:multiLevelType w:val="hybridMultilevel"/>
    <w:lvl w:ilvl="0">
      <w:lvlJc w:val="left"/>
      <w:lvlText w:val="•"/>
      <w:numFmt w:val="bullet"/>
      <w:start w:val="1"/>
    </w:lvl>
  </w:abstractNum>
  <w:abstractNum w:abstractNumId="131">
    <w:nsid w:val="634102B4"/>
    <w:multiLevelType w:val="hybridMultilevel"/>
    <w:lvl w:ilvl="0">
      <w:lvlJc w:val="left"/>
      <w:lvlText w:val="•"/>
      <w:numFmt w:val="bullet"/>
      <w:start w:val="1"/>
    </w:lvl>
  </w:abstractNum>
  <w:abstractNum w:abstractNumId="132">
    <w:nsid w:val="65BF9DA8"/>
    <w:multiLevelType w:val="hybridMultilevel"/>
    <w:lvl w:ilvl="0">
      <w:lvlJc w:val="left"/>
      <w:lvlText w:val="["/>
      <w:numFmt w:val="bullet"/>
      <w:start w:val="1"/>
    </w:lvl>
  </w:abstractNum>
  <w:abstractNum w:abstractNumId="133">
    <w:nsid w:val="21A2ECCA"/>
    <w:multiLevelType w:val="hybridMultilevel"/>
    <w:lvl w:ilvl="0">
      <w:lvlJc w:val="left"/>
      <w:lvlText w:val="(%1)"/>
      <w:numFmt w:val="decimal"/>
      <w:start w:val="1"/>
    </w:lvl>
  </w:abstractNum>
  <w:abstractNum w:abstractNumId="134">
    <w:nsid w:val="4D5C4899"/>
    <w:multiLevelType w:val="hybridMultilevel"/>
    <w:lvl w:ilvl="0">
      <w:lvlJc w:val="left"/>
      <w:lvlText w:val="(%1)"/>
      <w:numFmt w:val="decimal"/>
      <w:start w:val="1"/>
    </w:lvl>
  </w:abstractNum>
  <w:abstractNum w:abstractNumId="135">
    <w:nsid w:val="3C3B72B2"/>
    <w:multiLevelType w:val="hybridMultilevel"/>
    <w:lvl w:ilvl="0">
      <w:lvlJc w:val="left"/>
      <w:lvlText w:val="(%1)"/>
      <w:numFmt w:val="decimal"/>
      <w:start w:val="1"/>
    </w:lvl>
  </w:abstractNum>
  <w:abstractNum w:abstractNumId="136">
    <w:nsid w:val="155EC4C2"/>
    <w:multiLevelType w:val="hybridMultilevel"/>
    <w:lvl w:ilvl="0">
      <w:lvlJc w:val="left"/>
      <w:lvlText w:val="•"/>
      <w:numFmt w:val="bullet"/>
      <w:start w:val="1"/>
    </w:lvl>
  </w:abstractNum>
  <w:abstractNum w:abstractNumId="137">
    <w:nsid w:val="65D2A137"/>
    <w:multiLevelType w:val="hybridMultilevel"/>
    <w:lvl w:ilvl="0">
      <w:lvlJc w:val="left"/>
      <w:lvlText w:val="•"/>
      <w:numFmt w:val="bullet"/>
      <w:start w:val="1"/>
    </w:lvl>
  </w:abstractNum>
  <w:abstractNum w:abstractNumId="138">
    <w:nsid w:val="6EBB1F2A"/>
    <w:multiLevelType w:val="hybridMultilevel"/>
    <w:lvl w:ilvl="0">
      <w:lvlJc w:val="left"/>
      <w:lvlText w:val="•"/>
      <w:numFmt w:val="bullet"/>
      <w:start w:val="1"/>
    </w:lvl>
  </w:abstractNum>
  <w:abstractNum w:abstractNumId="139">
    <w:nsid w:val="6FBF29CB"/>
    <w:multiLevelType w:val="hybridMultilevel"/>
    <w:lvl w:ilvl="0">
      <w:lvlJc w:val="left"/>
      <w:lvlText w:val="•"/>
      <w:numFmt w:val="bullet"/>
      <w:start w:val="1"/>
    </w:lvl>
  </w:abstractNum>
  <w:abstractNum w:abstractNumId="140">
    <w:nsid w:val="550B8808"/>
    <w:multiLevelType w:val="hybridMultilevel"/>
    <w:lvl w:ilvl="0">
      <w:lvlJc w:val="left"/>
      <w:lvlText w:val="•"/>
      <w:numFmt w:val="bullet"/>
      <w:start w:val="1"/>
    </w:lvl>
  </w:abstractNum>
  <w:abstractNum w:abstractNumId="141">
    <w:nsid w:val="34CC3ACF"/>
    <w:multiLevelType w:val="hybridMultilevel"/>
    <w:lvl w:ilvl="0">
      <w:lvlJc w:val="left"/>
      <w:lvlText w:val="•"/>
      <w:numFmt w:val="bullet"/>
      <w:start w:val="1"/>
    </w:lvl>
  </w:abstractNum>
  <w:abstractNum w:abstractNumId="142">
    <w:nsid w:val="4E556261"/>
    <w:multiLevelType w:val="hybridMultilevel"/>
    <w:lvl w:ilvl="0">
      <w:lvlJc w:val="left"/>
      <w:lvlText w:val="&amp;"/>
      <w:numFmt w:val="bullet"/>
      <w:start w:val="1"/>
    </w:lvl>
  </w:abstractNum>
  <w:abstractNum w:abstractNumId="143">
    <w:nsid w:val="4C672FC9"/>
    <w:multiLevelType w:val="hybridMultilevel"/>
    <w:lvl w:ilvl="0">
      <w:lvlJc w:val="left"/>
      <w:lvlText w:val="•"/>
      <w:numFmt w:val="bullet"/>
      <w:start w:val="1"/>
    </w:lvl>
  </w:abstractNum>
  <w:abstractNum w:abstractNumId="144">
    <w:nsid w:val="52A311C3"/>
    <w:multiLevelType w:val="hybridMultilevel"/>
    <w:lvl w:ilvl="0">
      <w:lvlJc w:val="left"/>
      <w:lvlText w:val="(%1)"/>
      <w:numFmt w:val="decimal"/>
      <w:start w:val="1"/>
    </w:lvl>
  </w:abstractNum>
  <w:abstractNum w:abstractNumId="145">
    <w:nsid w:val="44EF6B80"/>
    <w:multiLevelType w:val="hybridMultilevel"/>
    <w:lvl w:ilvl="0">
      <w:lvlJc w:val="left"/>
      <w:lvlText w:val="(%1)"/>
      <w:numFmt w:val="decimal"/>
      <w:start w:val="1"/>
    </w:lvl>
  </w:abstractNum>
  <w:abstractNum w:abstractNumId="146">
    <w:nsid w:val="12FCDE5E"/>
    <w:multiLevelType w:val="hybridMultilevel"/>
    <w:lvl w:ilvl="0">
      <w:lvlJc w:val="left"/>
      <w:lvlText w:val="•"/>
      <w:numFmt w:val="bullet"/>
      <w:start w:val="1"/>
    </w:lvl>
  </w:abstractNum>
  <w:abstractNum w:abstractNumId="147">
    <w:nsid w:val="4A1D606E"/>
    <w:multiLevelType w:val="hybridMultilevel"/>
    <w:lvl w:ilvl="0">
      <w:lvlJc w:val="left"/>
      <w:lvlText w:val="•"/>
      <w:numFmt w:val="bullet"/>
      <w:start w:val="1"/>
    </w:lvl>
  </w:abstractNum>
  <w:abstractNum w:abstractNumId="148">
    <w:nsid w:val="4382503"/>
    <w:multiLevelType w:val="hybridMultilevel"/>
    <w:lvl w:ilvl="0">
      <w:lvlJc w:val="left"/>
      <w:lvlText w:val="•"/>
      <w:numFmt w:val="bullet"/>
      <w:start w:val="1"/>
    </w:lvl>
  </w:abstractNum>
  <w:abstractNum w:abstractNumId="149">
    <w:nsid w:val="59B76E28"/>
    <w:multiLevelType w:val="hybridMultilevel"/>
    <w:lvl w:ilvl="0">
      <w:lvlJc w:val="left"/>
      <w:lvlText w:val="•"/>
      <w:numFmt w:val="bullet"/>
      <w:start w:val="1"/>
    </w:lvl>
  </w:abstractNum>
  <w:abstractNum w:abstractNumId="150">
    <w:nsid w:val="4252C2DA"/>
    <w:multiLevelType w:val="hybridMultilevel"/>
    <w:lvl w:ilvl="0">
      <w:lvlJc w:val="left"/>
      <w:lvlText w:val="•"/>
      <w:numFmt w:val="bullet"/>
      <w:start w:val="1"/>
    </w:lvl>
  </w:abstractNum>
  <w:abstractNum w:abstractNumId="151">
    <w:nsid w:val="6A92EF4C"/>
    <w:multiLevelType w:val="hybridMultilevel"/>
    <w:lvl w:ilvl="0">
      <w:lvlJc w:val="left"/>
      <w:lvlText w:val="•"/>
      <w:numFmt w:val="bullet"/>
      <w:start w:val="1"/>
    </w:lvl>
  </w:abstractNum>
  <w:abstractNum w:abstractNumId="152">
    <w:nsid w:val="41ED20D7"/>
    <w:multiLevelType w:val="hybridMultilevel"/>
    <w:lvl w:ilvl="0">
      <w:lvlJc w:val="left"/>
      <w:lvlText w:val="•"/>
      <w:numFmt w:val="bullet"/>
      <w:start w:val="1"/>
    </w:lvl>
  </w:abstractNum>
  <w:abstractNum w:abstractNumId="153">
    <w:nsid w:val="E6B3F6A"/>
    <w:multiLevelType w:val="hybridMultilevel"/>
    <w:lvl w:ilvl="0">
      <w:lvlJc w:val="left"/>
      <w:lvlText w:val="•"/>
      <w:numFmt w:val="bullet"/>
      <w:start w:val="1"/>
    </w:lvl>
  </w:abstractNum>
  <w:abstractNum w:abstractNumId="154">
    <w:nsid w:val="3EB21819"/>
    <w:multiLevelType w:val="hybridMultilevel"/>
    <w:lvl w:ilvl="0">
      <w:lvlJc w:val="left"/>
      <w:lvlText w:val="(%1)"/>
      <w:numFmt w:val="decimal"/>
      <w:start w:val="1"/>
    </w:lvl>
  </w:abstractNum>
  <w:abstractNum w:abstractNumId="155">
    <w:nsid w:val="41531DED"/>
    <w:multiLevelType w:val="hybridMultilevel"/>
    <w:lvl w:ilvl="0">
      <w:lvlJc w:val="left"/>
      <w:lvlText w:val="(*)"/>
      <w:numFmt w:val="bullet"/>
      <w:start w:val="1"/>
    </w:lvl>
  </w:abstractNum>
  <w:abstractNum w:abstractNumId="156">
    <w:nsid w:val="6353CD2"/>
    <w:multiLevelType w:val="hybridMultilevel"/>
    <w:lvl w:ilvl="0">
      <w:lvlJc w:val="left"/>
      <w:lvlText w:val="(%1)"/>
      <w:numFmt w:val="decimal"/>
      <w:start w:val="1"/>
    </w:lvl>
  </w:abstractNum>
  <w:abstractNum w:abstractNumId="157">
    <w:nsid w:val="683CAAD3"/>
    <w:multiLevelType w:val="hybridMultilevel"/>
    <w:lvl w:ilvl="0">
      <w:lvlJc w:val="left"/>
      <w:lvlText w:val="(%1)"/>
      <w:numFmt w:val="decimal"/>
      <w:start w:val="9"/>
    </w:lvl>
  </w:abstractNum>
  <w:abstractNum w:abstractNumId="158">
    <w:nsid w:val="313C7C99"/>
    <w:multiLevelType w:val="hybridMultilevel"/>
    <w:lvl w:ilvl="0">
      <w:lvlJc w:val="left"/>
      <w:lvlText w:val="•"/>
      <w:numFmt w:val="bullet"/>
      <w:start w:val="1"/>
    </w:lvl>
  </w:abstractNum>
  <w:abstractNum w:abstractNumId="159">
    <w:nsid w:val="519EB94C"/>
    <w:multiLevelType w:val="hybridMultilevel"/>
    <w:lvl w:ilvl="0">
      <w:lvlJc w:val="left"/>
      <w:lvlText w:val="•"/>
      <w:numFmt w:val="bullet"/>
      <w:start w:val="1"/>
    </w:lvl>
  </w:abstractNum>
  <w:abstractNum w:abstractNumId="160">
    <w:nsid w:val="39DF2579"/>
    <w:multiLevelType w:val="hybridMultilevel"/>
    <w:lvl w:ilvl="0">
      <w:lvlJc w:val="left"/>
      <w:lvlText w:val="•"/>
      <w:numFmt w:val="bullet"/>
      <w:start w:val="1"/>
    </w:lvl>
  </w:abstractNum>
  <w:abstractNum w:abstractNumId="161">
    <w:nsid w:val="126E008B"/>
    <w:multiLevelType w:val="hybridMultilevel"/>
    <w:lvl w:ilvl="0">
      <w:lvlJc w:val="left"/>
      <w:lvlText w:val="(%1)"/>
      <w:numFmt w:val="decimal"/>
      <w:start w:val="1"/>
    </w:lvl>
  </w:abstractNum>
  <w:abstractNum w:abstractNumId="162">
    <w:nsid w:val="34DFBC00"/>
    <w:multiLevelType w:val="hybridMultilevel"/>
    <w:lvl w:ilvl="0">
      <w:lvlJc w:val="left"/>
      <w:lvlText w:val="(%1)"/>
      <w:numFmt w:val="decimal"/>
      <w:start w:val="1"/>
    </w:lvl>
  </w:abstractNum>
  <w:abstractNum w:abstractNumId="163">
    <w:nsid w:val="1F9EC322"/>
    <w:multiLevelType w:val="hybridMultilevel"/>
    <w:lvl w:ilvl="0">
      <w:lvlJc w:val="left"/>
      <w:lvlText w:val="(%1)"/>
      <w:numFmt w:val="decimal"/>
      <w:start w:val="1"/>
    </w:lvl>
  </w:abstractNum>
  <w:abstractNum w:abstractNumId="164">
    <w:nsid w:val="3410ED56"/>
    <w:multiLevelType w:val="hybridMultilevel"/>
    <w:lvl w:ilvl="0">
      <w:lvlJc w:val="left"/>
      <w:lvlText w:val="(%1)"/>
      <w:numFmt w:val="decimal"/>
      <w:start w:val="1"/>
    </w:lvl>
  </w:abstractNum>
  <w:abstractNum w:abstractNumId="165">
    <w:nsid w:val="23C049A"/>
    <w:multiLevelType w:val="hybridMultilevel"/>
    <w:lvl w:ilvl="0">
      <w:lvlJc w:val="left"/>
      <w:lvlText w:val="•"/>
      <w:numFmt w:val="bullet"/>
      <w:start w:val="1"/>
    </w:lvl>
  </w:abstractNum>
  <w:abstractNum w:abstractNumId="166">
    <w:nsid w:val="5BDA35D4"/>
    <w:multiLevelType w:val="hybridMultilevel"/>
    <w:lvl w:ilvl="0">
      <w:lvlJc w:val="left"/>
      <w:lvlText w:val="•"/>
      <w:numFmt w:val="bullet"/>
      <w:start w:val="1"/>
    </w:lvl>
  </w:abstractNum>
  <w:abstractNum w:abstractNumId="167">
    <w:nsid w:val="496FB218"/>
    <w:multiLevelType w:val="hybridMultilevel"/>
    <w:lvl w:ilvl="0">
      <w:lvlJc w:val="left"/>
      <w:lvlText w:val="(%1)"/>
      <w:numFmt w:val="decimal"/>
      <w:start w:val="1"/>
    </w:lvl>
  </w:abstractNum>
  <w:abstractNum w:abstractNumId="168">
    <w:nsid w:val="680EA5D1"/>
    <w:multiLevelType w:val="hybridMultilevel"/>
    <w:lvl w:ilvl="0">
      <w:lvlJc w:val="left"/>
      <w:lvlText w:val="(%1)"/>
      <w:numFmt w:val="decimal"/>
      <w:start w:val="1"/>
    </w:lvl>
  </w:abstractNum>
  <w:abstractNum w:abstractNumId="169">
    <w:nsid w:val="4A9554FE"/>
    <w:multiLevelType w:val="hybridMultilevel"/>
    <w:lvl w:ilvl="0">
      <w:lvlJc w:val="left"/>
      <w:lvlText w:val="•"/>
      <w:numFmt w:val="bullet"/>
      <w:start w:val="1"/>
    </w:lvl>
  </w:abstractNum>
  <w:abstractNum w:abstractNumId="170">
    <w:nsid w:val="392EDBE4"/>
    <w:multiLevelType w:val="hybridMultilevel"/>
    <w:lvl w:ilvl="0">
      <w:lvlJc w:val="left"/>
      <w:lvlText w:val="•"/>
      <w:numFmt w:val="bullet"/>
      <w:start w:val="1"/>
    </w:lvl>
  </w:abstractNum>
  <w:abstractNum w:abstractNumId="171">
    <w:nsid w:val="3D1A2DD9"/>
    <w:multiLevelType w:val="hybridMultilevel"/>
    <w:lvl w:ilvl="0">
      <w:lvlJc w:val="left"/>
      <w:lvlText w:val="•"/>
      <w:numFmt w:val="bullet"/>
      <w:start w:val="1"/>
    </w:lvl>
  </w:abstractNum>
  <w:abstractNum w:abstractNumId="172">
    <w:nsid w:val="7F618FCD"/>
    <w:multiLevelType w:val="hybridMultilevel"/>
    <w:lvl w:ilvl="0">
      <w:lvlJc w:val="left"/>
      <w:lvlText w:val="•"/>
      <w:numFmt w:val="bullet"/>
      <w:start w:val="1"/>
    </w:lvl>
  </w:abstractNum>
  <w:abstractNum w:abstractNumId="173">
    <w:nsid w:val="7843E45"/>
    <w:multiLevelType w:val="hybridMultilevel"/>
    <w:lvl w:ilvl="0">
      <w:lvlJc w:val="left"/>
      <w:lvlText w:val="•"/>
      <w:numFmt w:val="bullet"/>
      <w:start w:val="1"/>
    </w:lvl>
  </w:abstractNum>
  <w:abstractNum w:abstractNumId="174">
    <w:nsid w:val="9815DA3"/>
    <w:multiLevelType w:val="hybridMultilevel"/>
    <w:lvl w:ilvl="0">
      <w:lvlJc w:val="left"/>
      <w:lvlText w:val="(%1)"/>
      <w:numFmt w:val="decimal"/>
      <w:start w:val="1"/>
    </w:lvl>
  </w:abstractNum>
  <w:abstractNum w:abstractNumId="175">
    <w:nsid w:val="5204A191"/>
    <w:multiLevelType w:val="hybridMultilevel"/>
    <w:lvl w:ilvl="0">
      <w:lvlJc w:val="left"/>
      <w:lvlText w:val="%1."/>
      <w:numFmt w:val="lowerLetter"/>
      <w:start w:val="1"/>
    </w:lvl>
  </w:abstractNum>
  <w:abstractNum w:abstractNumId="176">
    <w:nsid w:val="4C73A9C6"/>
    <w:multiLevelType w:val="hybridMultilevel"/>
    <w:lvl w:ilvl="0">
      <w:lvlJc w:val="left"/>
      <w:lvlText w:val="(%1)"/>
      <w:numFmt w:val="decimal"/>
      <w:start w:val="1"/>
    </w:lvl>
  </w:abstractNum>
  <w:abstractNum w:abstractNumId="177">
    <w:nsid w:val="1C7E3C01"/>
    <w:multiLevelType w:val="hybridMultilevel"/>
    <w:lvl w:ilvl="0">
      <w:lvlJc w:val="left"/>
      <w:lvlText w:val="(%1)"/>
      <w:numFmt w:val="decimal"/>
      <w:start w:val="1"/>
    </w:lvl>
  </w:abstractNum>
  <w:abstractNum w:abstractNumId="178">
    <w:nsid w:val="1C2201FF"/>
    <w:multiLevelType w:val="hybridMultilevel"/>
    <w:lvl w:ilvl="0">
      <w:lvlJc w:val="left"/>
      <w:lvlText w:val="(%1)"/>
      <w:numFmt w:val="decimal"/>
      <w:start w:val="1"/>
    </w:lvl>
  </w:abstractNum>
  <w:abstractNum w:abstractNumId="179">
    <w:nsid w:val="50ABCEC9"/>
    <w:multiLevelType w:val="hybridMultilevel"/>
    <w:lvl w:ilvl="0">
      <w:lvlJc w:val="left"/>
      <w:lvlText w:val="•"/>
      <w:numFmt w:val="bullet"/>
      <w:start w:val="1"/>
    </w:lvl>
  </w:abstractNum>
  <w:abstractNum w:abstractNumId="180">
    <w:nsid w:val="7635AA2A"/>
    <w:multiLevelType w:val="hybridMultilevel"/>
    <w:lvl w:ilvl="0">
      <w:lvlJc w:val="left"/>
      <w:lvlText w:val="*"/>
      <w:numFmt w:val="bullet"/>
      <w:start w:val="1"/>
    </w:lvl>
  </w:abstractNum>
  <w:abstractNum w:abstractNumId="181">
    <w:nsid w:val="5E74C4D9"/>
    <w:multiLevelType w:val="hybridMultilevel"/>
    <w:lvl w:ilvl="0">
      <w:lvlJc w:val="left"/>
      <w:lvlText w:val="(%1)"/>
      <w:numFmt w:val="decimal"/>
      <w:start w:val="1"/>
    </w:lvl>
  </w:abstractNum>
  <w:abstractNum w:abstractNumId="182">
    <w:nsid w:val="3B3EBE15"/>
    <w:multiLevelType w:val="hybridMultilevel"/>
    <w:lvl w:ilvl="0">
      <w:lvlJc w:val="left"/>
      <w:lvlText w:val="(%1)"/>
      <w:numFmt w:val="decimal"/>
      <w:start w:val="3"/>
    </w:lvl>
  </w:abstractNum>
  <w:abstractNum w:abstractNumId="183">
    <w:nsid w:val="3822CB01"/>
    <w:multiLevelType w:val="hybridMultilevel"/>
    <w:lvl w:ilvl="0">
      <w:lvlJc w:val="left"/>
      <w:lvlText w:val="•"/>
      <w:numFmt w:val="bullet"/>
      <w:start w:val="1"/>
    </w:lvl>
  </w:abstractNum>
  <w:abstractNum w:abstractNumId="184">
    <w:nsid w:val="6CE00443"/>
    <w:multiLevelType w:val="hybridMultilevel"/>
    <w:lvl w:ilvl="0">
      <w:lvlJc w:val="left"/>
      <w:lvlText w:val="(%1)"/>
      <w:numFmt w:val="decimal"/>
      <w:start w:val="1"/>
    </w:lvl>
  </w:abstractNum>
  <w:abstractNum w:abstractNumId="185">
    <w:nsid w:val="79F0D62F"/>
    <w:multiLevelType w:val="hybridMultilevel"/>
    <w:lvl w:ilvl="0">
      <w:lvlJc w:val="left"/>
      <w:lvlText w:val="*"/>
      <w:numFmt w:val="bullet"/>
      <w:start w:val="1"/>
    </w:lvl>
  </w:abstractNum>
  <w:abstractNum w:abstractNumId="186">
    <w:nsid w:val="7975E8EE"/>
    <w:multiLevelType w:val="hybridMultilevel"/>
    <w:lvl w:ilvl="0">
      <w:lvlJc w:val="left"/>
      <w:lvlText w:val="•"/>
      <w:numFmt w:val="bullet"/>
      <w:start w:val="1"/>
    </w:lvl>
  </w:abstractNum>
  <w:abstractNum w:abstractNumId="187">
    <w:nsid w:val="73154115"/>
    <w:multiLevelType w:val="hybridMultilevel"/>
    <w:lvl w:ilvl="0">
      <w:lvlJc w:val="left"/>
      <w:lvlText w:val="•"/>
      <w:numFmt w:val="bullet"/>
      <w:start w:val="1"/>
    </w:lvl>
  </w:abstractNum>
  <w:abstractNum w:abstractNumId="188">
    <w:nsid w:val="622D8102"/>
    <w:multiLevelType w:val="hybridMultilevel"/>
    <w:lvl w:ilvl="0">
      <w:lvlJc w:val="left"/>
      <w:lvlText w:val="•"/>
      <w:numFmt w:val="bullet"/>
      <w:start w:val="1"/>
    </w:lvl>
  </w:abstractNum>
  <w:abstractNum w:abstractNumId="189">
    <w:nsid w:val="2AB26587"/>
    <w:multiLevelType w:val="hybridMultilevel"/>
    <w:lvl w:ilvl="0">
      <w:lvlJc w:val="left"/>
      <w:lvlText w:val="•"/>
      <w:numFmt w:val="bullet"/>
      <w:start w:val="1"/>
    </w:lvl>
  </w:abstractNum>
  <w:abstractNum w:abstractNumId="190">
    <w:nsid w:val="44B3FA61"/>
    <w:multiLevelType w:val="hybridMultilevel"/>
    <w:lvl w:ilvl="0">
      <w:lvlJc w:val="left"/>
      <w:lvlText w:val="•"/>
      <w:numFmt w:val="bullet"/>
      <w:start w:val="1"/>
    </w:lvl>
  </w:abstractNum>
  <w:abstractNum w:abstractNumId="191">
    <w:nsid w:val="1C0CA67C"/>
    <w:multiLevelType w:val="hybridMultilevel"/>
    <w:lvl w:ilvl="0">
      <w:lvlJc w:val="left"/>
      <w:lvlText w:val="\endash "/>
      <w:numFmt w:val="bullet"/>
      <w:start w:val="1"/>
    </w:lvl>
  </w:abstractNum>
  <w:abstractNum w:abstractNumId="192">
    <w:nsid w:val="3D206613"/>
    <w:multiLevelType w:val="hybridMultilevel"/>
    <w:lvl w:ilvl="0">
      <w:lvlJc w:val="left"/>
      <w:lvlText w:val="\endash "/>
      <w:numFmt w:val="bullet"/>
      <w:start w:val="1"/>
    </w:lvl>
  </w:abstractNum>
  <w:abstractNum w:abstractNumId="193">
    <w:nsid w:val="7993B662"/>
    <w:multiLevelType w:val="hybridMultilevel"/>
    <w:lvl w:ilvl="0">
      <w:lvlJc w:val="left"/>
      <w:lvlText w:val="•"/>
      <w:numFmt w:val="bullet"/>
      <w:start w:val="1"/>
    </w:lvl>
  </w:abstractNum>
  <w:abstractNum w:abstractNumId="194">
    <w:nsid w:val="3BAB699E"/>
    <w:multiLevelType w:val="hybridMultilevel"/>
    <w:lvl w:ilvl="0">
      <w:lvlJc w:val="left"/>
      <w:lvlText w:val="•"/>
      <w:numFmt w:val="bullet"/>
      <w:start w:val="1"/>
    </w:lvl>
  </w:abstractNum>
  <w:abstractNum w:abstractNumId="195">
    <w:nsid w:val="71315369"/>
    <w:multiLevelType w:val="hybridMultilevel"/>
    <w:lvl w:ilvl="0">
      <w:lvlJc w:val="left"/>
      <w:lvlText w:val="•"/>
      <w:numFmt w:val="bullet"/>
      <w:start w:val="1"/>
    </w:lvl>
  </w:abstractNum>
  <w:abstractNum w:abstractNumId="196">
    <w:nsid w:val="7BCFBAFC"/>
    <w:multiLevelType w:val="hybridMultilevel"/>
    <w:lvl w:ilvl="0">
      <w:lvlJc w:val="left"/>
      <w:lvlText w:val="§§"/>
      <w:numFmt w:val="bullet"/>
      <w:start w:val="1"/>
    </w:lvl>
  </w:abstractNum>
  <w:abstractNum w:abstractNumId="197">
    <w:nsid w:val="17859F72"/>
    <w:multiLevelType w:val="hybridMultilevel"/>
    <w:lvl w:ilvl="0">
      <w:lvlJc w:val="left"/>
      <w:lvlText w:val="(%1)"/>
      <w:numFmt w:val="upperLetter"/>
      <w:start w:val="1"/>
    </w:lvl>
  </w:abstractNum>
  <w:abstractNum w:abstractNumId="198">
    <w:nsid w:val="3AA10581"/>
    <w:multiLevelType w:val="hybridMultilevel"/>
    <w:lvl w:ilvl="0">
      <w:lvlJc w:val="left"/>
      <w:lvlText w:val="(%1)"/>
      <w:numFmt w:val="lowerLetter"/>
      <w:start w:val="1"/>
    </w:lvl>
    <w:lvl w:ilvl="1">
      <w:lvlJc w:val="left"/>
      <w:lvlText w:val="(%2)"/>
      <w:numFmt w:val="lowerRoman"/>
      <w:start w:val="1"/>
    </w:lvl>
  </w:abstractNum>
  <w:abstractNum w:abstractNumId="199">
    <w:nsid w:val="63DE60CD"/>
    <w:multiLevelType w:val="hybridMultilevel"/>
    <w:lvl w:ilvl="0">
      <w:lvlJc w:val="left"/>
      <w:lvlText w:val="(%1)"/>
      <w:numFmt w:val="lowerLetter"/>
      <w:start w:val="5"/>
    </w:lvl>
  </w:abstractNum>
  <w:abstractNum w:abstractNumId="200">
    <w:nsid w:val="621AF471"/>
    <w:multiLevelType w:val="hybridMultilevel"/>
    <w:lvl w:ilvl="0">
      <w:lvlJc w:val="left"/>
      <w:lvlText w:val="(%1)"/>
      <w:numFmt w:val="lowerLetter"/>
      <w:start w:val="1"/>
    </w:lvl>
    <w:lvl w:ilvl="1">
      <w:lvlJc w:val="left"/>
      <w:lvlText w:val="(%2)"/>
      <w:numFmt w:val="lowerRoman"/>
      <w:start w:val="1"/>
    </w:lvl>
  </w:abstractNum>
  <w:abstractNum w:abstractNumId="201">
    <w:nsid w:val="73CFE165"/>
    <w:multiLevelType w:val="hybridMultilevel"/>
    <w:lvl w:ilvl="0">
      <w:lvlJc w:val="left"/>
      <w:lvlText w:val="%1"/>
      <w:numFmt w:val="lowerLetter"/>
      <w:start w:val="1"/>
    </w:lvl>
    <w:lvl w:ilvl="1">
      <w:lvlJc w:val="left"/>
      <w:lvlText w:val="(%2)"/>
      <w:numFmt w:val="lowerRoman"/>
      <w:start w:val="5"/>
    </w:lvl>
  </w:abstractNum>
  <w:abstractNum w:abstractNumId="202">
    <w:nsid w:val="20F88EA6"/>
    <w:multiLevelType w:val="hybridMultilevel"/>
    <w:lvl w:ilvl="0">
      <w:lvlJc w:val="left"/>
      <w:lvlText w:val="(%1)"/>
      <w:numFmt w:val="lowerLetter"/>
      <w:start w:val="3"/>
    </w:lvl>
    <w:lvl w:ilvl="1">
      <w:lvlJc w:val="left"/>
      <w:lvlText w:val="(%2)"/>
      <w:numFmt w:val="lowerRoman"/>
      <w:start w:val="1"/>
    </w:lvl>
  </w:abstractNum>
  <w:abstractNum w:abstractNumId="203">
    <w:nsid w:val="617C843E"/>
    <w:multiLevelType w:val="hybridMultilevel"/>
    <w:lvl w:ilvl="0">
      <w:lvlJc w:val="left"/>
      <w:lvlText w:val="(%1)"/>
      <w:numFmt w:val="lowerLetter"/>
      <w:start w:val="1"/>
    </w:lvl>
  </w:abstractNum>
  <w:abstractNum w:abstractNumId="204">
    <w:nsid w:val="7B541FAB"/>
    <w:multiLevelType w:val="hybridMultilevel"/>
    <w:lvl w:ilvl="0">
      <w:lvlJc w:val="left"/>
      <w:lvlText w:val="(%1)"/>
      <w:numFmt w:val="lowerLetter"/>
      <w:start w:val="3"/>
    </w:lvl>
  </w:abstractNum>
  <w:abstractNum w:abstractNumId="205">
    <w:nsid w:val="2A79EC49"/>
    <w:multiLevelType w:val="hybridMultilevel"/>
    <w:lvl w:ilvl="0">
      <w:lvlJc w:val="left"/>
      <w:lvlText w:val="(%1)"/>
      <w:numFmt w:val="lowerLetter"/>
      <w:start w:val="1"/>
    </w:lvl>
    <w:lvl w:ilvl="1">
      <w:lvlJc w:val="left"/>
      <w:lvlText w:val="(%2)"/>
      <w:numFmt w:val="lowerRoman"/>
      <w:start w:val="1"/>
    </w:lvl>
  </w:abstractNum>
  <w:abstractNum w:abstractNumId="206">
    <w:nsid w:val="338125CF"/>
    <w:multiLevelType w:val="hybridMultilevel"/>
    <w:lvl w:ilvl="0">
      <w:lvlJc w:val="left"/>
      <w:lvlText w:val="(%1)"/>
      <w:numFmt w:val="lowerLetter"/>
      <w:start w:val="2"/>
    </w:lvl>
  </w:abstractNum>
  <w:abstractNum w:abstractNumId="207">
    <w:nsid w:val="47C7C971"/>
    <w:multiLevelType w:val="hybridMultilevel"/>
    <w:lvl w:ilvl="0">
      <w:lvlJc w:val="left"/>
      <w:lvlText w:val="%1"/>
      <w:numFmt w:val="lowerLetter"/>
      <w:start w:val="1"/>
    </w:lvl>
    <w:lvl w:ilvl="1">
      <w:lvlJc w:val="left"/>
      <w:lvlText w:val="(%2)"/>
      <w:numFmt w:val="lowerLetter"/>
      <w:start w:val="1"/>
    </w:lvl>
  </w:abstractNum>
  <w:abstractNum w:abstractNumId="208">
    <w:nsid w:val="46F8284B"/>
    <w:multiLevelType w:val="hybridMultilevel"/>
    <w:lvl w:ilvl="0">
      <w:lvlJc w:val="left"/>
      <w:lvlText w:val="(%1)"/>
      <w:numFmt w:val="lowerLetter"/>
      <w:start w:val="35"/>
    </w:lvl>
    <w:lvl w:ilvl="1">
      <w:lvlJc w:val="left"/>
      <w:lvlText w:val="(%2)"/>
      <w:numFmt w:val="lowerLetter"/>
      <w:start w:val="2"/>
    </w:lvl>
  </w:abstractNum>
  <w:abstractNum w:abstractNumId="209">
    <w:nsid w:val="4FA327CE"/>
    <w:multiLevelType w:val="hybridMultilevel"/>
    <w:lvl w:ilvl="0">
      <w:lvlJc w:val="left"/>
      <w:lvlText w:val="(%1)"/>
      <w:numFmt w:val="lowerLetter"/>
      <w:start w:val="3"/>
    </w:lvl>
  </w:abstractNum>
  <w:abstractNum w:abstractNumId="210">
    <w:nsid w:val="1873983A"/>
    <w:multiLevelType w:val="hybridMultilevel"/>
    <w:lvl w:ilvl="0">
      <w:lvlJc w:val="left"/>
      <w:lvlText w:val="(%1)"/>
      <w:numFmt w:val="lowerLetter"/>
      <w:start w:val="4"/>
    </w:lvl>
    <w:lvl w:ilvl="1">
      <w:lvlJc w:val="left"/>
      <w:lvlText w:val="(%2)"/>
      <w:numFmt w:val="lowerRoman"/>
      <w:start w:val="1"/>
    </w:lvl>
  </w:abstractNum>
  <w:abstractNum w:abstractNumId="211">
    <w:nsid w:val="3D2DD2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12">
    <w:nsid w:val="2E17ECA7"/>
    <w:multiLevelType w:val="hybridMultilevel"/>
    <w:lvl w:ilvl="0">
      <w:lvlJc w:val="left"/>
      <w:lvlText w:val="%1"/>
      <w:numFmt w:val="lowerLetter"/>
      <w:start w:val="1"/>
    </w:lvl>
    <w:lvl w:ilvl="1">
      <w:lvlJc w:val="left"/>
      <w:lvlText w:val="(%2)"/>
      <w:numFmt w:val="lowerRoman"/>
      <w:start w:val="5"/>
    </w:lvl>
  </w:abstractNum>
  <w:abstractNum w:abstractNumId="213">
    <w:nsid w:val="53B2564F"/>
    <w:multiLevelType w:val="hybridMultilevel"/>
    <w:lvl w:ilvl="0">
      <w:lvlJc w:val="left"/>
      <w:lvlText w:val="(%1)"/>
      <w:numFmt w:val="lowerLetter"/>
      <w:start w:val="2"/>
    </w:lvl>
    <w:lvl w:ilvl="1">
      <w:lvlJc w:val="left"/>
      <w:lvlText w:val="%2"/>
      <w:numFmt w:val="lowerRoman"/>
      <w:start w:val="1"/>
    </w:lvl>
  </w:abstractNum>
  <w:abstractNum w:abstractNumId="214">
    <w:nsid w:val="75509D76"/>
    <w:multiLevelType w:val="hybridMultilevel"/>
    <w:lvl w:ilvl="0">
      <w:lvlJc w:val="left"/>
      <w:lvlText w:val="(%1)"/>
      <w:numFmt w:val="lowerLetter"/>
      <w:start w:val="3"/>
    </w:lvl>
  </w:abstractNum>
  <w:abstractNum w:abstractNumId="215">
    <w:nsid w:val="1AF7F0EA"/>
    <w:multiLevelType w:val="hybridMultilevel"/>
    <w:lvl w:ilvl="0">
      <w:lvlJc w:val="left"/>
      <w:lvlText w:val="%1"/>
      <w:numFmt w:val="lowerLetter"/>
      <w:start w:val="1"/>
    </w:lvl>
    <w:lvl w:ilvl="1">
      <w:lvlJc w:val="left"/>
      <w:lvlText w:val="(%2)"/>
      <w:numFmt w:val="lowerLetter"/>
      <w:start w:val="4"/>
    </w:lvl>
  </w:abstractNum>
  <w:abstractNum w:abstractNumId="216">
    <w:nsid w:val="4DA32C7E"/>
    <w:multiLevelType w:val="hybridMultilevel"/>
    <w:lvl w:ilvl="0">
      <w:lvlJc w:val="left"/>
      <w:lvlText w:val="(%1)"/>
      <w:numFmt w:val="lowerLetter"/>
      <w:start w:val="35"/>
    </w:lvl>
    <w:lvl w:ilvl="1">
      <w:lvlJc w:val="left"/>
      <w:lvlText w:val="(%2)"/>
      <w:numFmt w:val="lowerLetter"/>
      <w:start w:val="5"/>
    </w:lvl>
  </w:abstractNum>
  <w:abstractNum w:abstractNumId="217">
    <w:nsid w:val="6EC68664"/>
    <w:multiLevelType w:val="hybridMultilevel"/>
    <w:lvl w:ilvl="0">
      <w:lvlJc w:val="left"/>
      <w:lvlText w:val="(%1)"/>
      <w:numFmt w:val="lowerLetter"/>
      <w:start w:val="1"/>
    </w:lvl>
  </w:abstractNum>
  <w:abstractNum w:abstractNumId="218">
    <w:nsid w:val="E0D31FF"/>
    <w:multiLevelType w:val="hybridMultilevel"/>
    <w:lvl w:ilvl="0">
      <w:lvlJc w:val="left"/>
      <w:lvlText w:val="(%1)"/>
      <w:numFmt w:val="lowerLetter"/>
      <w:start w:val="1"/>
    </w:lvl>
  </w:abstractNum>
  <w:abstractNum w:abstractNumId="219">
    <w:nsid w:val="2FD0AD81"/>
    <w:multiLevelType w:val="hybridMultilevel"/>
    <w:lvl w:ilvl="0">
      <w:lvlJc w:val="left"/>
      <w:lvlText w:val="(%1)"/>
      <w:numFmt w:val="lowerLetter"/>
      <w:start w:val="1"/>
    </w:lvl>
  </w:abstractNum>
  <w:abstractNum w:abstractNumId="220">
    <w:nsid w:val="1978EBEB"/>
    <w:multiLevelType w:val="hybridMultilevel"/>
    <w:lvl w:ilvl="0">
      <w:lvlJc w:val="left"/>
      <w:lvlText w:val="(%1)"/>
      <w:numFmt w:val="lowerLetter"/>
      <w:start w:val="2"/>
    </w:lvl>
  </w:abstractNum>
  <w:abstractNum w:abstractNumId="221">
    <w:nsid w:val="52C12C61"/>
    <w:multiLevelType w:val="hybridMultilevel"/>
    <w:lvl w:ilvl="0">
      <w:lvlJc w:val="left"/>
      <w:lvlText w:val="%1"/>
      <w:numFmt w:val="lowerRoman"/>
      <w:start w:val="1"/>
    </w:lvl>
    <w:lvl w:ilvl="1">
      <w:lvlJc w:val="left"/>
      <w:lvlText w:val="(%2)"/>
      <w:numFmt w:val="lowerLetter"/>
      <w:start w:val="1"/>
    </w:lvl>
  </w:abstractNum>
  <w:abstractNum w:abstractNumId="222">
    <w:nsid w:val="4BDD53FD"/>
    <w:multiLevelType w:val="hybridMultilevel"/>
    <w:lvl w:ilvl="0">
      <w:lvlJc w:val="left"/>
      <w:lvlText w:val="(%1)"/>
      <w:numFmt w:val="lowerRoman"/>
      <w:start w:val="6"/>
    </w:lvl>
    <w:lvl w:ilvl="1">
      <w:lvlJc w:val="left"/>
      <w:lvlText w:val="%2"/>
      <w:numFmt w:val="lowerLetter"/>
      <w:start w:val="1"/>
    </w:lvl>
  </w:abstractNum>
  <w:abstractNum w:abstractNumId="223">
    <w:nsid w:val="569951FE"/>
    <w:multiLevelType w:val="hybridMultilevel"/>
    <w:lvl w:ilvl="0">
      <w:lvlJc w:val="left"/>
      <w:lvlText w:val="(%1)"/>
      <w:numFmt w:val="lowerLetter"/>
      <w:start w:val="2"/>
    </w:lvl>
  </w:abstractNum>
  <w:abstractNum w:abstractNumId="224">
    <w:nsid w:val="4C54E2C3"/>
    <w:multiLevelType w:val="hybridMultilevel"/>
    <w:lvl w:ilvl="0">
      <w:lvlJc w:val="left"/>
      <w:lvlText w:val="(%1)"/>
      <w:numFmt w:val="lowerLetter"/>
      <w:start w:val="1"/>
    </w:lvl>
  </w:abstractNum>
  <w:abstractNum w:abstractNumId="225">
    <w:nsid w:val="788BD9B"/>
    <w:multiLevelType w:val="hybridMultilevel"/>
    <w:lvl w:ilvl="0">
      <w:lvlJc w:val="left"/>
      <w:lvlText w:val="(%1)"/>
      <w:numFmt w:val="lowerLetter"/>
      <w:start w:val="1"/>
    </w:lvl>
  </w:abstractNum>
  <w:abstractNum w:abstractNumId="226">
    <w:nsid w:val="47CAA567"/>
    <w:multiLevelType w:val="hybridMultilevel"/>
    <w:lvl w:ilvl="0">
      <w:lvlJc w:val="left"/>
      <w:lvlText w:val="(%1)"/>
      <w:numFmt w:val="lowerLetter"/>
      <w:start w:val="1"/>
    </w:lvl>
    <w:lvl w:ilvl="1">
      <w:lvlJc w:val="left"/>
      <w:lvlText w:val="(%2)"/>
      <w:numFmt w:val="lowerRoman"/>
      <w:start w:val="1"/>
    </w:lvl>
  </w:abstractNum>
  <w:abstractNum w:abstractNumId="227">
    <w:nsid w:val="48249DBF"/>
    <w:multiLevelType w:val="hybridMultilevel"/>
    <w:lvl w:ilvl="0">
      <w:lvlJc w:val="left"/>
      <w:lvlText w:val="(%1)"/>
      <w:numFmt w:val="lowerRoman"/>
      <w:start w:val="6"/>
    </w:lvl>
  </w:abstractNum>
  <w:abstractNum w:abstractNumId="228">
    <w:nsid w:val="1F0E5D0D"/>
    <w:multiLevelType w:val="hybridMultilevel"/>
    <w:lvl w:ilvl="0">
      <w:lvlJc w:val="left"/>
      <w:lvlText w:val="%1"/>
      <w:numFmt w:val="lowerLetter"/>
      <w:start w:val="1"/>
    </w:lvl>
    <w:lvl w:ilvl="1">
      <w:lvlJc w:val="left"/>
      <w:lvlText w:val="(%2)"/>
      <w:numFmt w:val="lowerRoman"/>
      <w:start w:val="15"/>
    </w:lvl>
  </w:abstractNum>
  <w:abstractNum w:abstractNumId="229">
    <w:nsid w:val="26BAAE9"/>
    <w:multiLevelType w:val="hybridMultilevel"/>
    <w:lvl w:ilvl="0">
      <w:lvlJc w:val="left"/>
      <w:lvlText w:val="(%1)"/>
      <w:numFmt w:val="lowerLetter"/>
      <w:start w:val="2"/>
    </w:lvl>
    <w:lvl w:ilvl="1">
      <w:lvlJc w:val="left"/>
      <w:lvlText w:val="%2"/>
      <w:numFmt w:val="lowerRoman"/>
      <w:start w:val="1"/>
    </w:lvl>
  </w:abstractNum>
  <w:abstractNum w:abstractNumId="230">
    <w:nsid w:val="2C02FE8C"/>
    <w:multiLevelType w:val="hybridMultilevel"/>
    <w:lvl w:ilvl="0">
      <w:lvlJc w:val="left"/>
      <w:lvlText w:val="(%1)"/>
      <w:numFmt w:val="lowerLetter"/>
      <w:start w:val="1"/>
    </w:lvl>
  </w:abstractNum>
  <w:abstractNum w:abstractNumId="231">
    <w:nsid w:val="129517E"/>
    <w:multiLevelType w:val="hybridMultilevel"/>
    <w:lvl w:ilvl="0">
      <w:lvlJc w:val="left"/>
      <w:lvlText w:val="(%1)"/>
      <w:numFmt w:val="lowerLetter"/>
      <w:start w:val="1"/>
    </w:lvl>
  </w:abstractNum>
  <w:abstractNum w:abstractNumId="232">
    <w:nsid w:val="763B8C4E"/>
    <w:multiLevelType w:val="hybridMultilevel"/>
    <w:lvl w:ilvl="0">
      <w:lvlJc w:val="left"/>
      <w:lvlText w:val="(%1)"/>
      <w:numFmt w:val="lowerLetter"/>
      <w:start w:val="4"/>
    </w:lvl>
  </w:abstractNum>
  <w:abstractNum w:abstractNumId="233">
    <w:nsid w:val="4CFB8D32"/>
    <w:multiLevelType w:val="hybridMultilevel"/>
    <w:lvl w:ilvl="0">
      <w:lvlJc w:val="left"/>
      <w:lvlText w:val="(%1)"/>
      <w:numFmt w:val="lowerLetter"/>
      <w:start w:val="1"/>
    </w:lvl>
  </w:abstractNum>
  <w:abstractNum w:abstractNumId="234">
    <w:nsid w:val="62A5D5BD"/>
    <w:multiLevelType w:val="hybridMultilevel"/>
    <w:lvl w:ilvl="0">
      <w:lvlJc w:val="left"/>
      <w:lvlText w:val="(%1)"/>
      <w:numFmt w:val="lowerLetter"/>
      <w:start w:val="3"/>
    </w:lvl>
  </w:abstractNum>
  <w:abstractNum w:abstractNumId="235">
    <w:nsid w:val="718FABF9"/>
    <w:multiLevelType w:val="hybridMultilevel"/>
    <w:lvl w:ilvl="0">
      <w:lvlJc w:val="left"/>
      <w:lvlText w:val="%1"/>
      <w:numFmt w:val="decimal"/>
      <w:start w:val="1"/>
    </w:lvl>
    <w:lvl w:ilvl="1">
      <w:lvlJc w:val="left"/>
      <w:lvlText w:val="(%2)"/>
      <w:numFmt w:val="lowerLetter"/>
      <w:start w:val="14"/>
    </w:lvl>
  </w:abstractNum>
  <w:abstractNum w:abstractNumId="236">
    <w:nsid w:val="7775797C"/>
    <w:multiLevelType w:val="hybridMultilevel"/>
    <w:lvl w:ilvl="0">
      <w:lvlJc w:val="left"/>
      <w:lvlText w:val="(%1)"/>
      <w:numFmt w:val="decimal"/>
      <w:start w:val="2"/>
    </w:lvl>
    <w:lvl w:ilvl="1">
      <w:lvlJc w:val="left"/>
      <w:lvlText w:val="(%2)"/>
      <w:numFmt w:val="lowerLetter"/>
      <w:start w:val="16"/>
    </w:lvl>
  </w:abstractNum>
  <w:abstractNum w:abstractNumId="237">
    <w:nsid w:val="1626FB8C"/>
    <w:multiLevelType w:val="hybridMultilevel"/>
    <w:lvl w:ilvl="0">
      <w:lvlJc w:val="left"/>
      <w:lvlText w:val="(%1)"/>
      <w:numFmt w:val="lowerLetter"/>
      <w:start w:val="23"/>
    </w:lvl>
  </w:abstractNum>
  <w:abstractNum w:abstractNumId="238">
    <w:nsid w:val="3957756A"/>
    <w:multiLevelType w:val="hybridMultilevel"/>
    <w:lvl w:ilvl="0">
      <w:lvlJc w:val="left"/>
      <w:lvlText w:val="(%1)"/>
      <w:numFmt w:val="lowerLetter"/>
      <w:start w:val="27"/>
    </w:lvl>
  </w:abstractNum>
  <w:abstractNum w:abstractNumId="239">
    <w:nsid w:val="3E6DA1C7"/>
    <w:multiLevelType w:val="hybridMultilevel"/>
    <w:lvl w:ilvl="0">
      <w:lvlJc w:val="left"/>
      <w:lvlText w:val="(%1)"/>
      <w:numFmt w:val="lowerLetter"/>
      <w:start w:val="1"/>
    </w:lvl>
  </w:abstractNum>
  <w:abstractNum w:abstractNumId="240">
    <w:nsid w:val="65CA235B"/>
    <w:multiLevelType w:val="hybridMultilevel"/>
    <w:lvl w:ilvl="0">
      <w:lvlJc w:val="left"/>
      <w:lvlText w:val="(%1)"/>
      <w:numFmt w:val="lowerLetter"/>
      <w:start w:val="3"/>
    </w:lvl>
  </w:abstractNum>
  <w:abstractNum w:abstractNumId="241">
    <w:nsid w:val="51CB0DA4"/>
    <w:multiLevelType w:val="hybridMultilevel"/>
    <w:lvl w:ilvl="0">
      <w:lvlJc w:val="left"/>
      <w:lvlText w:val="(%1)"/>
      <w:numFmt w:val="lowerLetter"/>
      <w:start w:val="1"/>
    </w:lvl>
  </w:abstractNum>
  <w:abstractNum w:abstractNumId="242">
    <w:nsid w:val="7B9B743C"/>
    <w:multiLevelType w:val="hybridMultilevel"/>
    <w:lvl w:ilvl="0">
      <w:lvlJc w:val="left"/>
      <w:lvlText w:val="(%1)"/>
      <w:numFmt w:val="lowerLetter"/>
      <w:start w:val="4"/>
    </w:lvl>
  </w:abstractNum>
  <w:abstractNum w:abstractNumId="243">
    <w:nsid w:val="13E21002"/>
    <w:multiLevelType w:val="hybridMultilevel"/>
    <w:lvl w:ilvl="0">
      <w:lvlJc w:val="left"/>
      <w:lvlText w:val="(%1)"/>
      <w:numFmt w:val="lowerLetter"/>
      <w:start w:val="10"/>
    </w:lvl>
  </w:abstractNum>
  <w:abstractNum w:abstractNumId="244">
    <w:nsid w:val="257D63F4"/>
    <w:multiLevelType w:val="hybridMultilevel"/>
    <w:lvl w:ilvl="0">
      <w:lvlJc w:val="left"/>
      <w:lvlText w:val="(%1)"/>
      <w:numFmt w:val="lowerLetter"/>
      <w:start w:val="1"/>
    </w:lvl>
  </w:abstractNum>
  <w:abstractNum w:abstractNumId="245">
    <w:nsid w:val="70EC11B2"/>
    <w:multiLevelType w:val="hybridMultilevel"/>
    <w:lvl w:ilvl="0">
      <w:lvlJc w:val="left"/>
      <w:lvlText w:val="(%1)"/>
      <w:numFmt w:val="lowerLetter"/>
      <w:start w:val="2"/>
    </w:lvl>
  </w:abstractNum>
  <w:abstractNum w:abstractNumId="246">
    <w:nsid w:val="2EDA00ED"/>
    <w:multiLevelType w:val="hybridMultilevel"/>
    <w:lvl w:ilvl="0">
      <w:lvlJc w:val="left"/>
      <w:lvlText w:val="(%1)"/>
      <w:numFmt w:val="lowerLetter"/>
      <w:start w:val="7"/>
    </w:lvl>
  </w:abstractNum>
  <w:abstractNum w:abstractNumId="247">
    <w:nsid w:val="73209072"/>
    <w:multiLevelType w:val="hybridMultilevel"/>
    <w:lvl w:ilvl="0">
      <w:lvlJc w:val="left"/>
      <w:lvlText w:val="(%1)"/>
      <w:numFmt w:val="lowerLetter"/>
      <w:start w:val="1"/>
    </w:lvl>
  </w:abstractNum>
  <w:abstractNum w:abstractNumId="248">
    <w:nsid w:val="5FB29816"/>
    <w:multiLevelType w:val="hybridMultilevel"/>
    <w:lvl w:ilvl="0">
      <w:lvlJc w:val="left"/>
      <w:lvlText w:val="(%1)"/>
      <w:numFmt w:val="lowerLetter"/>
      <w:start w:val="6"/>
    </w:lvl>
  </w:abstractNum>
  <w:abstractNum w:abstractNumId="249">
    <w:nsid w:val="3CE732EC"/>
    <w:multiLevelType w:val="hybridMultilevel"/>
    <w:lvl w:ilvl="0">
      <w:lvlJc w:val="left"/>
      <w:lvlText w:val="(%1)"/>
      <w:numFmt w:val="lowerLetter"/>
      <w:start w:val="1"/>
    </w:lvl>
  </w:abstractNum>
  <w:abstractNum w:abstractNumId="250">
    <w:nsid w:val="22F13DF3"/>
    <w:multiLevelType w:val="hybridMultilevel"/>
    <w:lvl w:ilvl="0">
      <w:lvlJc w:val="left"/>
      <w:lvlText w:val="(%1)"/>
      <w:numFmt w:val="lowerLetter"/>
      <w:start w:val="2"/>
    </w:lvl>
  </w:abstractNum>
  <w:abstractNum w:abstractNumId="251">
    <w:nsid w:val="792B8401"/>
    <w:multiLevelType w:val="hybridMultilevel"/>
    <w:lvl w:ilvl="0">
      <w:lvlJc w:val="left"/>
      <w:lvlText w:val="(%1)"/>
      <w:numFmt w:val="lowerLetter"/>
      <w:start w:val="5"/>
    </w:lvl>
  </w:abstractNum>
  <w:abstractNum w:abstractNumId="252">
    <w:nsid w:val="FA85F4D"/>
    <w:multiLevelType w:val="hybridMultilevel"/>
    <w:lvl w:ilvl="0">
      <w:lvlJc w:val="left"/>
      <w:lvlText w:val="(%1)"/>
      <w:numFmt w:val="lowerLetter"/>
      <w:start w:val="10"/>
    </w:lvl>
  </w:abstractNum>
  <w:abstractNum w:abstractNumId="253">
    <w:nsid w:val="6ECE91F0"/>
    <w:multiLevelType w:val="hybridMultilevel"/>
    <w:lvl w:ilvl="0">
      <w:lvlJc w:val="left"/>
      <w:lvlText w:val="(%1)"/>
      <w:numFmt w:val="lowerLetter"/>
      <w:start w:val="14"/>
    </w:lvl>
  </w:abstractNum>
  <w:abstractNum w:abstractNumId="254">
    <w:nsid w:val="4FC4D600"/>
    <w:multiLevelType w:val="hybridMultilevel"/>
    <w:lvl w:ilvl="0">
      <w:lvlJc w:val="left"/>
      <w:lvlText w:val="(%1)"/>
      <w:numFmt w:val="lowerLetter"/>
      <w:start w:val="61"/>
    </w:lvl>
    <w:lvl w:ilvl="1">
      <w:lvlJc w:val="left"/>
      <w:lvlText w:val="(%2)"/>
      <w:numFmt w:val="lowerLetter"/>
      <w:start w:val="17"/>
    </w:lvl>
  </w:abstractNum>
  <w:abstractNum w:abstractNumId="255">
    <w:nsid w:val="5BFD4210"/>
    <w:multiLevelType w:val="hybridMultilevel"/>
    <w:lvl w:ilvl="0">
      <w:lvlJc w:val="left"/>
      <w:lvlText w:val="(%1)"/>
      <w:numFmt w:val="lowerLetter"/>
      <w:start w:val="1"/>
    </w:lvl>
  </w:abstractNum>
  <w:abstractNum w:abstractNumId="256">
    <w:nsid w:val="76574F8B"/>
    <w:multiLevelType w:val="hybridMultilevel"/>
    <w:lvl w:ilvl="0">
      <w:lvlJc w:val="left"/>
      <w:lvlText w:val="(%1)"/>
      <w:numFmt w:val="lowerLetter"/>
      <w:start w:val="4"/>
    </w:lvl>
  </w:abstractNum>
  <w:abstractNum w:abstractNumId="257">
    <w:nsid w:val="178F7B67"/>
    <w:multiLevelType w:val="hybridMultilevel"/>
    <w:lvl w:ilvl="0">
      <w:lvlJc w:val="left"/>
      <w:lvlText w:val="(%1)"/>
      <w:numFmt w:val="lowerLetter"/>
      <w:start w:val="1"/>
    </w:lvl>
  </w:abstractNum>
  <w:abstractNum w:abstractNumId="258">
    <w:nsid w:val="2421DFCF"/>
    <w:multiLevelType w:val="hybridMultilevel"/>
    <w:lvl w:ilvl="0">
      <w:lvlJc w:val="left"/>
      <w:lvlText w:val="(%1)"/>
      <w:numFmt w:val="lowerLetter"/>
      <w:start w:val="2"/>
    </w:lvl>
  </w:abstractNum>
  <w:abstractNum w:abstractNumId="259">
    <w:nsid w:val="1565AC99"/>
    <w:multiLevelType w:val="hybridMultilevel"/>
    <w:lvl w:ilvl="0">
      <w:lvlJc w:val="left"/>
      <w:lvlText w:val="(%1)"/>
      <w:numFmt w:val="lowerLetter"/>
      <w:start w:val="1"/>
    </w:lvl>
  </w:abstractNum>
  <w:abstractNum w:abstractNumId="260">
    <w:nsid w:val="19FB2650"/>
    <w:multiLevelType w:val="hybridMultilevel"/>
    <w:lvl w:ilvl="0">
      <w:lvlJc w:val="left"/>
      <w:lvlText w:val="(%1)"/>
      <w:numFmt w:val="lowerLetter"/>
      <w:start w:val="1"/>
    </w:lvl>
  </w:abstractNum>
  <w:abstractNum w:abstractNumId="261">
    <w:nsid w:val="5024DE5B"/>
    <w:multiLevelType w:val="hybridMultilevel"/>
    <w:lvl w:ilvl="0">
      <w:lvlJc w:val="left"/>
      <w:lvlText w:val="%1"/>
      <w:numFmt w:val="lowerRoman"/>
      <w:start w:val="1"/>
    </w:lvl>
    <w:lvl w:ilvl="1">
      <w:lvlJc w:val="left"/>
      <w:lvlText w:val="(%2)"/>
      <w:numFmt w:val="lowerLetter"/>
      <w:start w:val="1"/>
    </w:lvl>
  </w:abstractNum>
  <w:abstractNum w:abstractNumId="262">
    <w:nsid w:val="168EFE17"/>
    <w:multiLevelType w:val="hybridMultilevel"/>
    <w:lvl w:ilvl="0">
      <w:lvlJc w:val="left"/>
      <w:lvlText w:val="(%1)"/>
      <w:numFmt w:val="lowerRoman"/>
      <w:start w:val="4"/>
    </w:lvl>
    <w:lvl w:ilvl="1">
      <w:lvlJc w:val="left"/>
      <w:lvlText w:val="(%2)"/>
      <w:numFmt w:val="lowerLetter"/>
      <w:start w:val="2"/>
    </w:lvl>
  </w:abstractNum>
  <w:abstractNum w:abstractNumId="263">
    <w:nsid w:val="1036B29F"/>
    <w:multiLevelType w:val="hybridMultilevel"/>
    <w:lvl w:ilvl="0">
      <w:lvlJc w:val="left"/>
      <w:lvlText w:val="(%1)"/>
      <w:numFmt w:val="lowerLetter"/>
      <w:start w:val="1"/>
    </w:lvl>
  </w:abstractNum>
  <w:abstractNum w:abstractNumId="264">
    <w:nsid w:val="1D206B8E"/>
    <w:multiLevelType w:val="hybridMultilevel"/>
    <w:lvl w:ilvl="0">
      <w:lvlJc w:val="left"/>
      <w:lvlText w:val="(%1)"/>
      <w:numFmt w:val="lowerLetter"/>
      <w:start w:val="1"/>
    </w:lvl>
  </w:abstractNum>
  <w:abstractNum w:abstractNumId="265">
    <w:nsid w:val="7934D3D4"/>
    <w:multiLevelType w:val="hybridMultilevel"/>
    <w:lvl w:ilvl="0">
      <w:lvlJc w:val="left"/>
      <w:lvlText w:val="(%1)"/>
      <w:numFmt w:val="lowerLetter"/>
      <w:start w:val="2"/>
    </w:lvl>
  </w:abstractNum>
  <w:abstractNum w:abstractNumId="266">
    <w:nsid w:val="1C65E98"/>
    <w:multiLevelType w:val="hybridMultilevel"/>
    <w:lvl w:ilvl="0">
      <w:lvlJc w:val="left"/>
      <w:lvlText w:val="(%1)"/>
      <w:numFmt w:val="lowerLetter"/>
      <w:start w:val="14"/>
    </w:lvl>
  </w:abstractNum>
  <w:abstractNum w:abstractNumId="267">
    <w:nsid w:val="1495E50A"/>
    <w:multiLevelType w:val="hybridMultilevel"/>
    <w:lvl w:ilvl="0">
      <w:lvlJc w:val="left"/>
      <w:lvlText w:val="(%1)"/>
      <w:numFmt w:val="lowerLetter"/>
      <w:start w:val="1"/>
    </w:lvl>
  </w:abstractNum>
  <w:abstractNum w:abstractNumId="268">
    <w:nsid w:val="F5BCF61"/>
    <w:multiLevelType w:val="hybridMultilevel"/>
    <w:lvl w:ilvl="0">
      <w:lvlJc w:val="left"/>
      <w:lvlText w:val="%1"/>
      <w:numFmt w:val="upperLetter"/>
      <w:start w:val="1"/>
    </w:lvl>
    <w:lvl w:ilvl="1">
      <w:lvlJc w:val="left"/>
      <w:lvlText w:val="(%2)"/>
      <w:numFmt w:val="lowerLetter"/>
      <w:start w:val="14"/>
    </w:lvl>
  </w:abstractNum>
  <w:abstractNum w:abstractNumId="269">
    <w:nsid w:val="3B1DD403"/>
    <w:multiLevelType w:val="hybridMultilevel"/>
    <w:lvl w:ilvl="0">
      <w:lvlJc w:val="left"/>
      <w:lvlText w:val="(%1)"/>
      <w:numFmt w:val="upperLetter"/>
      <w:start w:val="1"/>
    </w:lvl>
    <w:lvl w:ilvl="1">
      <w:lvlJc w:val="left"/>
      <w:lvlText w:val="(%2)"/>
      <w:numFmt w:val="lowerLetter"/>
      <w:start w:val="18"/>
    </w:lvl>
  </w:abstractNum>
  <w:abstractNum w:abstractNumId="270">
    <w:nsid w:val="530386D1"/>
    <w:multiLevelType w:val="hybridMultilevel"/>
    <w:lvl w:ilvl="0">
      <w:lvlJc w:val="left"/>
      <w:lvlText w:val="(%1)"/>
      <w:numFmt w:val="lowerLetter"/>
      <w:start w:val="22"/>
    </w:lvl>
    <w:lvl w:ilvl="1">
      <w:lvlJc w:val="left"/>
      <w:lvlText w:val="(%2)"/>
      <w:numFmt w:val="lowerLetter"/>
      <w:start w:val="20"/>
    </w:lvl>
  </w:abstractNum>
  <w:abstractNum w:abstractNumId="271">
    <w:nsid w:val="7525F2BC"/>
    <w:multiLevelType w:val="hybridMultilevel"/>
    <w:lvl w:ilvl="0">
      <w:lvlJc w:val="left"/>
      <w:lvlText w:val="(%1)"/>
      <w:numFmt w:val="lowerLetter"/>
      <w:start w:val="1"/>
    </w:lvl>
  </w:abstractNum>
  <w:abstractNum w:abstractNumId="272">
    <w:nsid w:val="CE8E1A7"/>
    <w:multiLevelType w:val="hybridMultilevel"/>
    <w:lvl w:ilvl="0">
      <w:lvlJc w:val="left"/>
      <w:lvlText w:val="(%1)"/>
      <w:numFmt w:val="lowerLetter"/>
      <w:start w:val="2"/>
    </w:lvl>
  </w:abstractNum>
  <w:abstractNum w:abstractNumId="273">
    <w:nsid w:val="4E9EFB0D"/>
    <w:multiLevelType w:val="hybridMultilevel"/>
    <w:lvl w:ilvl="0">
      <w:lvlJc w:val="left"/>
      <w:lvlText w:val="(%1)"/>
      <w:numFmt w:val="lowerLetter"/>
      <w:start w:val="1"/>
    </w:lvl>
  </w:abstractNum>
  <w:abstractNum w:abstractNumId="274">
    <w:nsid w:val="90802BE"/>
    <w:multiLevelType w:val="hybridMultilevel"/>
    <w:lvl w:ilvl="0">
      <w:lvlJc w:val="left"/>
      <w:lvlText w:val="(%1)"/>
      <w:numFmt w:val="lowerLetter"/>
      <w:start w:val="3"/>
    </w:lvl>
  </w:abstractNum>
  <w:abstractNum w:abstractNumId="275">
    <w:nsid w:val="3266459B"/>
    <w:multiLevelType w:val="hybridMultilevel"/>
    <w:lvl w:ilvl="0">
      <w:lvlJc w:val="left"/>
      <w:lvlText w:val="(%1)"/>
      <w:numFmt w:val="lowerLetter"/>
      <w:start w:val="1"/>
    </w:lvl>
  </w:abstractNum>
  <w:abstractNum w:abstractNumId="276">
    <w:nsid w:val="3F8B0CBF"/>
    <w:multiLevelType w:val="hybridMultilevel"/>
    <w:lvl w:ilvl="0">
      <w:lvlJc w:val="left"/>
      <w:lvlText w:val="(%1)"/>
      <w:numFmt w:val="lowerLetter"/>
      <w:start w:val="1"/>
    </w:lvl>
  </w:abstractNum>
  <w:abstractNum w:abstractNumId="277">
    <w:nsid w:val="37E203AB"/>
    <w:multiLevelType w:val="hybridMultilevel"/>
    <w:lvl w:ilvl="0">
      <w:lvlJc w:val="left"/>
      <w:lvlText w:val="(%1)"/>
      <w:numFmt w:val="lowerLetter"/>
      <w:start w:val="4"/>
    </w:lvl>
  </w:abstractNum>
  <w:abstractNum w:abstractNumId="278">
    <w:nsid w:val="2586D60E"/>
    <w:multiLevelType w:val="hybridMultilevel"/>
    <w:lvl w:ilvl="0">
      <w:lvlJc w:val="left"/>
      <w:lvlText w:val="(%1)"/>
      <w:numFmt w:val="lowerLetter"/>
      <w:start w:val="1"/>
    </w:lvl>
  </w:abstractNum>
  <w:abstractNum w:abstractNumId="279">
    <w:nsid w:val="1F3DA4D5"/>
    <w:multiLevelType w:val="hybridMultilevel"/>
    <w:lvl w:ilvl="0">
      <w:lvlJc w:val="left"/>
      <w:lvlText w:val="(%1)"/>
      <w:numFmt w:val="lowerLetter"/>
      <w:start w:val="1"/>
    </w:lvl>
    <w:lvl w:ilvl="1">
      <w:lvlJc w:val="left"/>
      <w:lvlText w:val="(%2)"/>
      <w:numFmt w:val="lowerRoman"/>
      <w:start w:val="1"/>
    </w:lvl>
  </w:abstractNum>
  <w:abstractNum w:abstractNumId="280">
    <w:nsid w:val="74C93698"/>
    <w:multiLevelType w:val="hybridMultilevel"/>
    <w:lvl w:ilvl="0">
      <w:lvlJc w:val="left"/>
      <w:lvlText w:val="%1"/>
      <w:numFmt w:val="lowerLetter"/>
      <w:start w:val="1"/>
    </w:lvl>
    <w:lvl w:ilvl="1">
      <w:lvlJc w:val="left"/>
      <w:lvlText w:val="(%2)"/>
      <w:numFmt w:val="lowerRoman"/>
      <w:start w:val="3"/>
    </w:lvl>
  </w:abstractNum>
  <w:abstractNum w:abstractNumId="281">
    <w:nsid w:val="48781401"/>
    <w:multiLevelType w:val="hybridMultilevel"/>
    <w:lvl w:ilvl="0">
      <w:lvlJc w:val="left"/>
      <w:lvlText w:val="(%1)"/>
      <w:numFmt w:val="lowerLetter"/>
      <w:start w:val="2"/>
    </w:lvl>
    <w:lvl w:ilvl="1">
      <w:lvlJc w:val="left"/>
      <w:lvlText w:val="%2"/>
      <w:numFmt w:val="lowerRoman"/>
      <w:start w:val="1"/>
    </w:lvl>
  </w:abstractNum>
  <w:abstractNum w:abstractNumId="282">
    <w:nsid w:val="186928D6"/>
    <w:multiLevelType w:val="hybridMultilevel"/>
    <w:lvl w:ilvl="0">
      <w:lvlJc w:val="left"/>
      <w:lvlText w:val="%1"/>
      <w:numFmt w:val="decimal"/>
      <w:start w:val="1"/>
    </w:lvl>
    <w:lvl w:ilvl="1">
      <w:lvlJc w:val="left"/>
      <w:lvlText w:val="(%2)"/>
      <w:numFmt w:val="lowerLetter"/>
      <w:start w:val="1"/>
    </w:lvl>
  </w:abstractNum>
  <w:abstractNum w:abstractNumId="283">
    <w:nsid w:val="47195E5"/>
    <w:multiLevelType w:val="hybridMultilevel"/>
    <w:lvl w:ilvl="0">
      <w:lvlJc w:val="left"/>
      <w:lvlText w:val="(%1)"/>
      <w:numFmt w:val="decimal"/>
      <w:start w:val="15"/>
    </w:lvl>
    <w:lvl w:ilvl="1">
      <w:lvlJc w:val="left"/>
      <w:lvlText w:val="(%2)"/>
      <w:numFmt w:val="lowerLetter"/>
      <w:start w:val="5"/>
    </w:lvl>
  </w:abstractNum>
  <w:abstractNum w:abstractNumId="284">
    <w:nsid w:val="3746A5F2"/>
    <w:multiLevelType w:val="hybridMultilevel"/>
    <w:lvl w:ilvl="0">
      <w:lvlJc w:val="left"/>
      <w:lvlText w:val="%1"/>
      <w:numFmt w:val="decimal"/>
      <w:start w:val="1"/>
    </w:lvl>
    <w:lvl w:ilvl="1">
      <w:lvlJc w:val="left"/>
      <w:lvlText w:val="(%2)"/>
      <w:numFmt w:val="lowerLetter"/>
      <w:start w:val="6"/>
    </w:lvl>
  </w:abstractNum>
  <w:abstractNum w:abstractNumId="285">
    <w:nsid w:val="682DFED6"/>
    <w:multiLevelType w:val="hybridMultilevel"/>
    <w:lvl w:ilvl="0">
      <w:lvlJc w:val="left"/>
      <w:lvlText w:val="(%1)"/>
      <w:numFmt w:val="decimal"/>
      <w:start w:val="10"/>
    </w:lvl>
    <w:lvl w:ilvl="1">
      <w:lvlJc w:val="left"/>
      <w:lvlText w:val="(%2)"/>
      <w:numFmt w:val="lowerLetter"/>
      <w:start w:val="8"/>
    </w:lvl>
  </w:abstractNum>
  <w:abstractNum w:abstractNumId="286">
    <w:nsid w:val="606ED7F6"/>
    <w:multiLevelType w:val="hybridMultilevel"/>
    <w:lvl w:ilvl="0">
      <w:lvlJc w:val="left"/>
      <w:lvlText w:val="(%1)"/>
      <w:numFmt w:val="lowerLetter"/>
      <w:start w:val="1"/>
    </w:lvl>
    <w:lvl w:ilvl="1">
      <w:lvlJc w:val="left"/>
      <w:lvlText w:val="(%2)"/>
      <w:numFmt w:val="lowerRoman"/>
      <w:start w:val="1"/>
    </w:lvl>
  </w:abstractNum>
  <w:abstractNum w:abstractNumId="287">
    <w:nsid w:val="2D9DF57D"/>
    <w:multiLevelType w:val="hybridMultilevel"/>
    <w:lvl w:ilvl="0">
      <w:lvlJc w:val="left"/>
      <w:lvlText w:val="(%1)"/>
      <w:numFmt w:val="lowerRoman"/>
      <w:start w:val="2"/>
    </w:lvl>
  </w:abstractNum>
  <w:abstractNum w:abstractNumId="288">
    <w:nsid w:val="7FBD7A3E"/>
    <w:multiLevelType w:val="hybridMultilevel"/>
    <w:lvl w:ilvl="0">
      <w:lvlJc w:val="left"/>
      <w:lvlText w:val="(%1)"/>
      <w:numFmt w:val="lowerLetter"/>
      <w:start w:val="1"/>
    </w:lvl>
  </w:abstractNum>
  <w:abstractNum w:abstractNumId="289">
    <w:nsid w:val="490B7C5"/>
    <w:multiLevelType w:val="hybridMultilevel"/>
    <w:lvl w:ilvl="0">
      <w:lvlJc w:val="left"/>
      <w:lvlText w:val="(%1)"/>
      <w:numFmt w:val="lowerLetter"/>
      <w:start w:val="3"/>
    </w:lvl>
  </w:abstractNum>
  <w:abstractNum w:abstractNumId="290">
    <w:nsid w:val="4303A216"/>
    <w:multiLevelType w:val="hybridMultilevel"/>
    <w:lvl w:ilvl="0">
      <w:lvlJc w:val="left"/>
      <w:lvlText w:val="(%1)"/>
      <w:numFmt w:val="lowerLetter"/>
      <w:start w:val="1"/>
    </w:lvl>
  </w:abstractNum>
  <w:abstractNum w:abstractNumId="291">
    <w:nsid w:val="19B8A08E"/>
    <w:multiLevelType w:val="hybridMultilevel"/>
    <w:lvl w:ilvl="0">
      <w:lvlJc w:val="left"/>
      <w:lvlText w:val="(%1)"/>
      <w:numFmt w:val="lowerLetter"/>
      <w:start w:val="1"/>
    </w:lvl>
  </w:abstractNum>
  <w:abstractNum w:abstractNumId="292">
    <w:nsid w:val="54B59621"/>
    <w:multiLevelType w:val="hybridMultilevel"/>
    <w:lvl w:ilvl="0">
      <w:lvlJc w:val="left"/>
      <w:lvlText w:val="(%1)"/>
      <w:numFmt w:val="lowerLetter"/>
      <w:start w:val="1"/>
    </w:lvl>
  </w:abstractNum>
  <w:abstractNum w:abstractNumId="293">
    <w:nsid w:val="5992A02E"/>
    <w:multiLevelType w:val="hybridMultilevel"/>
    <w:lvl w:ilvl="0">
      <w:lvlJc w:val="left"/>
      <w:lvlText w:val="(%1)"/>
      <w:numFmt w:val="lowerLetter"/>
      <w:start w:val="1"/>
    </w:lvl>
  </w:abstractNum>
  <w:abstractNum w:abstractNumId="294">
    <w:nsid w:val="29EF532D"/>
    <w:multiLevelType w:val="hybridMultilevel"/>
    <w:lvl w:ilvl="0">
      <w:lvlJc w:val="left"/>
      <w:lvlText w:val="%1"/>
      <w:numFmt w:val="lowerLetter"/>
      <w:start w:val="1"/>
    </w:lvl>
    <w:lvl w:ilvl="1">
      <w:lvlJc w:val="left"/>
      <w:lvlText w:val="(%2)"/>
      <w:numFmt w:val="lowerLetter"/>
      <w:start w:val="1"/>
    </w:lvl>
  </w:abstractNum>
  <w:abstractNum w:abstractNumId="295">
    <w:nsid w:val="71D601AF"/>
    <w:multiLevelType w:val="hybridMultilevel"/>
    <w:lvl w:ilvl="0">
      <w:lvlJc w:val="left"/>
      <w:lvlText w:val="(%1)"/>
      <w:numFmt w:val="lowerLetter"/>
      <w:start w:val="61"/>
    </w:lvl>
    <w:lvl w:ilvl="1">
      <w:lvlJc w:val="left"/>
      <w:lvlText w:val="(%2)"/>
      <w:numFmt w:val="lowerLetter"/>
      <w:start w:val="2"/>
    </w:lvl>
  </w:abstractNum>
  <w:abstractNum w:abstractNumId="296">
    <w:nsid w:val="52C77402"/>
    <w:multiLevelType w:val="hybridMultilevel"/>
    <w:lvl w:ilvl="0">
      <w:lvlJc w:val="left"/>
      <w:lvlText w:val="(%1)"/>
      <w:numFmt w:val="lowerLetter"/>
      <w:start w:val="1"/>
    </w:lvl>
  </w:abstractNum>
  <w:abstractNum w:abstractNumId="297">
    <w:nsid w:val="2BB5B1C6"/>
    <w:multiLevelType w:val="hybridMultilevel"/>
    <w:lvl w:ilvl="0">
      <w:lvlJc w:val="left"/>
      <w:lvlText w:val="(%1)"/>
      <w:numFmt w:val="lowerLetter"/>
      <w:start w:val="1"/>
    </w:lvl>
  </w:abstractNum>
  <w:abstractNum w:abstractNumId="298">
    <w:nsid w:val="66BE6B9"/>
    <w:multiLevelType w:val="hybridMultilevel"/>
    <w:lvl w:ilvl="0">
      <w:lvlJc w:val="left"/>
      <w:lvlText w:val="(%1)"/>
      <w:numFmt w:val="lowerLetter"/>
      <w:start w:val="1"/>
    </w:lvl>
    <w:lvl w:ilvl="1">
      <w:lvlJc w:val="left"/>
      <w:lvlText w:val="(%2)"/>
      <w:numFmt w:val="lowerRoman"/>
      <w:start w:val="1"/>
    </w:lvl>
  </w:abstractNum>
  <w:abstractNum w:abstractNumId="299">
    <w:nsid w:val="62234363"/>
    <w:multiLevelType w:val="hybridMultilevel"/>
    <w:lvl w:ilvl="0">
      <w:lvlJc w:val="left"/>
      <w:lvlText w:val="%1"/>
      <w:numFmt w:val="lowerLetter"/>
      <w:start w:val="1"/>
    </w:lvl>
    <w:lvl w:ilvl="1">
      <w:lvlJc w:val="left"/>
      <w:lvlText w:val="(%2)"/>
      <w:numFmt w:val="lowerRoman"/>
      <w:start w:val="1"/>
    </w:lvl>
  </w:abstractNum>
  <w:abstractNum w:abstractNumId="300">
    <w:nsid w:val="66D385C9"/>
    <w:multiLevelType w:val="hybridMultilevel"/>
    <w:lvl w:ilvl="0">
      <w:lvlJc w:val="left"/>
      <w:lvlText w:val="(%1)"/>
      <w:numFmt w:val="lowerLetter"/>
      <w:start w:val="3"/>
    </w:lvl>
    <w:lvl w:ilvl="1">
      <w:lvlJc w:val="left"/>
      <w:lvlText w:val="%2"/>
      <w:numFmt w:val="lowerRoman"/>
      <w:start w:val="1"/>
    </w:lvl>
  </w:abstractNum>
  <w:abstractNum w:abstractNumId="301">
    <w:nsid w:val="596F6D8A"/>
    <w:multiLevelType w:val="hybridMultilevel"/>
    <w:lvl w:ilvl="0">
      <w:lvlJc w:val="left"/>
      <w:lvlText w:val="(%1)"/>
      <w:numFmt w:val="lowerLetter"/>
      <w:start w:val="1"/>
    </w:lvl>
  </w:abstractNum>
  <w:abstractNum w:abstractNumId="302">
    <w:nsid w:val="5749361F"/>
    <w:multiLevelType w:val="hybridMultilevel"/>
    <w:lvl w:ilvl="0">
      <w:lvlJc w:val="left"/>
      <w:lvlText w:val="(%1)"/>
      <w:numFmt w:val="lowerLetter"/>
      <w:start w:val="1"/>
    </w:lvl>
  </w:abstractNum>
  <w:abstractNum w:abstractNumId="303">
    <w:nsid w:val="73BC6770"/>
    <w:multiLevelType w:val="hybridMultilevel"/>
    <w:lvl w:ilvl="0">
      <w:lvlJc w:val="left"/>
      <w:lvlText w:val="(%1)"/>
      <w:numFmt w:val="lowerLetter"/>
      <w:start w:val="35"/>
    </w:lvl>
    <w:lvl w:ilvl="1">
      <w:lvlJc w:val="left"/>
      <w:lvlText w:val="(%2)"/>
      <w:numFmt w:val="lowerLetter"/>
      <w:start w:val="2"/>
    </w:lvl>
  </w:abstractNum>
  <w:abstractNum w:abstractNumId="304">
    <w:nsid w:val="280E6897"/>
    <w:multiLevelType w:val="hybridMultilevel"/>
    <w:lvl w:ilvl="0">
      <w:lvlJc w:val="left"/>
      <w:lvlText w:val="(%1)"/>
      <w:numFmt w:val="lowerLetter"/>
      <w:start w:val="1"/>
    </w:lvl>
    <w:lvl w:ilvl="1">
      <w:lvlJc w:val="left"/>
      <w:lvlText w:val="(%2)"/>
      <w:numFmt w:val="lowerRoman"/>
      <w:start w:val="1"/>
    </w:lvl>
  </w:abstractNum>
  <w:abstractNum w:abstractNumId="305">
    <w:nsid w:val="605138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6">
    <w:nsid w:val="2622AD0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7">
    <w:nsid w:val="67997556"/>
    <w:multiLevelType w:val="hybridMultilevel"/>
    <w:lvl w:ilvl="0">
      <w:lvlJc w:val="left"/>
      <w:lvlText w:val="(%1)"/>
      <w:numFmt w:val="lowerLetter"/>
      <w:start w:val="2"/>
    </w:lvl>
  </w:abstractNum>
  <w:abstractNum w:abstractNumId="308">
    <w:nsid w:val="18333C89"/>
    <w:multiLevelType w:val="hybridMultilevel"/>
    <w:lvl w:ilvl="0">
      <w:lvlJc w:val="left"/>
      <w:lvlText w:val="(%1)"/>
      <w:numFmt w:val="lowerLetter"/>
      <w:start w:val="5"/>
    </w:lvl>
  </w:abstractNum>
  <w:abstractNum w:abstractNumId="309">
    <w:nsid w:val="4BA9831A"/>
    <w:multiLevelType w:val="hybridMultilevel"/>
    <w:lvl w:ilvl="0">
      <w:lvlJc w:val="left"/>
      <w:lvlText w:val="%1."/>
      <w:numFmt w:val="decimal"/>
      <w:start w:val="1"/>
    </w:lvl>
  </w:abstractNum>
  <w:abstractNum w:abstractNumId="310">
    <w:nsid w:val="6D71A2B"/>
    <w:multiLevelType w:val="hybridMultilevel"/>
    <w:lvl w:ilvl="0">
      <w:lvlJc w:val="left"/>
      <w:lvlText w:val="1"/>
      <w:numFmt w:val="bullet"/>
      <w:start w:val="1"/>
    </w:lvl>
  </w:abstractNum>
  <w:abstractNum w:abstractNumId="311">
    <w:nsid w:val="CFC7321"/>
    <w:multiLevelType w:val="hybridMultilevel"/>
    <w:lvl w:ilvl="0">
      <w:lvlJc w:val="left"/>
      <w:lvlText w:val="%1."/>
      <w:numFmt w:val="decimal"/>
      <w:start w:val="3"/>
    </w:lvl>
  </w:abstractNum>
  <w:abstractNum w:abstractNumId="312">
    <w:nsid w:val="1421971B"/>
    <w:multiLevelType w:val="hybridMultilevel"/>
    <w:lvl w:ilvl="0">
      <w:lvlJc w:val="left"/>
      <w:lvlText w:val="%1."/>
      <w:numFmt w:val="decimal"/>
      <w:start w:val="7"/>
    </w:lvl>
    <w:lvl w:ilvl="1">
      <w:lvlJc w:val="left"/>
      <w:lvlText w:val="(%2)"/>
      <w:numFmt w:val="lowerLetter"/>
      <w:start w:val="1"/>
    </w:lvl>
  </w:abstractNum>
  <w:abstractNum w:abstractNumId="313">
    <w:nsid w:val="1F404301"/>
    <w:multiLevelType w:val="hybridMultilevel"/>
    <w:lvl w:ilvl="0">
      <w:lvlJc w:val="left"/>
      <w:lvlText w:val="(%1)"/>
      <w:numFmt w:val="lowerLetter"/>
      <w:start w:val="2"/>
    </w:lvl>
  </w:abstractNum>
  <w:abstractNum w:abstractNumId="314">
    <w:nsid w:val="116E0907"/>
    <w:multiLevelType w:val="hybridMultilevel"/>
    <w:lvl w:ilvl="0">
      <w:lvlJc w:val="left"/>
      <w:lvlText w:val="3"/>
      <w:numFmt w:val="bullet"/>
      <w:start w:val="1"/>
    </w:lvl>
  </w:abstractNum>
  <w:abstractNum w:abstractNumId="315">
    <w:nsid w:val="4B683D0D"/>
    <w:multiLevelType w:val="hybridMultilevel"/>
    <w:lvl w:ilvl="0">
      <w:lvlJc w:val="left"/>
      <w:lvlText w:val="(%1)"/>
      <w:numFmt w:val="lowerLetter"/>
      <w:start w:val="3"/>
    </w:lvl>
  </w:abstractNum>
  <w:abstractNum w:abstractNumId="316">
    <w:nsid w:val="76E41D8"/>
    <w:multiLevelType w:val="hybridMultilevel"/>
    <w:lvl w:ilvl="0">
      <w:lvlJc w:val="left"/>
      <w:lvlText w:val="(%1)"/>
      <w:numFmt w:val="lowerLetter"/>
      <w:start w:val="5"/>
    </w:lvl>
    <w:lvl w:ilvl="1">
      <w:lvlJc w:val="left"/>
      <w:lvlText w:val="(%2)"/>
      <w:numFmt w:val="lowerRoman"/>
      <w:start w:val="1"/>
    </w:lvl>
  </w:abstractNum>
  <w:abstractNum w:abstractNumId="317">
    <w:nsid w:val="71DCE0FD"/>
    <w:multiLevelType w:val="hybridMultilevel"/>
    <w:lvl w:ilvl="0">
      <w:lvlJc w:val="left"/>
      <w:lvlText w:val="%1"/>
      <w:numFmt w:val="decimal"/>
      <w:start w:val="1"/>
    </w:lvl>
    <w:lvl w:ilvl="1">
      <w:lvlJc w:val="left"/>
      <w:lvlText w:val="(%2)"/>
      <w:numFmt w:val="lowerLetter"/>
      <w:start w:val="6"/>
    </w:lvl>
  </w:abstractNum>
  <w:abstractNum w:abstractNumId="318">
    <w:nsid w:val="7906328B"/>
    <w:multiLevelType w:val="hybridMultilevel"/>
    <w:lvl w:ilvl="0">
      <w:lvlJc w:val="left"/>
      <w:lvlText w:val="(%1)"/>
      <w:numFmt w:val="decimal"/>
      <w:start w:val="1"/>
    </w:lvl>
    <w:lvl w:ilvl="1">
      <w:lvlJc w:val="left"/>
      <w:lvlText w:val="(%2)"/>
      <w:numFmt w:val="lowerLetter"/>
      <w:start w:val="7"/>
    </w:lvl>
  </w:abstractNum>
  <w:abstractNum w:abstractNumId="319">
    <w:nsid w:val="72BBC16"/>
    <w:multiLevelType w:val="hybridMultilevel"/>
    <w:lvl w:ilvl="0">
      <w:lvlJc w:val="left"/>
      <w:lvlText w:val="(%1)"/>
      <w:numFmt w:val="lowerLetter"/>
      <w:start w:val="8"/>
    </w:lvl>
    <w:lvl w:ilvl="1">
      <w:lvlJc w:val="left"/>
      <w:lvlText w:val="(%2)"/>
      <w:numFmt w:val="lowerLetter"/>
      <w:start w:val="9"/>
    </w:lvl>
  </w:abstractNum>
  <w:abstractNum w:abstractNumId="320">
    <w:nsid w:val="766D98C2"/>
    <w:multiLevelType w:val="hybridMultilevel"/>
    <w:lvl w:ilvl="0">
      <w:lvlJc w:val="left"/>
      <w:lvlText w:val="(%1)"/>
      <w:numFmt w:val="lowerLetter"/>
      <w:start w:val="1"/>
    </w:lvl>
    <w:lvl w:ilvl="1">
      <w:lvlJc w:val="left"/>
      <w:lvlText w:val="%2"/>
      <w:numFmt w:val="lowerLetter"/>
      <w:start w:val="1"/>
    </w:lvl>
  </w:abstractNum>
  <w:abstractNum w:abstractNumId="321">
    <w:nsid w:val="3C09D4A1"/>
    <w:multiLevelType w:val="hybridMultilevel"/>
    <w:lvl w:ilvl="0">
      <w:lvlJc w:val="left"/>
      <w:lvlText w:val="(%1)"/>
      <w:numFmt w:val="lowerRoman"/>
      <w:start w:val="2"/>
    </w:lvl>
  </w:abstractNum>
  <w:abstractNum w:abstractNumId="322">
    <w:nsid w:val="20E45CA4"/>
    <w:multiLevelType w:val="hybridMultilevel"/>
    <w:lvl w:ilvl="0">
      <w:lvlJc w:val="left"/>
      <w:lvlText w:val="(%1)"/>
      <w:numFmt w:val="lowerLetter"/>
      <w:start w:val="9"/>
    </w:lvl>
    <w:lvl w:ilvl="1">
      <w:lvlJc w:val="left"/>
      <w:lvlText w:val="(%2)"/>
      <w:numFmt w:val="lowerRoman"/>
      <w:start w:val="1"/>
    </w:lvl>
    <w:lvl w:ilvl="2">
      <w:lvlJc w:val="left"/>
      <w:lvlText w:val="(%3)"/>
      <w:numFmt w:val="decimal"/>
      <w:start w:val="1"/>
    </w:lvl>
  </w:abstractNum>
  <w:abstractNum w:abstractNumId="323">
    <w:nsid w:val="4B232EE3"/>
    <w:multiLevelType w:val="hybridMultilevel"/>
    <w:lvl w:ilvl="0">
      <w:lvlJc w:val="left"/>
      <w:lvlText w:val="(%1)"/>
      <w:numFmt w:val="lowerRoman"/>
      <w:start w:val="4"/>
    </w:lvl>
  </w:abstractNum>
  <w:abstractNum w:abstractNumId="324">
    <w:nsid w:val="159C74CF"/>
    <w:multiLevelType w:val="hybridMultilevel"/>
    <w:lvl w:ilvl="0">
      <w:lvlJc w:val="left"/>
      <w:lvlText w:val="(%1)"/>
      <w:numFmt w:val="lowerRoman"/>
      <w:start w:val="8"/>
    </w:lvl>
  </w:abstractNum>
  <w:abstractNum w:abstractNumId="325">
    <w:nsid w:val="4AD3AFD2"/>
    <w:multiLevelType w:val="hybridMultilevel"/>
    <w:lvl w:ilvl="0">
      <w:lvlJc w:val="left"/>
      <w:lvlText w:val="(%1)"/>
      <w:numFmt w:val="lowerRoman"/>
      <w:start w:val="13"/>
    </w:lvl>
  </w:abstractNum>
  <w:abstractNum w:abstractNumId="326">
    <w:nsid w:val="3CF93092"/>
    <w:multiLevelType w:val="hybridMultilevel"/>
    <w:lvl w:ilvl="0">
      <w:lvlJc w:val="left"/>
      <w:lvlText w:val="%1"/>
      <w:numFmt w:val="lowerLetter"/>
      <w:start w:val="1"/>
    </w:lvl>
    <w:lvl w:ilvl="1">
      <w:lvlJc w:val="left"/>
      <w:lvlText w:val="(%2)"/>
      <w:numFmt w:val="lowerRoman"/>
      <w:start w:val="16"/>
    </w:lvl>
  </w:abstractNum>
  <w:abstractNum w:abstractNumId="327">
    <w:nsid w:val="6863E8D2"/>
    <w:multiLevelType w:val="hybridMultilevel"/>
    <w:lvl w:ilvl="0">
      <w:lvlJc w:val="left"/>
      <w:lvlText w:val="(%1)"/>
      <w:numFmt w:val="lowerLetter"/>
      <w:start w:val="11"/>
    </w:lvl>
    <w:lvl w:ilvl="1">
      <w:lvlJc w:val="left"/>
      <w:lvlText w:val="%2"/>
      <w:numFmt w:val="lowerRoman"/>
      <w:start w:val="1"/>
    </w:lvl>
  </w:abstractNum>
  <w:abstractNum w:abstractNumId="328">
    <w:nsid w:val="76896198"/>
    <w:multiLevelType w:val="hybridMultilevel"/>
    <w:lvl w:ilvl="0">
      <w:lvlJc w:val="left"/>
      <w:lvlText w:val="%1"/>
      <w:numFmt w:val="lowerLetter"/>
      <w:start w:val="1"/>
    </w:lvl>
    <w:lvl w:ilvl="1">
      <w:lvlJc w:val="left"/>
      <w:lvlText w:val="(%2)"/>
      <w:numFmt w:val="lowerLetter"/>
      <w:start w:val="12"/>
    </w:lvl>
  </w:abstractNum>
  <w:abstractNum w:abstractNumId="329">
    <w:nsid w:val="4365174B"/>
    <w:multiLevelType w:val="hybridMultilevel"/>
    <w:lvl w:ilvl="0">
      <w:lvlJc w:val="left"/>
      <w:lvlText w:val="(%1)"/>
      <w:numFmt w:val="lowerLetter"/>
      <w:start w:val="2"/>
    </w:lvl>
    <w:lvl w:ilvl="1">
      <w:lvlJc w:val="left"/>
      <w:lvlText w:val="(%2)"/>
      <w:numFmt w:val="lowerLetter"/>
      <w:start w:val="13"/>
    </w:lvl>
  </w:abstractNum>
  <w:abstractNum w:abstractNumId="330">
    <w:nsid w:val="4A872C35"/>
    <w:multiLevelType w:val="hybridMultilevel"/>
    <w:lvl w:ilvl="0">
      <w:lvlJc w:val="left"/>
      <w:lvlText w:val="(%1)"/>
      <w:numFmt w:val="lowerLetter"/>
      <w:start w:val="35"/>
    </w:lvl>
    <w:lvl w:ilvl="1">
      <w:lvlJc w:val="left"/>
      <w:lvlText w:val="%2"/>
      <w:numFmt w:val="lowerLetter"/>
      <w:start w:val="1"/>
    </w:lvl>
  </w:abstractNum>
  <w:abstractNum w:abstractNumId="331">
    <w:nsid w:val="5D5CE761"/>
    <w:multiLevelType w:val="hybridMultilevel"/>
    <w:lvl w:ilvl="0">
      <w:lvlJc w:val="left"/>
      <w:lvlText w:val="(%1)"/>
      <w:numFmt w:val="lowerLetter"/>
      <w:start w:val="14"/>
    </w:lvl>
  </w:abstractNum>
  <w:abstractNum w:abstractNumId="332">
    <w:nsid w:val="1CD484D5"/>
    <w:multiLevelType w:val="hybridMultilevel"/>
    <w:lvl w:ilvl="0">
      <w:lvlJc w:val="left"/>
      <w:lvlText w:val="(%1)"/>
      <w:numFmt w:val="lowerLetter"/>
      <w:start w:val="16"/>
    </w:lvl>
    <w:lvl w:ilvl="1">
      <w:lvlJc w:val="left"/>
      <w:lvlText w:val="(%2)"/>
      <w:numFmt w:val="lowerRoman"/>
      <w:start w:val="1"/>
    </w:lvl>
  </w:abstractNum>
  <w:abstractNum w:abstractNumId="333">
    <w:nsid w:val="21D062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51194ED1"/>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335">
    <w:nsid w:val="44E2ED6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36">
    <w:nsid w:val="2219B33"/>
    <w:multiLevelType w:val="hybridMultilevel"/>
    <w:lvl w:ilvl="0">
      <w:lvlJc w:val="left"/>
      <w:lvlText w:val="%1"/>
      <w:numFmt w:val="lowerRoman"/>
      <w:start w:val="1"/>
    </w:lvl>
    <w:lvl w:ilvl="1">
      <w:lvlJc w:val="left"/>
      <w:lvlText w:val="%2."/>
      <w:numFmt w:val="decimal"/>
      <w:start w:val="10"/>
    </w:lvl>
  </w:abstractNum>
  <w:abstractNum w:abstractNumId="337">
    <w:nsid w:val="773BFBDD"/>
    <w:multiLevelType w:val="hybridMultilevel"/>
    <w:lvl w:ilvl="0">
      <w:lvlJc w:val="left"/>
      <w:lvlText w:val="(%1)"/>
      <w:numFmt w:val="lowerRoman"/>
      <w:start w:val="2"/>
    </w:lvl>
    <w:lvl w:ilvl="1">
      <w:lvlJc w:val="left"/>
      <w:lvlText w:val="%2."/>
      <w:numFmt w:val="decimal"/>
      <w:start w:val="11"/>
    </w:lvl>
  </w:abstractNum>
  <w:abstractNum w:abstractNumId="338">
    <w:nsid w:val="2C7C62C2"/>
    <w:multiLevelType w:val="hybridMultilevel"/>
    <w:lvl w:ilvl="0">
      <w:lvlJc w:val="left"/>
      <w:lvlText w:val="%1."/>
      <w:numFmt w:val="decimal"/>
      <w:start w:val="16"/>
    </w:lvl>
  </w:abstractNum>
  <w:abstractNum w:abstractNumId="339">
    <w:nsid w:val="1A54D7BC"/>
    <w:multiLevelType w:val="hybridMultilevel"/>
    <w:lvl w:ilvl="0">
      <w:lvlJc w:val="left"/>
      <w:lvlText w:val="A"/>
      <w:numFmt w:val="bullet"/>
      <w:start w:val="1"/>
    </w:lvl>
  </w:abstractNum>
  <w:abstractNum w:abstractNumId="340">
    <w:nsid w:val="42E57EF7"/>
    <w:multiLevelType w:val="hybridMultilevel"/>
    <w:lvl w:ilvl="0">
      <w:lvlJc w:val="left"/>
      <w:lvlText w:val="."/>
      <w:numFmt w:val="bullet"/>
      <w:start w:val="1"/>
    </w:lvl>
    <w:lvl w:ilvl="1">
      <w:lvlJc w:val="left"/>
      <w:lvlText w:val="%2."/>
      <w:numFmt w:val="decimal"/>
      <w:start w:val="1"/>
    </w:lvl>
  </w:abstractNum>
  <w:abstractNum w:abstractNumId="341">
    <w:nsid w:val="33537CED"/>
    <w:multiLevelType w:val="hybridMultilevel"/>
    <w:lvl w:ilvl="0">
      <w:lvlJc w:val="left"/>
      <w:lvlText w:val="%1."/>
      <w:numFmt w:val="upperLetter"/>
      <w:start w:val="2"/>
    </w:lvl>
  </w:abstractNum>
  <w:abstractNum w:abstractNumId="342">
    <w:nsid w:val="27514ADE"/>
    <w:multiLevelType w:val="hybridMultilevel"/>
    <w:lvl w:ilvl="0">
      <w:lvlJc w:val="left"/>
      <w:lvlText w:val="."/>
      <w:numFmt w:val="bullet"/>
      <w:start w:val="1"/>
    </w:lvl>
    <w:lvl w:ilvl="1">
      <w:lvlJc w:val="left"/>
      <w:lvlText w:val="%2."/>
      <w:numFmt w:val="decimal"/>
      <w:start w:val="1"/>
    </w:lvl>
  </w:abstractNum>
  <w:abstractNum w:abstractNumId="343">
    <w:nsid w:val="57071613"/>
    <w:multiLevelType w:val="hybridMultilevel"/>
    <w:lvl w:ilvl="0">
      <w:lvlJc w:val="left"/>
      <w:lvlText w:val="%1."/>
      <w:numFmt w:val="upperLetter"/>
      <w:start w:val="3"/>
    </w:lvl>
  </w:abstractNum>
  <w:abstractNum w:abstractNumId="344">
    <w:nsid w:val="5293BFEF"/>
    <w:multiLevelType w:val="hybridMultilevel"/>
    <w:lvl w:ilvl="0">
      <w:lvlJc w:val="left"/>
      <w:lvlText w:val="."/>
      <w:numFmt w:val="bullet"/>
      <w:start w:val="1"/>
    </w:lvl>
    <w:lvl w:ilvl="1">
      <w:lvlJc w:val="left"/>
      <w:lvlText w:val="☐"/>
      <w:numFmt w:val="bullet"/>
      <w:start w:val="1"/>
    </w:lvl>
  </w:abstractNum>
  <w:abstractNum w:abstractNumId="345">
    <w:nsid w:val="38BF53E5"/>
    <w:multiLevelType w:val="hybridMultilevel"/>
    <w:lvl w:ilvl="0">
      <w:lvlJc w:val="left"/>
      <w:lvlText w:val="•"/>
      <w:numFmt w:val="bullet"/>
      <w:start w:val="1"/>
    </w:lvl>
  </w:abstractNum>
  <w:abstractNum w:abstractNumId="346">
    <w:nsid w:val="226F5320"/>
    <w:multiLevelType w:val="hybridMultilevel"/>
    <w:lvl w:ilvl="0">
      <w:lvlJc w:val="left"/>
      <w:lvlText w:val="•"/>
      <w:numFmt w:val="bullet"/>
      <w:start w:val="1"/>
    </w:lvl>
  </w:abstractNum>
  <w:abstractNum w:abstractNumId="347">
    <w:nsid w:val="5A0201C7"/>
    <w:multiLevelType w:val="hybridMultilevel"/>
    <w:lvl w:ilvl="0">
      <w:lvlJc w:val="left"/>
      <w:lvlText w:val="•"/>
      <w:numFmt w:val="bullet"/>
      <w:start w:val="1"/>
    </w:lvl>
  </w:abstractNum>
  <w:abstractNum w:abstractNumId="348">
    <w:nsid w:val="2A9C34E2"/>
    <w:multiLevelType w:val="hybridMultilevel"/>
    <w:lvl w:ilvl="0">
      <w:lvlJc w:val="left"/>
      <w:lvlText w:val="(%1)"/>
      <w:numFmt w:val="lowerRoman"/>
      <w:start w:val="3"/>
    </w:lvl>
  </w:abstractNum>
  <w:abstractNum w:abstractNumId="349">
    <w:nsid w:val="1B7585AB"/>
    <w:multiLevelType w:val="hybridMultilevel"/>
    <w:lvl w:ilvl="0">
      <w:lvlJc w:val="left"/>
      <w:lvlText w:val="(%1)"/>
      <w:numFmt w:val="lowerLetter"/>
      <w:start w:val="1"/>
    </w:lvl>
  </w:abstractNum>
  <w:abstractNum w:abstractNumId="350">
    <w:nsid w:val="612DBDDD"/>
    <w:multiLevelType w:val="hybridMultilevel"/>
    <w:lvl w:ilvl="0">
      <w:lvlJc w:val="left"/>
      <w:lvlText w:val="(%1)"/>
      <w:numFmt w:val="lowerLetter"/>
      <w:start w:val="1"/>
    </w:lvl>
  </w:abstractNum>
  <w:abstractNum w:abstractNumId="351">
    <w:nsid w:val="2109CDA4"/>
    <w:multiLevelType w:val="hybridMultilevel"/>
    <w:lvl w:ilvl="0">
      <w:lvlJc w:val="left"/>
      <w:lvlText w:val="(%1)"/>
      <w:numFmt w:val="lowerLetter"/>
      <w:start w:val="1"/>
    </w:lvl>
  </w:abstractNum>
  <w:abstractNum w:abstractNumId="352">
    <w:nsid w:val="577F5A4D"/>
    <w:multiLevelType w:val="hybridMultilevel"/>
    <w:lvl w:ilvl="0">
      <w:lvlJc w:val="left"/>
      <w:lvlText w:val="(%1)"/>
      <w:numFmt w:val="lowerLetter"/>
      <w:start w:val="5"/>
    </w:lvl>
  </w:abstractNum>
  <w:abstractNum w:abstractNumId="353">
    <w:nsid w:val="2121A81"/>
    <w:multiLevelType w:val="hybridMultilevel"/>
    <w:lvl w:ilvl="0">
      <w:lvlJc w:val="left"/>
      <w:lvlText w:val="(%1)"/>
      <w:numFmt w:val="lowerLetter"/>
      <w:start w:val="1"/>
    </w:lvl>
  </w:abstractNum>
  <w:abstractNum w:abstractNumId="354">
    <w:nsid w:val="6C2CFC88"/>
    <w:multiLevelType w:val="hybridMultilevel"/>
    <w:lvl w:ilvl="0">
      <w:lvlJc w:val="left"/>
      <w:lvlText w:val="4"/>
      <w:numFmt w:val="bullet"/>
      <w:start w:val="1"/>
    </w:lvl>
  </w:abstractNum>
  <w:abstractNum w:abstractNumId="355">
    <w:nsid w:val="6D1BCF1C"/>
    <w:multiLevelType w:val="hybridMultilevel"/>
    <w:lvl w:ilvl="0">
      <w:lvlJc w:val="left"/>
      <w:lvlText w:val="(%1)"/>
      <w:numFmt w:val="lowerRoman"/>
      <w:start w:val="1"/>
    </w:lvl>
  </w:abstractNum>
  <w:abstractNum w:abstractNumId="356">
    <w:nsid w:val="4CE5CA53"/>
    <w:multiLevelType w:val="hybridMultilevel"/>
    <w:lvl w:ilvl="0">
      <w:lvlJc w:val="left"/>
      <w:lvlText w:val="%1."/>
      <w:numFmt w:val="decimal"/>
      <w:start w:val="1"/>
    </w:lvl>
    <w:lvl w:ilvl="1">
      <w:lvlJc w:val="left"/>
      <w:lvlText w:val="(%2)"/>
      <w:numFmt w:val="lowerLetter"/>
      <w:start w:val="1"/>
    </w:lvl>
  </w:abstractNum>
  <w:abstractNum w:abstractNumId="357">
    <w:nsid w:val="29262D1A"/>
    <w:multiLevelType w:val="hybridMultilevel"/>
    <w:lvl w:ilvl="0">
      <w:lvlJc w:val="left"/>
      <w:lvlText w:val="(%1)"/>
      <w:numFmt w:val="lowerLetter"/>
      <w:start w:val="2"/>
    </w:lvl>
  </w:abstractNum>
  <w:abstractNum w:abstractNumId="358">
    <w:nsid w:val="557FB7EE"/>
    <w:multiLevelType w:val="hybridMultilevel"/>
    <w:lvl w:ilvl="0">
      <w:lvlJc w:val="left"/>
      <w:lvlText w:val="(%1)"/>
      <w:numFmt w:val="lowerRoman"/>
      <w:start w:val="1"/>
    </w:lvl>
  </w:abstractNum>
  <w:abstractNum w:abstractNumId="359">
    <w:nsid w:val="436F2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360">
    <w:nsid w:val="6C8B446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1">
    <w:nsid w:val="2006E42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2">
    <w:nsid w:val="20CC134C"/>
    <w:multiLevelType w:val="hybridMultilevel"/>
    <w:lvl w:ilvl="0">
      <w:lvlJc w:val="left"/>
      <w:lvlText w:val="(%1)"/>
      <w:numFmt w:val="lowerLetter"/>
      <w:start w:val="35"/>
    </w:lvl>
    <w:lvl w:ilvl="1">
      <w:lvlJc w:val="left"/>
      <w:lvlText w:val="(%2)"/>
      <w:numFmt w:val="lowerLetter"/>
      <w:start w:val="5"/>
    </w:lvl>
  </w:abstractNum>
  <w:abstractNum w:abstractNumId="363">
    <w:nsid w:val="95FC93B"/>
    <w:multiLevelType w:val="hybridMultilevel"/>
    <w:lvl w:ilvl="0">
      <w:lvlJc w:val="left"/>
      <w:lvlText w:val="(%1)"/>
      <w:numFmt w:val="lowerLetter"/>
      <w:start w:val="61"/>
    </w:lvl>
    <w:lvl w:ilvl="1">
      <w:lvlJc w:val="left"/>
      <w:lvlText w:val="%2"/>
      <w:numFmt w:val="lowerLetter"/>
      <w:start w:val="1"/>
    </w:lvl>
  </w:abstractNum>
  <w:abstractNum w:abstractNumId="364">
    <w:nsid w:val="41D74679"/>
    <w:multiLevelType w:val="hybridMultilevel"/>
    <w:lvl w:ilvl="0">
      <w:lvlJc w:val="left"/>
      <w:lvlText w:val="(%1)"/>
      <w:numFmt w:val="lowerLetter"/>
      <w:start w:val="8"/>
    </w:lvl>
  </w:abstractNum>
  <w:abstractNum w:abstractNumId="365">
    <w:nsid w:val="71E5621E"/>
    <w:multiLevelType w:val="hybridMultilevel"/>
    <w:lvl w:ilvl="0">
      <w:lvlJc w:val="left"/>
      <w:lvlText w:val="(%1)"/>
      <w:numFmt w:val="lowerLetter"/>
      <w:start w:val="13"/>
    </w:lvl>
  </w:abstractNum>
  <w:abstractNum w:abstractNumId="366">
    <w:nsid w:val="4E42B6A8"/>
    <w:multiLevelType w:val="hybridMultilevel"/>
    <w:lvl w:ilvl="0">
      <w:lvlJc w:val="left"/>
      <w:lvlText w:val="%1"/>
      <w:numFmt w:val="decimal"/>
      <w:start w:val="1"/>
    </w:lvl>
    <w:lvl w:ilvl="1">
      <w:lvlJc w:val="left"/>
      <w:lvlText w:val="(%2)"/>
      <w:numFmt w:val="lowerLetter"/>
      <w:start w:val="21"/>
    </w:lvl>
  </w:abstractNum>
  <w:abstractNum w:abstractNumId="367">
    <w:nsid w:val="43F8E1AC"/>
    <w:multiLevelType w:val="hybridMultilevel"/>
    <w:lvl w:ilvl="0">
      <w:lvlJc w:val="left"/>
      <w:lvlText w:val="%1."/>
      <w:numFmt w:val="decimal"/>
      <w:start w:val="4"/>
    </w:lvl>
    <w:lvl w:ilvl="1">
      <w:lvlJc w:val="left"/>
      <w:lvlText w:val="(%2)"/>
      <w:numFmt w:val="lowerLetter"/>
      <w:start w:val="1"/>
    </w:lvl>
  </w:abstractNum>
  <w:abstractNum w:abstractNumId="368">
    <w:nsid w:val="69215DFB"/>
    <w:multiLevelType w:val="hybridMultilevel"/>
    <w:lvl w:ilvl="0">
      <w:lvlJc w:val="left"/>
      <w:lvlText w:val="(%1)"/>
      <w:numFmt w:val="lowerLetter"/>
      <w:start w:val="6"/>
    </w:lvl>
  </w:abstractNum>
  <w:abstractNum w:abstractNumId="369">
    <w:nsid w:val="7ABF196A"/>
    <w:multiLevelType w:val="hybridMultilevel"/>
    <w:lvl w:ilvl="0">
      <w:lvlJc w:val="left"/>
      <w:lvlText w:val="(%1)"/>
      <w:numFmt w:val="lowerLetter"/>
      <w:start w:val="11"/>
    </w:lvl>
  </w:abstractNum>
  <w:abstractNum w:abstractNumId="370">
    <w:nsid w:val="5E4DB96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7"/>
    </w:lvl>
  </w:abstractNum>
  <w:abstractNum w:abstractNumId="371">
    <w:nsid w:val="2C06DCF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8"/>
    </w:lvl>
  </w:abstractNum>
  <w:abstractNum w:abstractNumId="372">
    <w:nsid w:val="2E1296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3">
    <w:nsid w:val="59F044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74">
    <w:nsid w:val="30DF306"/>
    <w:multiLevelType w:val="hybridMultilevel"/>
    <w:lvl w:ilvl="0">
      <w:lvlJc w:val="left"/>
      <w:lvlText w:val="(%1)"/>
      <w:numFmt w:val="lowerRoman"/>
      <w:start w:val="3"/>
    </w:lvl>
  </w:abstractNum>
  <w:abstractNum w:abstractNumId="375">
    <w:nsid w:val="A65647"/>
    <w:multiLevelType w:val="hybridMultilevel"/>
    <w:lvl w:ilvl="0">
      <w:lvlJc w:val="left"/>
      <w:lvlText w:val="%1"/>
      <w:numFmt w:val="lowerLetter"/>
      <w:start w:val="1"/>
    </w:lvl>
    <w:lvl w:ilvl="1">
      <w:lvlJc w:val="left"/>
      <w:lvlText w:val="(%2)"/>
      <w:numFmt w:val="lowerRoman"/>
      <w:start w:val="5"/>
    </w:lvl>
  </w:abstractNum>
  <w:abstractNum w:abstractNumId="376">
    <w:nsid w:val="3E5E582B"/>
    <w:multiLevelType w:val="hybridMultilevel"/>
    <w:lvl w:ilvl="0">
      <w:lvlJc w:val="left"/>
      <w:lvlText w:val="(%1)"/>
      <w:numFmt w:val="lowerLetter"/>
      <w:start w:val="3"/>
    </w:lvl>
    <w:lvl w:ilvl="1">
      <w:lvlJc w:val="left"/>
      <w:lvlText w:val="(%2)"/>
      <w:numFmt w:val="lowerRoman"/>
      <w:start w:val="1"/>
    </w:lvl>
  </w:abstractNum>
  <w:abstractNum w:abstractNumId="377">
    <w:nsid w:val="257D4626"/>
    <w:multiLevelType w:val="hybridMultilevel"/>
    <w:lvl w:ilvl="0">
      <w:lvlJc w:val="left"/>
      <w:lvlText w:val="(%1)"/>
      <w:numFmt w:val="lowerRoman"/>
      <w:start w:val="2"/>
    </w:lvl>
  </w:abstractNum>
  <w:abstractNum w:abstractNumId="378">
    <w:nsid w:val="5AA8580E"/>
    <w:multiLevelType w:val="hybridMultilevel"/>
    <w:lvl w:ilvl="0">
      <w:lvlJc w:val="left"/>
      <w:lvlText w:val="%1"/>
      <w:numFmt w:val="decimal"/>
      <w:start w:val="1"/>
    </w:lvl>
    <w:lvl w:ilvl="1">
      <w:lvlJc w:val="left"/>
      <w:lvlText w:val="(%2)"/>
      <w:numFmt w:val="lowerLetter"/>
      <w:start w:val="6"/>
    </w:lvl>
  </w:abstractNum>
  <w:abstractNum w:abstractNumId="379">
    <w:nsid w:val="68FA8D0D"/>
    <w:multiLevelType w:val="hybridMultilevel"/>
    <w:lvl w:ilvl="0">
      <w:lvlJc w:val="left"/>
      <w:lvlText w:val="%1."/>
      <w:numFmt w:val="decimal"/>
      <w:start w:val="6"/>
    </w:lvl>
    <w:lvl w:ilvl="1">
      <w:lvlJc w:val="left"/>
      <w:lvlText w:val="(%2)"/>
      <w:numFmt w:val="lowerLetter"/>
      <w:start w:val="1"/>
    </w:lvl>
  </w:abstractNum>
  <w:abstractNum w:abstractNumId="380">
    <w:nsid w:val="40F2CBD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81">
    <w:nsid w:val="3BD615EB"/>
    <w:multiLevelType w:val="hybridMultilevel"/>
    <w:lvl w:ilvl="0">
      <w:lvlJc w:val="left"/>
      <w:lvlText w:val="(%1)"/>
      <w:numFmt w:val="lowerLetter"/>
      <w:start w:val="2"/>
    </w:lvl>
  </w:abstractNum>
  <w:abstractNum w:abstractNumId="382">
    <w:nsid w:val="A045AB2"/>
    <w:multiLevelType w:val="hybridMultilevel"/>
    <w:lvl w:ilvl="0">
      <w:lvlJc w:val="left"/>
      <w:lvlText w:val="(%1)"/>
      <w:numFmt w:val="lowerLetter"/>
      <w:start w:val="12"/>
    </w:lvl>
  </w:abstractNum>
  <w:abstractNum w:abstractNumId="383">
    <w:nsid w:val="1872261F"/>
    <w:multiLevelType w:val="hybridMultilevel"/>
    <w:lvl w:ilvl="0">
      <w:lvlJc w:val="left"/>
      <w:lvlText w:val="(%1)"/>
      <w:numFmt w:val="lowerLetter"/>
      <w:start w:val="15"/>
    </w:lvl>
  </w:abstractNum>
  <w:abstractNum w:abstractNumId="384">
    <w:nsid w:val="3DE8306C"/>
    <w:multiLevelType w:val="hybridMultilevel"/>
    <w:lvl w:ilvl="0">
      <w:lvlJc w:val="left"/>
      <w:lvlText w:val="(%1)"/>
      <w:numFmt w:val="lowerLetter"/>
      <w:start w:val="16"/>
    </w:lvl>
  </w:abstractNum>
  <w:abstractNum w:abstractNumId="385">
    <w:nsid w:val="7631573A"/>
    <w:multiLevelType w:val="hybridMultilevel"/>
    <w:lvl w:ilvl="0">
      <w:lvlJc w:val="left"/>
      <w:lvlText w:val="%1"/>
      <w:numFmt w:val="upperLetter"/>
      <w:start w:val="1"/>
    </w:lvl>
    <w:lvl w:ilvl="1">
      <w:lvlJc w:val="left"/>
      <w:lvlText w:val="(%2)"/>
      <w:numFmt w:val="lowerLetter"/>
      <w:start w:val="17"/>
    </w:lvl>
  </w:abstractNum>
  <w:abstractNum w:abstractNumId="386">
    <w:nsid w:val="58DF53B"/>
    <w:multiLevelType w:val="hybridMultilevel"/>
    <w:lvl w:ilvl="0">
      <w:lvlJc w:val="left"/>
      <w:lvlText w:val="(%1)"/>
      <w:numFmt w:val="upperLetter"/>
      <w:start w:val="2"/>
    </w:lvl>
    <w:lvl w:ilvl="1">
      <w:lvlJc w:val="left"/>
      <w:lvlText w:val="%2"/>
      <w:numFmt w:val="lowerLetter"/>
      <w:start w:val="1"/>
    </w:lvl>
  </w:abstractNum>
  <w:abstractNum w:abstractNumId="387">
    <w:nsid w:val="ACDFAC0"/>
    <w:multiLevelType w:val="hybridMultilevel"/>
    <w:lvl w:ilvl="0">
      <w:lvlJc w:val="left"/>
      <w:lvlText w:val="(%1)"/>
      <w:numFmt w:val="lowerLetter"/>
      <w:start w:val="18"/>
    </w:lvl>
    <w:lvl w:ilvl="1">
      <w:lvlJc w:val="left"/>
      <w:lvlText w:val="(%2)"/>
      <w:numFmt w:val="lowerLetter"/>
      <w:start w:val="9"/>
    </w:lvl>
  </w:abstractNum>
  <w:abstractNum w:abstractNumId="388">
    <w:nsid w:val="1F578454"/>
    <w:multiLevelType w:val="hybridMultilevel"/>
    <w:lvl w:ilvl="0">
      <w:lvlJc w:val="left"/>
      <w:lvlText w:val="(%1)"/>
      <w:numFmt w:val="lowerLetter"/>
      <w:start w:val="22"/>
    </w:lvl>
  </w:abstractNum>
  <w:abstractNum w:abstractNumId="389">
    <w:nsid w:val="5B0DAD2A"/>
    <w:multiLevelType w:val="hybridMultilevel"/>
    <w:lvl w:ilvl="0">
      <w:lvlJc w:val="left"/>
      <w:lvlText w:val="☐"/>
      <w:numFmt w:val="bullet"/>
      <w:start w:val="1"/>
    </w:lvl>
  </w:abstractNum>
  <w:abstractNum w:abstractNumId="390">
    <w:nsid w:val="4E3D26AB"/>
    <w:multiLevelType w:val="hybridMultilevel"/>
    <w:lvl w:ilvl="0">
      <w:lvlJc w:val="left"/>
      <w:lvlText w:val="%1."/>
      <w:numFmt w:val="upperLetter"/>
      <w:start w:val="1"/>
    </w:lvl>
    <w:lvl w:ilvl="1">
      <w:lvlJc w:val="left"/>
      <w:lvlText w:val="%2."/>
      <w:numFmt w:val="decimal"/>
      <w:start w:val="1"/>
    </w:lvl>
  </w:abstractNum>
  <w:abstractNum w:abstractNumId="391">
    <w:nsid w:val="BE2C8BA"/>
    <w:multiLevelType w:val="hybridMultilevel"/>
    <w:lvl w:ilvl="0">
      <w:lvlJc w:val="left"/>
      <w:lvlText w:val="%1."/>
      <w:numFmt w:val="upperLetter"/>
      <w:start w:val="2"/>
    </w:lvl>
    <w:lvl w:ilvl="1">
      <w:lvlJc w:val="left"/>
      <w:lvlText w:val="%2."/>
      <w:numFmt w:val="decimal"/>
      <w:start w:val="1"/>
    </w:lvl>
  </w:abstractNum>
  <w:abstractNum w:abstractNumId="392">
    <w:nsid w:val="7B14914E"/>
    <w:multiLevelType w:val="hybridMultilevel"/>
    <w:lvl w:ilvl="0">
      <w:lvlJc w:val="left"/>
      <w:lvlText w:val="%1."/>
      <w:numFmt w:val="upperLetter"/>
      <w:start w:val="3"/>
    </w:lvl>
    <w:lvl w:ilvl="1">
      <w:lvlJc w:val="left"/>
      <w:lvlText w:val="☐"/>
      <w:numFmt w:val="bullet"/>
      <w:start w:val="1"/>
    </w:lvl>
  </w:abstractNum>
  <w:abstractNum w:abstractNumId="393">
    <w:nsid w:val="6F0939F8"/>
    <w:multiLevelType w:val="hybridMultilevel"/>
    <w:lvl w:ilvl="0">
      <w:lvlJc w:val="left"/>
      <w:lvlText w:val="☐"/>
      <w:numFmt w:val="bullet"/>
      <w:start w:val="1"/>
    </w:lvl>
  </w:abstractNum>
  <w:abstractNum w:abstractNumId="394">
    <w:nsid w:val="154291F6"/>
    <w:multiLevelType w:val="hybridMultilevel"/>
    <w:lvl w:ilvl="0">
      <w:lvlJc w:val="left"/>
      <w:lvlText w:val="☐"/>
      <w:numFmt w:val="bullet"/>
      <w:start w:val="1"/>
    </w:lvl>
  </w:abstractNum>
  <w:abstractNum w:abstractNumId="395">
    <w:nsid w:val="3CEBD7C7"/>
    <w:multiLevelType w:val="hybridMultilevel"/>
    <w:lvl w:ilvl="0">
      <w:lvlJc w:val="left"/>
      <w:lvlText w:val="☐"/>
      <w:numFmt w:val="bullet"/>
      <w:start w:val="1"/>
    </w:lvl>
  </w:abstractNum>
  <w:abstractNum w:abstractNumId="396">
    <w:nsid w:val="60EE9C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2022-03-15T16:24:57Z</dcterms:created>
  <dcterms:modified xsi:type="dcterms:W3CDTF">2022-03-15T16:24:57Z</dcterms:modified>
</cp:coreProperties>
</file>