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November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2978150</wp:posOffset>
            </wp:positionH>
            <wp:positionV relativeFrom="paragraph">
              <wp:posOffset>36195</wp:posOffset>
            </wp:positionV>
            <wp:extent cx="1217295" cy="371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295" cy="371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Sema4 Holdings Corp.</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001-39482</w:t>
            </w:r>
          </w:p>
        </w:tc>
        <w:tc>
          <w:tcPr>
            <w:tcW w:w="60" w:type="dxa"/>
            <w:vAlign w:val="bottom"/>
          </w:tcPr>
          <w:p>
            <w:pPr>
              <w:spacing w:after="0"/>
              <w:rPr>
                <w:sz w:val="15"/>
                <w:szCs w:val="15"/>
                <w:color w:val="auto"/>
              </w:rPr>
            </w:pPr>
          </w:p>
        </w:tc>
        <w:tc>
          <w:tcPr>
            <w:tcW w:w="4320" w:type="dxa"/>
            <w:vAlign w:val="bottom"/>
          </w:tcPr>
          <w:p>
            <w:pPr>
              <w:jc w:val="right"/>
              <w:ind w:right="1800"/>
              <w:spacing w:after="0"/>
              <w:rPr>
                <w:sz w:val="20"/>
                <w:szCs w:val="20"/>
                <w:color w:val="auto"/>
              </w:rPr>
            </w:pPr>
            <w:r>
              <w:rPr>
                <w:rFonts w:ascii="Times New Roman" w:cs="Times New Roman" w:eastAsia="Times New Roman" w:hAnsi="Times New Roman"/>
                <w:sz w:val="12"/>
                <w:szCs w:val="12"/>
                <w:b w:val="1"/>
                <w:bCs w:val="1"/>
                <w:color w:val="auto"/>
              </w:rPr>
              <w:t>85-1966622</w:t>
            </w:r>
          </w:p>
        </w:tc>
      </w:tr>
      <w:tr>
        <w:trPr>
          <w:trHeight w:val="153"/>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80" w:type="dxa"/>
            <w:vAlign w:val="bottom"/>
          </w:tcPr>
          <w:p>
            <w:pPr>
              <w:spacing w:after="0"/>
              <w:rPr>
                <w:sz w:val="13"/>
                <w:szCs w:val="13"/>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60" w:type="dxa"/>
            <w:vAlign w:val="bottom"/>
          </w:tcPr>
          <w:p>
            <w:pPr>
              <w:spacing w:after="0"/>
              <w:rPr>
                <w:sz w:val="13"/>
                <w:szCs w:val="13"/>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05"/>
        </w:trPr>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333 Ludlow Street, North Tower, 8th Floor</w:t>
            </w: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189"/>
        </w:trPr>
        <w:tc>
          <w:tcPr>
            <w:tcW w:w="43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2"/>
                <w:szCs w:val="12"/>
                <w:b w:val="1"/>
                <w:bCs w:val="1"/>
                <w:color w:val="auto"/>
              </w:rPr>
              <w:t>Stamford, Connecticut</w:t>
            </w: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20" w:type="dxa"/>
            <w:vAlign w:val="bottom"/>
            <w:tcBorders>
              <w:bottom w:val="single" w:sz="8" w:color="auto"/>
            </w:tcBorders>
          </w:tcPr>
          <w:p>
            <w:pPr>
              <w:jc w:val="right"/>
              <w:ind w:right="1940"/>
              <w:spacing w:after="0"/>
              <w:rPr>
                <w:sz w:val="20"/>
                <w:szCs w:val="20"/>
                <w:color w:val="auto"/>
              </w:rPr>
            </w:pPr>
            <w:r>
              <w:rPr>
                <w:rFonts w:ascii="Times New Roman" w:cs="Times New Roman" w:eastAsia="Times New Roman" w:hAnsi="Times New Roman"/>
                <w:sz w:val="12"/>
                <w:szCs w:val="12"/>
                <w:b w:val="1"/>
                <w:bCs w:val="1"/>
                <w:color w:val="auto"/>
              </w:rPr>
              <w:t>06902</w:t>
            </w:r>
          </w:p>
        </w:tc>
      </w:tr>
      <w:tr>
        <w:trPr>
          <w:trHeight w:val="144"/>
        </w:trPr>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(Address of Principal Executive Offices)</w:t>
            </w: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(800) 298-6470</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231F20"/>
        </w:rPr>
        <w:t>(Former name or former address, if changed since last report.)</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32"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41"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141"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right="5700" w:firstLine="19"/>
        <w:spacing w:after="0" w:line="481" w:lineRule="auto"/>
        <w:tabs>
          <w:tab w:leader="none" w:pos="25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 xml:space="preserve">Pre-commencement communications pursuant to Rule 13e-4(c) under the Exchange Act (17 CFR 240.13e-4(c)) </w:t>
      </w:r>
      <w:r>
        <w:rPr>
          <w:rFonts w:ascii="Times New Roman" w:cs="Times New Roman" w:eastAsia="Times New Roman" w:hAnsi="Times New Roman"/>
          <w:sz w:val="12"/>
          <w:szCs w:val="12"/>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4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6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SMFR</w:t>
            </w:r>
          </w:p>
        </w:tc>
        <w:tc>
          <w:tcPr>
            <w:tcW w:w="80" w:type="dxa"/>
            <w:vAlign w:val="bottom"/>
            <w:tcBorders>
              <w:top w:val="single" w:sz="8" w:color="CCEEFF"/>
            </w:tcBorders>
            <w:shd w:val="clear" w:color="auto" w:fill="CCEEFF"/>
          </w:tcPr>
          <w:p>
            <w:pPr>
              <w:spacing w:after="0"/>
              <w:rPr>
                <w:sz w:val="12"/>
                <w:szCs w:val="12"/>
                <w:color w:val="auto"/>
              </w:rPr>
            </w:pPr>
          </w:p>
        </w:tc>
        <w:tc>
          <w:tcPr>
            <w:tcW w:w="4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r>
      <w:tr>
        <w:trPr>
          <w:trHeight w:val="117"/>
        </w:trPr>
        <w:tc>
          <w:tcPr>
            <w:tcW w:w="468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$11.50</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20" w:type="dxa"/>
            <w:vAlign w:val="bottom"/>
          </w:tcPr>
          <w:p>
            <w:pPr>
              <w:spacing w:after="0"/>
              <w:rPr>
                <w:sz w:val="10"/>
                <w:szCs w:val="10"/>
                <w:color w:val="auto"/>
              </w:rPr>
            </w:pPr>
          </w:p>
        </w:tc>
      </w:tr>
      <w:tr>
        <w:trPr>
          <w:trHeight w:val="162"/>
        </w:trPr>
        <w:tc>
          <w:tcPr>
            <w:tcW w:w="4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6"/>
              </w:rPr>
              <w:t>per share</w:t>
            </w:r>
          </w:p>
        </w:tc>
        <w:tc>
          <w:tcPr>
            <w:tcW w:w="19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SMFRW</w:t>
            </w:r>
          </w:p>
        </w:tc>
        <w:tc>
          <w:tcPr>
            <w:tcW w:w="4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34"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448310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21" w:right="29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color w:val="auto"/>
        </w:rPr>
        <w:t>On November 14, 2022, Sema4 Holdings Corp. (“Sema4 Holdings” or the “Company”) is</w:t>
      </w:r>
      <w:r>
        <w:rPr>
          <w:rFonts w:ascii="Times New Roman" w:cs="Times New Roman" w:eastAsia="Times New Roman" w:hAnsi="Times New Roman"/>
          <w:sz w:val="14"/>
          <w:szCs w:val="14"/>
          <w:color w:val="auto"/>
        </w:rPr>
        <w:t>sued a press release (the “Press Release”) and will hold a conference call announcing the Company's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results for the three and nine months ended September 30, 2022. Copies of the Press Release and Earnings Presentation are furnished as Exhibits 99.1 and 99.2, respectively, to this Current Report on Form 8-K.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2.05 Costs Associated with Exit or Disposal Activities.</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November 14, 2022, the Company announced its plan to pursue a new strategic direction focused on the Company’s pediatric and rare disease testing business coupled with the Company's Centrellis data platform. As part of the Company’s strategic realignment, on November 11, 2022, the board of directors of the Company unanimously approved the Company’s exit from the reproductive and women’s health testing business, which includes carrier screening, noninvasive prenatal, and other ancillary reproductive testing offerings (the "RH Business"). Prior to the decision to exit the RH Business, the Company performed a thorough review of a number of factors including the competitive landscape, recent shifts in payor coverage and reimbursement, declining average selling prices, and cost structure, and consideration of existing capital markets constraints and the macroeconomic climate, and concluded that the RH Business is currently unsustainable and cannot be restructured in way that will allow the Company to achieve profitable growth and cash preservation. Additionally, the Company had engaged a financial advisor in an effort to sell the RH Business as a going concern through a targeted auction process, but had not received any final proposals and had thus been unable to complete a sale. Therefore, the Company will cease accepting samples for reproductive and women's health tests on December 14, 2022 and will begin notifying its customers impacted by this decision immediately. The Company expects to exit the operations of the reproductive and women’s health testing services by the end of the first quarter of 2023. As a result of this announcement, the Company expects to eliminate approximately 500 positions, representing approximately 32.5% of its workforce, and to cease operations at its Stamford, CT laboratory. The Company’s go-forward testing services will be consolidated and performed out of the Company’s Gaithersburg, MD laboratory which was primarily used for the Company’s pediatric and rare disease testing offered by GeneDx. At the time of the filing of this Current Report on Form 8-K, the Company is unable in good faith to make a determination of an estimate of the total amount or range of amounts expected to be incurred by the Company in connection with each major type of cost associated with the exit or an estimate of the total amount or range of amounts expected to be incurred by the Company in connection with the exit. However, the Company anticipates that material cash and non-cash charges will be incurred and recorded in the Company's future reporting periods.</w:t>
      </w:r>
    </w:p>
    <w:p>
      <w:pPr>
        <w:spacing w:after="0" w:line="30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 and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 Exhibits.</w:t>
            </w:r>
          </w:p>
        </w:tc>
        <w:tc>
          <w:tcPr>
            <w:tcW w:w="2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gridSpan w:val="2"/>
          </w:tcPr>
          <w:p>
            <w:pPr>
              <w:spacing w:after="0"/>
              <w:rPr>
                <w:sz w:val="19"/>
                <w:szCs w:val="19"/>
                <w:color w:val="auto"/>
              </w:rPr>
            </w:pPr>
          </w:p>
        </w:tc>
        <w:tc>
          <w:tcPr>
            <w:tcW w:w="2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80" w:type="dxa"/>
            <w:vAlign w:val="bottom"/>
            <w:vMerge w:val="restart"/>
          </w:tcPr>
          <w:p>
            <w:pPr>
              <w:spacing w:after="0"/>
              <w:rPr>
                <w:sz w:val="13"/>
                <w:szCs w:val="13"/>
                <w:color w:val="auto"/>
              </w:rPr>
            </w:pPr>
          </w:p>
        </w:tc>
        <w:tc>
          <w:tcPr>
            <w:tcW w:w="2600" w:type="dxa"/>
            <w:vAlign w:val="bottom"/>
            <w:vMerge w:val="restart"/>
          </w:tcPr>
          <w:p>
            <w:pPr>
              <w:spacing w:after="0"/>
              <w:rPr>
                <w:sz w:val="13"/>
                <w:szCs w:val="13"/>
                <w:color w:val="auto"/>
              </w:rPr>
            </w:pPr>
          </w:p>
        </w:tc>
        <w:tc>
          <w:tcPr>
            <w:tcW w:w="7480" w:type="dxa"/>
            <w:vAlign w:val="bottom"/>
            <w:gridSpan w:val="4"/>
            <w:vMerge w:val="restart"/>
          </w:tcPr>
          <w:p>
            <w:pPr>
              <w:ind w:left="13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600" w:type="dxa"/>
            <w:vAlign w:val="bottom"/>
            <w:vMerge w:val="continue"/>
          </w:tcPr>
          <w:p>
            <w:pPr>
              <w:spacing w:after="0" w:line="20" w:lineRule="exact"/>
              <w:rPr>
                <w:sz w:val="1"/>
                <w:szCs w:val="1"/>
                <w:color w:val="auto"/>
              </w:rPr>
            </w:pPr>
          </w:p>
        </w:tc>
        <w:tc>
          <w:tcPr>
            <w:tcW w:w="7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color w:val="auto"/>
              </w:rPr>
              <w:t>99.1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rPr>
              <w:t>Press Release, dated November 14, 2022, regarding the Registrant’s results for the quarter ended September 30, 2022</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0" w:type="dxa"/>
            <w:vAlign w:val="bottom"/>
            <w:gridSpan w:val="3"/>
            <w:vMerge w:val="restart"/>
          </w:tcPr>
          <w:p>
            <w:pPr>
              <w:jc w:val="center"/>
              <w:ind w:left="314"/>
              <w:spacing w:after="0"/>
              <w:rPr>
                <w:sz w:val="20"/>
                <w:szCs w:val="20"/>
                <w:color w:val="auto"/>
              </w:rPr>
            </w:pPr>
            <w:r>
              <w:rPr>
                <w:rFonts w:ascii="Times New Roman" w:cs="Times New Roman" w:eastAsia="Times New Roman" w:hAnsi="Times New Roman"/>
                <w:sz w:val="13"/>
                <w:szCs w:val="13"/>
                <w:color w:val="auto"/>
              </w:rPr>
              <w:t>99.2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Earnings Presentation, dated November 14, 2022</w:t>
            </w:r>
          </w:p>
        </w:tc>
        <w:tc>
          <w:tcPr>
            <w:tcW w:w="74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8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8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line="20" w:lineRule="exact"/>
              <w:rPr>
                <w:sz w:val="1"/>
                <w:szCs w:val="1"/>
                <w:color w:val="auto"/>
              </w:rPr>
            </w:pPr>
          </w:p>
        </w:tc>
      </w:tr>
      <w:tr>
        <w:trPr>
          <w:trHeight w:val="216"/>
        </w:trPr>
        <w:tc>
          <w:tcPr>
            <w:tcW w:w="82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color w:val="auto"/>
              </w:rPr>
              <w:t>104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4"/>
        </w:trPr>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60" w:right="299"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7500" w:type="dxa"/>
            <w:vAlign w:val="bottom"/>
            <w:gridSpan w:val="2"/>
          </w:tcPr>
          <w:p>
            <w:pPr>
              <w:ind w:left="1560"/>
              <w:spacing w:after="0"/>
              <w:rPr>
                <w:sz w:val="20"/>
                <w:szCs w:val="20"/>
                <w:color w:val="auto"/>
              </w:rPr>
            </w:pPr>
            <w:r>
              <w:rPr>
                <w:rFonts w:ascii="Times New Roman" w:cs="Times New Roman" w:eastAsia="Times New Roman" w:hAnsi="Times New Roman"/>
                <w:sz w:val="13"/>
                <w:szCs w:val="13"/>
                <w:b w:val="1"/>
                <w:bCs w:val="1"/>
                <w:color w:val="auto"/>
              </w:rPr>
              <w:t>Sema4 Holdings Corp.</w:t>
            </w: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14, 2022</w:t>
            </w:r>
          </w:p>
        </w:tc>
        <w:tc>
          <w:tcPr>
            <w:tcW w:w="256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Katherine Stueland</w:t>
            </w:r>
          </w:p>
        </w:tc>
      </w:tr>
      <w:tr>
        <w:trPr>
          <w:trHeight w:val="159"/>
        </w:trPr>
        <w:tc>
          <w:tcPr>
            <w:tcW w:w="2920" w:type="dxa"/>
            <w:vAlign w:val="bottom"/>
          </w:tcPr>
          <w:p>
            <w:pPr>
              <w:spacing w:after="0"/>
              <w:rPr>
                <w:sz w:val="13"/>
                <w:szCs w:val="13"/>
                <w:color w:val="auto"/>
              </w:rPr>
            </w:pPr>
          </w:p>
        </w:tc>
        <w:tc>
          <w:tcPr>
            <w:tcW w:w="256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Katherine Stueland</w:t>
            </w:r>
          </w:p>
        </w:tc>
      </w:tr>
      <w:tr>
        <w:trPr>
          <w:trHeight w:val="172"/>
        </w:trPr>
        <w:tc>
          <w:tcPr>
            <w:tcW w:w="2920" w:type="dxa"/>
            <w:vAlign w:val="bottom"/>
          </w:tcPr>
          <w:p>
            <w:pPr>
              <w:spacing w:after="0"/>
              <w:rPr>
                <w:sz w:val="14"/>
                <w:szCs w:val="14"/>
                <w:color w:val="auto"/>
              </w:rPr>
            </w:pPr>
          </w:p>
        </w:tc>
        <w:tc>
          <w:tcPr>
            <w:tcW w:w="256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11100"/>
          </w:cols>
          <w:pgMar w:left="500" w:top="98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30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2"/>
          <w:szCs w:val="12"/>
          <w:b w:val="1"/>
          <w:bCs w:val="1"/>
          <w:color w:val="auto"/>
        </w:rPr>
        <w:t>Sema4 Reports Third Quarter 2022 Financial Results and New Strategic Direction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will focus on its high growth, high margin pediatric and rare disease business, powered by whole exome/genome diagnostic testing and analysis and data-driven insights from Centrellis</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19% pro forma</w:t>
      </w:r>
      <w:r>
        <w:rPr>
          <w:rFonts w:ascii="Times New Roman" w:cs="Times New Roman" w:eastAsia="Times New Roman" w:hAnsi="Times New Roman"/>
          <w:sz w:val="15"/>
          <w:szCs w:val="15"/>
          <w:i w:val="1"/>
          <w:iCs w:val="1"/>
          <w:color w:val="auto"/>
          <w:vertAlign w:val="superscript"/>
        </w:rPr>
        <w:t>1</w:t>
      </w:r>
      <w:r>
        <w:rPr>
          <w:rFonts w:ascii="Times New Roman" w:cs="Times New Roman" w:eastAsia="Times New Roman" w:hAnsi="Times New Roman"/>
          <w:sz w:val="12"/>
          <w:szCs w:val="12"/>
          <w:i w:val="1"/>
          <w:iCs w:val="1"/>
          <w:color w:val="auto"/>
        </w:rPr>
        <w:t xml:space="preserve"> volume growth vs. 3Q 2021 and 21% pro forma</w:t>
      </w:r>
      <w:r>
        <w:rPr>
          <w:rFonts w:ascii="Times New Roman" w:cs="Times New Roman" w:eastAsia="Times New Roman" w:hAnsi="Times New Roman"/>
          <w:sz w:val="15"/>
          <w:szCs w:val="15"/>
          <w:i w:val="1"/>
          <w:iCs w:val="1"/>
          <w:color w:val="auto"/>
          <w:vertAlign w:val="superscript"/>
        </w:rPr>
        <w:t>1</w:t>
      </w:r>
      <w:r>
        <w:rPr>
          <w:rFonts w:ascii="Times New Roman" w:cs="Times New Roman" w:eastAsia="Times New Roman" w:hAnsi="Times New Roman"/>
          <w:sz w:val="12"/>
          <w:szCs w:val="12"/>
          <w:i w:val="1"/>
          <w:iCs w:val="1"/>
          <w:color w:val="auto"/>
        </w:rPr>
        <w:t xml:space="preserve"> revenue growth vs. 3Q 2021</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Sema4 to host a conference call today at 8:30 a.m. 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STAMFORD, CT — November 14, 2022 — </w:t>
      </w:r>
      <w:r>
        <w:rPr>
          <w:rFonts w:ascii="Times New Roman" w:cs="Times New Roman" w:eastAsia="Times New Roman" w:hAnsi="Times New Roman"/>
          <w:sz w:val="12"/>
          <w:szCs w:val="12"/>
          <w:color w:val="0563C1"/>
        </w:rPr>
        <w:t>Sema4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Holdings Corp. (Nasdaq: SMFR) (“Sema4”), a health insights company, today announced business highlights and financial results for the third quarter ended September 30, 2022.</w:t>
      </w:r>
    </w:p>
    <w:p>
      <w:pPr>
        <w:spacing w:after="0" w:line="16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Additionally, Sema4 announced its decision to pursue a new strategic direction focused on a $30 billion market opportunity to generate more complete understanding of complex diseases and how to treat them, fueled by its industry-leading genomic and data platforms. As a result, the company has determined that it will exit the reproductive health testing market, which it expects to complete by the end of the first quarter of 2023. The company believes the competitive advantages and differentiated offerings of its GeneDx and Centrellis platforms will enable the company to scale to profitability. The business moving forward is on a path to provide:</w:t>
      </w:r>
    </w:p>
    <w:p>
      <w:pPr>
        <w:spacing w:after="0" w:line="115"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revenue growth in excess of 20% over the next several years</w:t>
      </w:r>
    </w:p>
    <w:p>
      <w:pPr>
        <w:spacing w:after="0" w:line="2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adjusted gross margin profile in excess of 50% in the near-term</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turn to profitability in 2025</w:t>
      </w:r>
    </w:p>
    <w:p>
      <w:pPr>
        <w:spacing w:after="0" w:line="15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2"/>
          <w:szCs w:val="12"/>
          <w:color w:val="auto"/>
        </w:rPr>
        <w:t>The foundation for this growth is strengthened by the GeneDx exome and whole genome sequencing and interpretation services and the Centrellis data platform. The company will be focused on delivering personalized, actionable health insights that help clinicians, researchers, health systems, pharmaceutical companies, and payors improve the patient experience and advance population health. Sema4 will enhance the healthcare experience and improve patients’ quality of life for generations by sequencing once and analyzing for a lifetime.</w:t>
      </w:r>
    </w:p>
    <w:p>
      <w:pPr>
        <w:spacing w:after="0" w:line="1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color w:val="auto"/>
        </w:rPr>
        <w:t xml:space="preserve">“As we look ahead, I am excited by the performance of the business representing our future. Our pediatric and rare disease franchise is setting new internal records, generating over 50% revenue growth in the third quarter and delivering over 40% in adjusted gross margin,” said </w:t>
      </w:r>
      <w:r>
        <w:rPr>
          <w:rFonts w:ascii="Times New Roman" w:cs="Times New Roman" w:eastAsia="Times New Roman" w:hAnsi="Times New Roman"/>
          <w:sz w:val="12"/>
          <w:szCs w:val="12"/>
          <w:u w:val="single" w:color="auto"/>
          <w:color w:val="0000FF"/>
        </w:rPr>
        <w:t>Katherine Stueland</w:t>
      </w:r>
      <w:r>
        <w:rPr>
          <w:rFonts w:ascii="Times New Roman" w:cs="Times New Roman" w:eastAsia="Times New Roman" w:hAnsi="Times New Roman"/>
          <w:sz w:val="12"/>
          <w:szCs w:val="12"/>
          <w:color w:val="auto"/>
        </w:rPr>
        <w:t>, President and CEO of Sema4. “We believe that our focused commercial and R&amp;D efforts provide the right foundation for us to target higher growth areas of the genomics market and optimize our data and health insights go-to-market strategy. We expect the combination of these efforts will help us grow revenue in excess of 20% over the next several years. We also expect the actions we have undertaken will enable us to more than double our run rate gross margin profile exiting the third quarter and reduce our annual cash burn by greater than 50% in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63"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Signed 2 data partnerships with biopharma companies utilizing the company’s proprietary clinical and genomic database</w:t>
      </w:r>
    </w:p>
    <w:p>
      <w:pPr>
        <w:spacing w:after="0" w:line="24" w:lineRule="exact"/>
        <w:rPr>
          <w:rFonts w:ascii="Times New Roman" w:cs="Times New Roman" w:eastAsia="Times New Roman" w:hAnsi="Times New Roman"/>
          <w:sz w:val="12"/>
          <w:szCs w:val="12"/>
          <w:color w:val="auto"/>
        </w:rPr>
      </w:pPr>
    </w:p>
    <w:p>
      <w:pPr>
        <w:ind w:left="420" w:right="20" w:hanging="212"/>
        <w:spacing w:after="0" w:line="281"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partnership in the recently launched GUARDIAN genomic newborn screening study, the largest of its kind in North America, to improve population health by identifying more than 250 preventable and treatable conditions, many of which are not covered today by standard newborn screening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results from Phase 1 of SeqFirst Study, demonstrating broad utility of rapid whole genome sequencing for critically ill newborns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Presented research on autism spectrum disorders (ASD) at the Child Neurology Society (CNS) annual meeting, underscoring the positive outcomes of exome analysis for individuals with ASD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762" w:right="299" w:bottom="1440" w:gutter="0" w:footer="0" w:header="0"/>
        </w:sectPr>
      </w:pPr>
    </w:p>
    <w:bookmarkStart w:id="4" w:name="page5"/>
    <w:bookmarkEnd w:id="4"/>
    <w:p>
      <w:pPr>
        <w:ind w:left="420" w:hanging="212"/>
        <w:spacing w:after="0" w:line="275"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an exit from reproductive health testing, including closing down its Stamford, CT laboratory and a reduction in force of approximately 500 employees. Customers will be notified that the company is accepting samples through December 14, 2022</w:t>
      </w:r>
    </w:p>
    <w:p>
      <w:pPr>
        <w:ind w:left="420" w:right="20" w:hanging="212"/>
        <w:spacing w:after="0" w:line="28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Combining its prior year-to-date restructuring efforts and the exit from its reproductive health testing business announced today, the company expects total headcount of 1,100 compared to approximately 1,700 exiting the third quarter of 2022</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industry veteran, Kevin Feeley, as Chief Financial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&amp; Recent Highlights</w:t>
      </w:r>
    </w:p>
    <w:p>
      <w:pPr>
        <w:spacing w:after="0" w:line="1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“We are pleased with our third quarter results, especially the volume growth and gross margins in our GeneDx pediatrics and rare disease business. We have seen consistent double-digit volume growth in this business throughout this year and efforts across revenue cycle management and menu optimization have helped drive favorable pricing trends in key areas of focus. Efforts implemented by our commercial team late last year are driving results,” continued Ms. Stueland. “Additionally, with the exit of our reproductive health businesses, we are very excited to enter the next chapter at Sema4 enabled by Centrellis as a health intelligence platform fueled by GeneDx’s genomic services and clinical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Highlights include:</w:t>
      </w:r>
    </w:p>
    <w:p>
      <w:pPr>
        <w:spacing w:after="0" w:line="20" w:lineRule="exact"/>
        <w:rPr>
          <w:sz w:val="20"/>
          <w:szCs w:val="20"/>
          <w:color w:val="auto"/>
        </w:rPr>
      </w:pPr>
    </w:p>
    <w:p>
      <w:pPr>
        <w:ind w:left="420" w:hanging="212"/>
        <w:spacing w:after="0"/>
        <w:tabs>
          <w:tab w:leader="none" w:pos="420" w:val="left"/>
        </w:tabs>
        <w:numPr>
          <w:ilvl w:val="0"/>
          <w:numId w:val="5"/>
        </w:numPr>
        <w:rPr>
          <w:rFonts w:ascii="Calibri" w:cs="Calibri" w:eastAsia="Calibri" w:hAnsi="Calibri"/>
          <w:sz w:val="12"/>
          <w:szCs w:val="12"/>
          <w:color w:val="auto"/>
        </w:rPr>
      </w:pPr>
      <w:r>
        <w:rPr>
          <w:rFonts w:ascii="Times New Roman" w:cs="Times New Roman" w:eastAsia="Times New Roman" w:hAnsi="Times New Roman"/>
          <w:sz w:val="12"/>
          <w:szCs w:val="12"/>
          <w:color w:val="auto"/>
        </w:rPr>
        <w:t>Testing volumes on a pro forma basis were up 19% in the third quarter of 2022 compared to the same period of 2021, with 128,262 tests resulted (excluding COVID-19 tests)</w:t>
      </w:r>
      <w:r>
        <w:rPr>
          <w:rFonts w:ascii="Times New Roman" w:cs="Times New Roman" w:eastAsia="Times New Roman" w:hAnsi="Times New Roman"/>
          <w:sz w:val="15"/>
          <w:szCs w:val="15"/>
          <w:color w:val="auto"/>
          <w:vertAlign w:val="superscript"/>
        </w:rPr>
        <w:t>1</w:t>
      </w:r>
    </w:p>
    <w:p>
      <w:pPr>
        <w:spacing w:after="0" w:line="14" w:lineRule="exact"/>
        <w:rPr>
          <w:rFonts w:ascii="Calibri" w:cs="Calibri" w:eastAsia="Calibri" w:hAnsi="Calibri"/>
          <w:sz w:val="12"/>
          <w:szCs w:val="12"/>
          <w:color w:val="auto"/>
        </w:rPr>
      </w:pPr>
    </w:p>
    <w:p>
      <w:pPr>
        <w:ind w:left="420" w:hanging="212"/>
        <w:spacing w:after="0" w:line="234" w:lineRule="auto"/>
        <w:tabs>
          <w:tab w:leader="none" w:pos="420" w:val="left"/>
        </w:tabs>
        <w:numPr>
          <w:ilvl w:val="0"/>
          <w:numId w:val="5"/>
        </w:numPr>
        <w:rPr>
          <w:rFonts w:ascii="Calibri" w:cs="Calibri" w:eastAsia="Calibri" w:hAnsi="Calibri"/>
          <w:sz w:val="12"/>
          <w:szCs w:val="12"/>
          <w:color w:val="auto"/>
        </w:rPr>
      </w:pPr>
      <w:r>
        <w:rPr>
          <w:rFonts w:ascii="Times New Roman" w:cs="Times New Roman" w:eastAsia="Times New Roman" w:hAnsi="Times New Roman"/>
          <w:sz w:val="12"/>
          <w:szCs w:val="12"/>
          <w:color w:val="auto"/>
        </w:rPr>
        <w:t>Testing volumes in pediatric and rare disease were up 20% on a pro forma basis</w:t>
      </w:r>
    </w:p>
    <w:p>
      <w:pPr>
        <w:spacing w:after="0" w:line="7" w:lineRule="exact"/>
        <w:rPr>
          <w:rFonts w:ascii="Calibri" w:cs="Calibri" w:eastAsia="Calibri" w:hAnsi="Calibri"/>
          <w:sz w:val="12"/>
          <w:szCs w:val="12"/>
          <w:color w:val="auto"/>
        </w:rPr>
      </w:pPr>
    </w:p>
    <w:p>
      <w:pPr>
        <w:ind w:left="420" w:hanging="212"/>
        <w:spacing w:after="0"/>
        <w:tabs>
          <w:tab w:leader="none" w:pos="420" w:val="left"/>
        </w:tabs>
        <w:numPr>
          <w:ilvl w:val="0"/>
          <w:numId w:val="5"/>
        </w:numPr>
        <w:rPr>
          <w:rFonts w:ascii="Calibri" w:cs="Calibri" w:eastAsia="Calibri" w:hAnsi="Calibri"/>
          <w:sz w:val="12"/>
          <w:szCs w:val="12"/>
          <w:color w:val="auto"/>
        </w:rPr>
      </w:pPr>
      <w:r>
        <w:rPr>
          <w:rFonts w:ascii="Times New Roman" w:cs="Times New Roman" w:eastAsia="Times New Roman" w:hAnsi="Times New Roman"/>
          <w:sz w:val="12"/>
          <w:szCs w:val="12"/>
          <w:color w:val="auto"/>
        </w:rPr>
        <w:t>Gross margin of 16% and adjusted gross margin of 20% in the third quarter of 2022, with our pediatric and rare disease franchise generating an adjusted gross margin in excess of 40% in the quarter</w:t>
      </w:r>
    </w:p>
    <w:p>
      <w:pPr>
        <w:spacing w:after="0" w:line="187"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2"/>
          <w:szCs w:val="12"/>
          <w:color w:val="auto"/>
        </w:rPr>
        <w:t>Total revenue for the third quarter of 2022 was $83.2 million compared to $43.2 million in the third quarter of 2021. Pro forma revenue in the third quarter of 2022, assuming GeneDx’s results were included for the full applicable quarter, excluding COVID-19 related revenue, was up 21%.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Gross margin in the third quarter of 2022 was 16%. Adjusted gross margin in the third quarter of 2022 was 20%, with the pediatric and rare disease franchise generating an adjusted gross margin in excess of 40% in the quarter.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loss in the third quarter of 2022 was ($77.6) million. Adjusted net loss for the third quarter of 2022 was ($76.8) million compared to an adjusted net loss of ($71.0) million in the same period of 2021.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cash and cash equivalents and restricted cash were $205.7 million as of September 30, 2022. As of November 4, 2022, Sema4 had 386,795,130 outstanding shares of Class A common stock.</w:t>
      </w:r>
    </w:p>
    <w:p>
      <w:pPr>
        <w:spacing w:after="0" w:line="1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2"/>
          <w:szCs w:val="12"/>
          <w:color w:val="auto"/>
        </w:rPr>
        <w:t xml:space="preserve">“During the third quarter, we experienced encouraging growth in test volumes across the total company, especially in the pediatric and rare disease business of GeneDx, where we experienced 20% growth in volumes with an associated growth in revenue of greater than 50%. Our concerted work to improve lab efficiency and revenue cycle management has helped drive a meaningful uptick in our gross margins. Following the announced exit of our reproductive health testing business, we believe our financial profile positions the company for long term success,” said </w:t>
      </w:r>
      <w:r>
        <w:rPr>
          <w:rFonts w:ascii="Times New Roman" w:cs="Times New Roman" w:eastAsia="Times New Roman" w:hAnsi="Times New Roman"/>
          <w:sz w:val="12"/>
          <w:szCs w:val="12"/>
          <w:u w:val="single" w:color="auto"/>
          <w:color w:val="0000FF"/>
        </w:rPr>
        <w:t>Kevin Feeley</w:t>
      </w:r>
      <w:r>
        <w:rPr>
          <w:rFonts w:ascii="Times New Roman" w:cs="Times New Roman" w:eastAsia="Times New Roman" w:hAnsi="Times New Roman"/>
          <w:sz w:val="12"/>
          <w:szCs w:val="12"/>
          <w:color w:val="auto"/>
        </w:rPr>
        <w:t>, Chief Financial Officer of Sema4.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Full Year 2022 Guidance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Sema4 is maintaining the previously issued full year and second half 2022 reported revenue guidance of $245-255 million and $154-164 million,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Sema4 is also maintaining the previously issued full-year and second-half 2022 adjusted gross margin guidance of 4-9% and 15-20%, respectively.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218"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54" w:lineRule="exact"/>
        <w:rPr>
          <w:sz w:val="20"/>
          <w:szCs w:val="20"/>
          <w:color w:val="auto"/>
        </w:rPr>
      </w:pPr>
    </w:p>
    <w:p>
      <w:pPr>
        <w:ind w:left="8" w:right="20"/>
        <w:spacing w:after="0" w:line="236" w:lineRule="auto"/>
        <w:rPr>
          <w:sz w:val="20"/>
          <w:szCs w:val="20"/>
          <w:color w:val="auto"/>
        </w:rPr>
      </w:pPr>
      <w:r>
        <w:rPr>
          <w:rFonts w:ascii="Times New Roman" w:cs="Times New Roman" w:eastAsia="Times New Roman" w:hAnsi="Times New Roman"/>
          <w:sz w:val="12"/>
          <w:szCs w:val="12"/>
          <w:color w:val="auto"/>
        </w:rPr>
        <w:t xml:space="preserve">Sema4 will host a conference call today, November 14, 2022, at 8:30 a.m. Eastern Time. Interested parties may access the live teleconference by dialing (866) 374-5140, followed by PIN 44463501#. A live and archived webcast of the event will be available on the “Events” section of the Sema4 investor relations website at </w:t>
      </w:r>
      <w:r>
        <w:rPr>
          <w:rFonts w:ascii="Times New Roman" w:cs="Times New Roman" w:eastAsia="Times New Roman" w:hAnsi="Times New Roman"/>
          <w:sz w:val="12"/>
          <w:szCs w:val="12"/>
          <w:u w:val="single" w:color="auto"/>
          <w:color w:val="0000FF"/>
        </w:rPr>
        <w:t>https://ir.sema4.com</w:t>
      </w:r>
    </w:p>
    <w:p>
      <w:pPr>
        <w:spacing w:after="0" w:line="305" w:lineRule="exact"/>
        <w:rPr>
          <w:sz w:val="20"/>
          <w:szCs w:val="20"/>
          <w:color w:val="auto"/>
        </w:rPr>
      </w:pPr>
    </w:p>
    <w:p>
      <w:pPr>
        <w:ind w:left="8" w:hanging="8"/>
        <w:spacing w:after="0" w:line="236" w:lineRule="auto"/>
        <w:tabs>
          <w:tab w:leader="none" w:pos="78"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Pro forma metrics consolidate GeneDx operating results for the entirety of the compared periods and excludes COVID-19 revenue. Pro forma metrics are presented for illustrative purposes only and are not necessarily indicative of the results that would have occurred had the GeneDx acquisition been completed prior to January 1, 2021 or that may occur in the future. See Appendix for Historical Sema4 &amp; GeneDx Resulted Volumes &amp; Revenue.</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left="8"/>
        <w:spacing w:after="0" w:line="215" w:lineRule="auto"/>
        <w:rPr>
          <w:sz w:val="20"/>
          <w:szCs w:val="20"/>
          <w:color w:val="auto"/>
        </w:rPr>
      </w:pPr>
      <w:r>
        <w:rPr>
          <w:rFonts w:ascii="Times New Roman" w:cs="Times New Roman" w:eastAsia="Times New Roman" w:hAnsi="Times New Roman"/>
          <w:sz w:val="12"/>
          <w:szCs w:val="12"/>
          <w:color w:val="auto"/>
        </w:rPr>
        <w:t>This press release contains certain forward-looking statements within the meaning of the federal securities laws, including statements regarding our future performance and our market opportunity, including our expected full year and second half 2022 reported revenue and adjusted gross margin guidance, our expectations regarding our annual revenue growth rates over the next several years, our gross margin profile in the near-term and our path to profitability in 2025, our expectations regarding our annual cash burn in 2023, our expectations for our growth and future investment in our business, our expectations regarding our plans to pursue new strategic direction, exit our reproductive health</w:t>
      </w:r>
    </w:p>
    <w:p>
      <w:pPr>
        <w:spacing w:after="0" w:line="1"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2"/>
          <w:szCs w:val="12"/>
          <w:color w:val="auto"/>
        </w:rPr>
        <w:t>testing business and our ability to scale to profitability, our other restructuring plans and the associated cost savings and impact on our gross margins, and our expectations of the anticipated benefits and synergies of the recently completed GeneDx acquisition.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w:t>
      </w:r>
    </w:p>
    <w:p>
      <w:pPr>
        <w:spacing w:after="0" w:line="1" w:lineRule="exact"/>
        <w:rPr>
          <w:sz w:val="20"/>
          <w:szCs w:val="20"/>
          <w:color w:val="auto"/>
        </w:rPr>
      </w:pPr>
    </w:p>
    <w:p>
      <w:pPr>
        <w:jc w:val="both"/>
        <w:ind w:left="8"/>
        <w:spacing w:after="0" w:line="207" w:lineRule="auto"/>
        <w:rPr>
          <w:sz w:val="20"/>
          <w:szCs w:val="20"/>
          <w:color w:val="auto"/>
        </w:rPr>
      </w:pPr>
      <w:r>
        <w:rPr>
          <w:rFonts w:ascii="Times New Roman" w:cs="Times New Roman" w:eastAsia="Times New Roman" w:hAnsi="Times New Roman"/>
          <w:sz w:val="12"/>
          <w:szCs w:val="12"/>
          <w:color w:val="auto"/>
        </w:rPr>
        <w:t>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our ability to pursue our new strategic direction, exit our reproductive health testing business, implement our other restructuring plans and achieve the associated cost savings and impact on our gross margins, (v) the risk that the anticipated benefits of the GeneDx acquisition may not be fully realized, if at all. The foregoing list of factors is not exhaustive. You should carefully consider the foregoing factors and the other risks</w:t>
      </w:r>
    </w:p>
    <w:p>
      <w:pPr>
        <w:spacing w:after="0" w:line="1"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2"/>
          <w:szCs w:val="12"/>
          <w:color w:val="auto"/>
        </w:rPr>
        <w:t>and uncertainties described in the “Risk Factors” section of our Annual Report on Form 10-K for the fiscal year ended December 31, 2021, filed with the U.S. Securities and Exchange Commission (the “SEC”) on March 14, 2022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revise these forward-looking statements, whether as a result of new information, future events, or otherwise. We do not give any assurance that we will achieve our expectations.</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About Sema4</w:t>
      </w:r>
    </w:p>
    <w:p>
      <w:pPr>
        <w:spacing w:after="0" w:line="154" w:lineRule="exact"/>
        <w:rPr>
          <w:sz w:val="20"/>
          <w:szCs w:val="20"/>
          <w:color w:val="auto"/>
        </w:rPr>
      </w:pPr>
    </w:p>
    <w:p>
      <w:pPr>
        <w:jc w:val="both"/>
        <w:ind w:left="8"/>
        <w:spacing w:after="0" w:line="221" w:lineRule="auto"/>
        <w:rPr>
          <w:sz w:val="20"/>
          <w:szCs w:val="20"/>
          <w:color w:val="auto"/>
        </w:rPr>
      </w:pPr>
      <w:r>
        <w:rPr>
          <w:rFonts w:ascii="Times New Roman" w:cs="Times New Roman" w:eastAsia="Times New Roman" w:hAnsi="Times New Roman"/>
          <w:sz w:val="12"/>
          <w:szCs w:val="12"/>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disease and wellness and to provide science-driven solutions to the most pressing medical needs. Sema4 believes that patients should be treated as partners, and that data should be shared for the benefit of all.</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For more information, please visit </w:t>
      </w:r>
      <w:r>
        <w:rPr>
          <w:rFonts w:ascii="Arial" w:cs="Arial" w:eastAsia="Arial" w:hAnsi="Arial"/>
          <w:sz w:val="11"/>
          <w:szCs w:val="11"/>
          <w:u w:val="single" w:color="auto"/>
          <w:color w:val="0000FF"/>
        </w:rPr>
        <w:t>sema4.com</w:t>
      </w:r>
      <w:r>
        <w:rPr>
          <w:rFonts w:ascii="Arial" w:cs="Arial" w:eastAsia="Arial" w:hAnsi="Arial"/>
          <w:sz w:val="11"/>
          <w:szCs w:val="11"/>
          <w:color w:val="auto"/>
        </w:rPr>
        <w:t xml:space="preserve"> and connect with us on </w:t>
      </w:r>
      <w:r>
        <w:rPr>
          <w:rFonts w:ascii="Arial" w:cs="Arial" w:eastAsia="Arial" w:hAnsi="Arial"/>
          <w:sz w:val="11"/>
          <w:szCs w:val="11"/>
          <w:u w:val="single" w:color="auto"/>
          <w:color w:val="0000FF"/>
        </w:rPr>
        <w:t>LinkedIn</w:t>
      </w:r>
      <w:r>
        <w:rPr>
          <w:rFonts w:ascii="Arial" w:cs="Arial" w:eastAsia="Arial" w:hAnsi="Arial"/>
          <w:sz w:val="11"/>
          <w:szCs w:val="11"/>
          <w:color w:val="666666"/>
        </w:rPr>
        <w: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Twitter</w:t>
      </w:r>
      <w:r>
        <w:rPr>
          <w:rFonts w:ascii="Arial" w:cs="Arial" w:eastAsia="Arial" w:hAnsi="Arial"/>
          <w:sz w:val="11"/>
          <w:szCs w:val="11"/>
          <w:color w:val="666666"/>
        </w:rPr>
        <w: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Facebook</w:t>
      </w:r>
      <w:r>
        <w:rPr>
          <w:rFonts w:ascii="Arial" w:cs="Arial" w:eastAsia="Arial" w:hAnsi="Arial"/>
          <w:sz w:val="11"/>
          <w:szCs w:val="11"/>
          <w:u w:val="single" w:color="auto"/>
          <w:color w:val="666666"/>
        </w:rPr>
        <w:t>,</w:t>
      </w:r>
      <w:r>
        <w:rPr>
          <w:rFonts w:ascii="Arial" w:cs="Arial" w:eastAsia="Arial" w:hAnsi="Arial"/>
          <w:sz w:val="11"/>
          <w:szCs w:val="11"/>
          <w:color w:val="auto"/>
        </w:rPr>
        <w:t xml:space="preserve"> </w:t>
      </w:r>
      <w:r>
        <w:rPr>
          <w:rFonts w:ascii="Arial" w:cs="Arial" w:eastAsia="Arial" w:hAnsi="Arial"/>
          <w:sz w:val="11"/>
          <w:szCs w:val="11"/>
          <w:color w:val="666666"/>
        </w:rPr>
        <w:t>and</w:t>
      </w:r>
      <w:r>
        <w:rPr>
          <w:rFonts w:ascii="Arial" w:cs="Arial" w:eastAsia="Arial" w:hAnsi="Arial"/>
          <w:sz w:val="11"/>
          <w:szCs w:val="11"/>
          <w:color w:val="auto"/>
        </w:rPr>
        <w:t xml:space="preserve"> </w:t>
      </w:r>
      <w:r>
        <w:rPr>
          <w:rFonts w:ascii="Arial" w:cs="Arial" w:eastAsia="Arial" w:hAnsi="Arial"/>
          <w:sz w:val="11"/>
          <w:szCs w:val="11"/>
          <w:u w:val="single" w:color="auto"/>
          <w:color w:val="0000FF"/>
        </w:rPr>
        <w:t>Instagram</w:t>
      </w:r>
      <w:r>
        <w:rPr>
          <w:rFonts w:ascii="Arial" w:cs="Arial" w:eastAsia="Arial" w:hAnsi="Arial"/>
          <w:sz w:val="11"/>
          <w:szCs w:val="11"/>
          <w:color w:val="666666"/>
        </w:rPr>
        <w:t>.</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Joel Kaufman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0563C1"/>
        </w:rPr>
        <w:t>investors@sema4.com</w:t>
      </w:r>
    </w:p>
    <w:p>
      <w:pPr>
        <w:spacing w:after="0" w:line="1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Radley Moss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0563C1"/>
        </w:rPr>
        <w:t>radley.moss@sema4.com</w:t>
      </w: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121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color w:val="auto"/>
        </w:rPr>
        <w:t>Historical Pro Forma Resulted Volume and Revenue</w:t>
      </w:r>
      <w:r>
        <w:rPr>
          <w:rFonts w:ascii="Times New Roman" w:cs="Times New Roman" w:eastAsia="Times New Roman" w:hAnsi="Times New Roman"/>
          <w:sz w:val="16"/>
          <w:szCs w:val="16"/>
          <w:b w:val="1"/>
          <w:bCs w:val="1"/>
          <w:color w:val="auto"/>
          <w:vertAlign w:val="superscript"/>
        </w:rPr>
        <w:t>1</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980" w:type="dxa"/>
            <w:vAlign w:val="bottom"/>
            <w:tcBorders>
              <w:top w:val="single" w:sz="8" w:color="auto"/>
              <w:left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1Q21</w:t>
            </w:r>
          </w:p>
        </w:tc>
        <w:tc>
          <w:tcPr>
            <w:tcW w:w="10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2Q21</w:t>
            </w:r>
          </w:p>
        </w:tc>
        <w:tc>
          <w:tcPr>
            <w:tcW w:w="10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3Q21</w:t>
            </w:r>
          </w:p>
        </w:tc>
        <w:tc>
          <w:tcPr>
            <w:tcW w:w="10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4Q21</w:t>
            </w:r>
          </w:p>
        </w:tc>
        <w:tc>
          <w:tcPr>
            <w:tcW w:w="10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1Q22</w:t>
            </w:r>
          </w:p>
        </w:tc>
        <w:tc>
          <w:tcPr>
            <w:tcW w:w="10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2Q22</w:t>
            </w:r>
          </w:p>
        </w:tc>
        <w:tc>
          <w:tcPr>
            <w:tcW w:w="1040" w:type="dxa"/>
            <w:vAlign w:val="bottom"/>
            <w:tcBorders>
              <w:top w:val="single" w:sz="8" w:color="auto"/>
              <w:right w:val="single" w:sz="8" w:color="auto"/>
            </w:tcBorders>
          </w:tcPr>
          <w:p>
            <w:pPr>
              <w:jc w:val="center"/>
              <w:ind w:right="7"/>
              <w:spacing w:after="0"/>
              <w:rPr>
                <w:sz w:val="20"/>
                <w:szCs w:val="20"/>
                <w:color w:val="auto"/>
              </w:rPr>
            </w:pPr>
            <w:r>
              <w:rPr>
                <w:rFonts w:ascii="Calibri" w:cs="Calibri" w:eastAsia="Calibri" w:hAnsi="Calibri"/>
                <w:sz w:val="11"/>
                <w:szCs w:val="11"/>
                <w:b w:val="1"/>
                <w:bCs w:val="1"/>
                <w:color w:val="auto"/>
                <w:w w:val="90"/>
              </w:rPr>
              <w:t>3Q22</w:t>
            </w:r>
          </w:p>
        </w:tc>
      </w:tr>
      <w:tr>
        <w:trPr>
          <w:trHeight w:val="152"/>
        </w:trPr>
        <w:tc>
          <w:tcPr>
            <w:tcW w:w="3980" w:type="dxa"/>
            <w:vAlign w:val="bottom"/>
            <w:tcBorders>
              <w:left w:val="single" w:sz="8" w:color="auto"/>
              <w:right w:val="single" w:sz="8" w:color="auto"/>
            </w:tcBorders>
            <w:shd w:val="clear" w:color="auto" w:fill="E7E6E6"/>
          </w:tcPr>
          <w:p>
            <w:pPr>
              <w:ind w:left="40"/>
              <w:spacing w:after="0" w:line="153" w:lineRule="exact"/>
              <w:rPr>
                <w:sz w:val="20"/>
                <w:szCs w:val="20"/>
                <w:color w:val="auto"/>
              </w:rPr>
            </w:pPr>
            <w:r>
              <w:rPr>
                <w:rFonts w:ascii="Calibri" w:cs="Calibri" w:eastAsia="Calibri" w:hAnsi="Calibri"/>
                <w:sz w:val="11"/>
                <w:szCs w:val="11"/>
                <w:b w:val="1"/>
                <w:bCs w:val="1"/>
                <w:color w:val="auto"/>
              </w:rPr>
              <w:t>Volumes</w:t>
            </w:r>
            <w:r>
              <w:rPr>
                <w:rFonts w:ascii="Calibri" w:cs="Calibri" w:eastAsia="Calibri" w:hAnsi="Calibri"/>
                <w:sz w:val="14"/>
                <w:szCs w:val="14"/>
                <w:b w:val="1"/>
                <w:bCs w:val="1"/>
                <w:color w:val="auto"/>
                <w:vertAlign w:val="superscript"/>
              </w:rPr>
              <w:t>2</w:t>
            </w:r>
          </w:p>
        </w:tc>
        <w:tc>
          <w:tcPr>
            <w:tcW w:w="1040" w:type="dxa"/>
            <w:vAlign w:val="bottom"/>
            <w:tcBorders>
              <w:right w:val="single" w:sz="8" w:color="auto"/>
            </w:tcBorders>
            <w:shd w:val="clear" w:color="auto" w:fill="E7E6E6"/>
          </w:tcPr>
          <w:p>
            <w:pPr>
              <w:spacing w:after="0"/>
              <w:rPr>
                <w:sz w:val="13"/>
                <w:szCs w:val="13"/>
                <w:color w:val="auto"/>
              </w:rPr>
            </w:pPr>
          </w:p>
        </w:tc>
        <w:tc>
          <w:tcPr>
            <w:tcW w:w="1040" w:type="dxa"/>
            <w:vAlign w:val="bottom"/>
            <w:tcBorders>
              <w:right w:val="single" w:sz="8" w:color="auto"/>
            </w:tcBorders>
            <w:shd w:val="clear" w:color="auto" w:fill="E7E6E6"/>
          </w:tcPr>
          <w:p>
            <w:pPr>
              <w:spacing w:after="0"/>
              <w:rPr>
                <w:sz w:val="13"/>
                <w:szCs w:val="13"/>
                <w:color w:val="auto"/>
              </w:rPr>
            </w:pPr>
          </w:p>
        </w:tc>
        <w:tc>
          <w:tcPr>
            <w:tcW w:w="1060" w:type="dxa"/>
            <w:vAlign w:val="bottom"/>
            <w:tcBorders>
              <w:right w:val="single" w:sz="8" w:color="auto"/>
            </w:tcBorders>
            <w:shd w:val="clear" w:color="auto" w:fill="E7E6E6"/>
          </w:tcPr>
          <w:p>
            <w:pPr>
              <w:spacing w:after="0"/>
              <w:rPr>
                <w:sz w:val="13"/>
                <w:szCs w:val="13"/>
                <w:color w:val="auto"/>
              </w:rPr>
            </w:pPr>
          </w:p>
        </w:tc>
        <w:tc>
          <w:tcPr>
            <w:tcW w:w="1040" w:type="dxa"/>
            <w:vAlign w:val="bottom"/>
            <w:tcBorders>
              <w:right w:val="single" w:sz="8" w:color="auto"/>
            </w:tcBorders>
            <w:shd w:val="clear" w:color="auto" w:fill="E7E6E6"/>
          </w:tcPr>
          <w:p>
            <w:pPr>
              <w:spacing w:after="0"/>
              <w:rPr>
                <w:sz w:val="13"/>
                <w:szCs w:val="13"/>
                <w:color w:val="auto"/>
              </w:rPr>
            </w:pPr>
          </w:p>
        </w:tc>
        <w:tc>
          <w:tcPr>
            <w:tcW w:w="1040" w:type="dxa"/>
            <w:vAlign w:val="bottom"/>
            <w:tcBorders>
              <w:right w:val="single" w:sz="8" w:color="auto"/>
            </w:tcBorders>
            <w:shd w:val="clear" w:color="auto" w:fill="E7E6E6"/>
          </w:tcPr>
          <w:p>
            <w:pPr>
              <w:spacing w:after="0"/>
              <w:rPr>
                <w:sz w:val="13"/>
                <w:szCs w:val="13"/>
                <w:color w:val="auto"/>
              </w:rPr>
            </w:pPr>
          </w:p>
        </w:tc>
        <w:tc>
          <w:tcPr>
            <w:tcW w:w="1080" w:type="dxa"/>
            <w:vAlign w:val="bottom"/>
            <w:tcBorders>
              <w:right w:val="single" w:sz="8" w:color="auto"/>
            </w:tcBorders>
            <w:shd w:val="clear" w:color="auto" w:fill="E7E6E6"/>
          </w:tcPr>
          <w:p>
            <w:pPr>
              <w:spacing w:after="0"/>
              <w:rPr>
                <w:sz w:val="13"/>
                <w:szCs w:val="13"/>
                <w:color w:val="auto"/>
              </w:rPr>
            </w:pPr>
          </w:p>
        </w:tc>
        <w:tc>
          <w:tcPr>
            <w:tcW w:w="1040" w:type="dxa"/>
            <w:vAlign w:val="bottom"/>
            <w:tcBorders>
              <w:right w:val="single" w:sz="8" w:color="auto"/>
            </w:tcBorders>
            <w:shd w:val="clear" w:color="auto" w:fill="E7E6E6"/>
          </w:tcPr>
          <w:p>
            <w:pPr>
              <w:spacing w:after="0"/>
              <w:rPr>
                <w:sz w:val="13"/>
                <w:szCs w:val="13"/>
                <w:color w:val="auto"/>
              </w:rPr>
            </w:pPr>
          </w:p>
        </w:tc>
      </w:tr>
      <w:tr>
        <w:trPr>
          <w:trHeight w:val="127"/>
        </w:trPr>
        <w:tc>
          <w:tcPr>
            <w:tcW w:w="3980" w:type="dxa"/>
            <w:vAlign w:val="bottom"/>
            <w:tcBorders>
              <w:left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color w:val="auto"/>
              </w:rPr>
              <w:t>Complex Reproductve Health</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46,052</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50,155</w:t>
            </w:r>
          </w:p>
        </w:tc>
        <w:tc>
          <w:tcPr>
            <w:tcW w:w="106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49,475</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61,741</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67,907</w:t>
            </w:r>
          </w:p>
        </w:tc>
        <w:tc>
          <w:tcPr>
            <w:tcW w:w="1080" w:type="dxa"/>
            <w:vAlign w:val="bottom"/>
            <w:tcBorders>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w w:val="97"/>
              </w:rPr>
              <w:t>73,288</w:t>
            </w:r>
          </w:p>
        </w:tc>
        <w:tc>
          <w:tcPr>
            <w:tcW w:w="1040" w:type="dxa"/>
            <w:vAlign w:val="bottom"/>
            <w:tcBorders>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color w:val="auto"/>
                <w:w w:val="97"/>
              </w:rPr>
              <w:t>68,109</w:t>
            </w:r>
          </w:p>
        </w:tc>
      </w:tr>
      <w:tr>
        <w:trPr>
          <w:trHeight w:val="142"/>
        </w:trPr>
        <w:tc>
          <w:tcPr>
            <w:tcW w:w="39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Whole Exome, Whole Genome &amp; NICU</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3,344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6,698</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6,162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6,619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7,395</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7,572</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rPr>
              <w:t>7,480</w:t>
            </w:r>
          </w:p>
        </w:tc>
      </w:tr>
      <w:tr>
        <w:trPr>
          <w:trHeight w:val="154"/>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Other Diagnostc Testng (Excluding COVID)</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49,230</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54,412</w:t>
            </w:r>
          </w:p>
        </w:tc>
        <w:tc>
          <w:tcPr>
            <w:tcW w:w="10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51,780</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53,387</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51,057</w:t>
            </w:r>
          </w:p>
        </w:tc>
        <w:tc>
          <w:tcPr>
            <w:tcW w:w="1080" w:type="dxa"/>
            <w:vAlign w:val="bottom"/>
            <w:tcBorders>
              <w:bottom w:val="single" w:sz="8" w:color="auto"/>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7"/>
              </w:rPr>
              <w:t>51,802</w:t>
            </w:r>
          </w:p>
        </w:tc>
        <w:tc>
          <w:tcPr>
            <w:tcW w:w="1040" w:type="dxa"/>
            <w:vAlign w:val="bottom"/>
            <w:tcBorders>
              <w:bottom w:val="single" w:sz="8" w:color="auto"/>
              <w:right w:val="single" w:sz="8" w:color="auto"/>
            </w:tcBorders>
          </w:tcPr>
          <w:p>
            <w:pPr>
              <w:jc w:val="center"/>
              <w:ind w:right="7"/>
              <w:spacing w:after="0"/>
              <w:rPr>
                <w:sz w:val="20"/>
                <w:szCs w:val="20"/>
                <w:color w:val="auto"/>
              </w:rPr>
            </w:pPr>
            <w:r>
              <w:rPr>
                <w:rFonts w:ascii="Calibri" w:cs="Calibri" w:eastAsia="Calibri" w:hAnsi="Calibri"/>
                <w:sz w:val="11"/>
                <w:szCs w:val="11"/>
                <w:color w:val="auto"/>
                <w:w w:val="97"/>
              </w:rPr>
              <w:t>52,673</w:t>
            </w:r>
          </w:p>
        </w:tc>
      </w:tr>
      <w:tr>
        <w:trPr>
          <w:trHeight w:val="149"/>
        </w:trPr>
        <w:tc>
          <w:tcPr>
            <w:tcW w:w="3980" w:type="dxa"/>
            <w:vAlign w:val="bottom"/>
            <w:tcBorders>
              <w:left w:val="single" w:sz="8" w:color="auto"/>
              <w:bottom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color w:val="auto"/>
              </w:rPr>
              <w:t>Total</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98,626</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3"/>
              </w:rPr>
              <w:t>111,265</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9"/>
              </w:rPr>
              <w:t>107,417</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9"/>
              </w:rPr>
              <w:t>121,747</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9"/>
              </w:rPr>
              <w:t>126,359</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w w:val="93"/>
              </w:rPr>
              <w:t>132,662</w:t>
            </w:r>
          </w:p>
        </w:tc>
        <w:tc>
          <w:tcPr>
            <w:tcW w:w="1040" w:type="dxa"/>
            <w:vAlign w:val="bottom"/>
            <w:tcBorders>
              <w:bottom w:val="single" w:sz="8" w:color="auto"/>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color w:val="auto"/>
                <w:w w:val="93"/>
              </w:rPr>
              <w:t>128,262</w:t>
            </w:r>
          </w:p>
        </w:tc>
      </w:tr>
      <w:tr>
        <w:trPr>
          <w:trHeight w:val="269"/>
        </w:trPr>
        <w:tc>
          <w:tcPr>
            <w:tcW w:w="39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Sema4 (Excluding COVID)</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66,945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72,083</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69,895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82,966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7"/>
              </w:rPr>
              <w:t>84,925</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7"/>
              </w:rPr>
              <w:t>87,094</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w w:val="97"/>
              </w:rPr>
              <w:t>83,348</w:t>
            </w:r>
          </w:p>
        </w:tc>
      </w:tr>
      <w:tr>
        <w:trPr>
          <w:trHeight w:val="154"/>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GeneDx</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31,681</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39,182</w:t>
            </w:r>
          </w:p>
        </w:tc>
        <w:tc>
          <w:tcPr>
            <w:tcW w:w="10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37,522</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38,781</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41,434</w:t>
            </w:r>
          </w:p>
        </w:tc>
        <w:tc>
          <w:tcPr>
            <w:tcW w:w="1080" w:type="dxa"/>
            <w:vAlign w:val="bottom"/>
            <w:tcBorders>
              <w:bottom w:val="single" w:sz="8" w:color="auto"/>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7"/>
              </w:rPr>
              <w:t>45,568</w:t>
            </w:r>
          </w:p>
        </w:tc>
        <w:tc>
          <w:tcPr>
            <w:tcW w:w="1040" w:type="dxa"/>
            <w:vAlign w:val="bottom"/>
            <w:tcBorders>
              <w:bottom w:val="single" w:sz="8" w:color="auto"/>
              <w:right w:val="single" w:sz="8" w:color="auto"/>
            </w:tcBorders>
          </w:tcPr>
          <w:p>
            <w:pPr>
              <w:jc w:val="center"/>
              <w:ind w:right="7"/>
              <w:spacing w:after="0"/>
              <w:rPr>
                <w:sz w:val="20"/>
                <w:szCs w:val="20"/>
                <w:color w:val="auto"/>
              </w:rPr>
            </w:pPr>
            <w:r>
              <w:rPr>
                <w:rFonts w:ascii="Calibri" w:cs="Calibri" w:eastAsia="Calibri" w:hAnsi="Calibri"/>
                <w:sz w:val="11"/>
                <w:szCs w:val="11"/>
                <w:color w:val="auto"/>
                <w:w w:val="97"/>
              </w:rPr>
              <w:t>44,914</w:t>
            </w:r>
          </w:p>
        </w:tc>
      </w:tr>
      <w:tr>
        <w:trPr>
          <w:trHeight w:val="149"/>
        </w:trPr>
        <w:tc>
          <w:tcPr>
            <w:tcW w:w="398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Calibri" w:cs="Calibri" w:eastAsia="Calibri" w:hAnsi="Calibri"/>
                <w:sz w:val="11"/>
                <w:szCs w:val="11"/>
                <w:color w:val="auto"/>
              </w:rPr>
              <w:t>Total</w:t>
            </w:r>
            <w:r>
              <w:rPr>
                <w:rFonts w:ascii="Calibri" w:cs="Calibri" w:eastAsia="Calibri" w:hAnsi="Calibri"/>
                <w:sz w:val="14"/>
                <w:szCs w:val="14"/>
                <w:color w:val="auto"/>
                <w:vertAlign w:val="superscript"/>
              </w:rPr>
              <w:t>1</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98,626</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3"/>
              </w:rPr>
              <w:t>111,265</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9"/>
              </w:rPr>
              <w:t>107,417</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9"/>
              </w:rPr>
              <w:t>121,747</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9"/>
              </w:rPr>
              <w:t>126,359</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w w:val="93"/>
              </w:rPr>
              <w:t>132,662</w:t>
            </w:r>
          </w:p>
        </w:tc>
        <w:tc>
          <w:tcPr>
            <w:tcW w:w="1040" w:type="dxa"/>
            <w:vAlign w:val="bottom"/>
            <w:tcBorders>
              <w:bottom w:val="single" w:sz="8" w:color="auto"/>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color w:val="auto"/>
                <w:w w:val="93"/>
              </w:rPr>
              <w:t>128,262</w:t>
            </w:r>
          </w:p>
        </w:tc>
      </w:tr>
      <w:tr>
        <w:trPr>
          <w:trHeight w:val="144"/>
        </w:trPr>
        <w:tc>
          <w:tcPr>
            <w:tcW w:w="398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44"/>
        </w:trPr>
        <w:tc>
          <w:tcPr>
            <w:tcW w:w="3980" w:type="dxa"/>
            <w:vAlign w:val="bottom"/>
            <w:tcBorders>
              <w:left w:val="single" w:sz="8" w:color="auto"/>
              <w:right w:val="single" w:sz="8" w:color="auto"/>
            </w:tcBorders>
            <w:shd w:val="clear" w:color="auto" w:fill="E7E6E6"/>
          </w:tcPr>
          <w:p>
            <w:pPr>
              <w:ind w:left="40"/>
              <w:spacing w:after="0" w:line="144" w:lineRule="exact"/>
              <w:rPr>
                <w:sz w:val="20"/>
                <w:szCs w:val="20"/>
                <w:color w:val="auto"/>
              </w:rPr>
            </w:pPr>
            <w:r>
              <w:rPr>
                <w:rFonts w:ascii="Calibri" w:cs="Calibri" w:eastAsia="Calibri" w:hAnsi="Calibri"/>
                <w:sz w:val="11"/>
                <w:szCs w:val="11"/>
                <w:b w:val="1"/>
                <w:bCs w:val="1"/>
                <w:color w:val="auto"/>
              </w:rPr>
              <w:t>Revenue</w:t>
            </w:r>
            <w:r>
              <w:rPr>
                <w:rFonts w:ascii="Calibri" w:cs="Calibri" w:eastAsia="Calibri" w:hAnsi="Calibri"/>
                <w:sz w:val="14"/>
                <w:szCs w:val="14"/>
                <w:b w:val="1"/>
                <w:bCs w:val="1"/>
                <w:color w:val="auto"/>
                <w:vertAlign w:val="superscript"/>
              </w:rPr>
              <w:t>2</w:t>
            </w:r>
          </w:p>
        </w:tc>
        <w:tc>
          <w:tcPr>
            <w:tcW w:w="104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6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c>
          <w:tcPr>
            <w:tcW w:w="1080" w:type="dxa"/>
            <w:vAlign w:val="bottom"/>
            <w:tcBorders>
              <w:right w:val="single" w:sz="8" w:color="auto"/>
            </w:tcBorders>
            <w:shd w:val="clear" w:color="auto" w:fill="E7E6E6"/>
          </w:tcPr>
          <w:p>
            <w:pPr>
              <w:spacing w:after="0"/>
              <w:rPr>
                <w:sz w:val="12"/>
                <w:szCs w:val="12"/>
                <w:color w:val="auto"/>
              </w:rPr>
            </w:pPr>
          </w:p>
        </w:tc>
        <w:tc>
          <w:tcPr>
            <w:tcW w:w="1040" w:type="dxa"/>
            <w:vAlign w:val="bottom"/>
            <w:tcBorders>
              <w:right w:val="single" w:sz="8" w:color="auto"/>
            </w:tcBorders>
            <w:shd w:val="clear" w:color="auto" w:fill="E7E6E6"/>
          </w:tcPr>
          <w:p>
            <w:pPr>
              <w:spacing w:after="0"/>
              <w:rPr>
                <w:sz w:val="12"/>
                <w:szCs w:val="12"/>
                <w:color w:val="auto"/>
              </w:rPr>
            </w:pPr>
          </w:p>
        </w:tc>
      </w:tr>
      <w:tr>
        <w:trPr>
          <w:trHeight w:val="127"/>
        </w:trPr>
        <w:tc>
          <w:tcPr>
            <w:tcW w:w="3980" w:type="dxa"/>
            <w:vAlign w:val="bottom"/>
            <w:tcBorders>
              <w:left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color w:val="auto"/>
              </w:rPr>
              <w:t>Complex Reproductve Health</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$46.5</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$41.3</w:t>
            </w:r>
          </w:p>
        </w:tc>
        <w:tc>
          <w:tcPr>
            <w:tcW w:w="106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$37.6</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$46.2</w:t>
            </w:r>
          </w:p>
        </w:tc>
        <w:tc>
          <w:tcPr>
            <w:tcW w:w="10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$48.3</w:t>
            </w:r>
          </w:p>
        </w:tc>
        <w:tc>
          <w:tcPr>
            <w:tcW w:w="1080" w:type="dxa"/>
            <w:vAlign w:val="bottom"/>
            <w:tcBorders>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w w:val="92"/>
              </w:rPr>
              <w:t>$8.2</w:t>
            </w:r>
          </w:p>
        </w:tc>
        <w:tc>
          <w:tcPr>
            <w:tcW w:w="1040" w:type="dxa"/>
            <w:vAlign w:val="bottom"/>
            <w:tcBorders>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color w:val="auto"/>
              </w:rPr>
              <w:t>$36.8</w:t>
            </w:r>
          </w:p>
        </w:tc>
      </w:tr>
      <w:tr>
        <w:trPr>
          <w:trHeight w:val="142"/>
        </w:trPr>
        <w:tc>
          <w:tcPr>
            <w:tcW w:w="39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Whole Exome, Whole Genome &amp; NICU</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$8.4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$13.5</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$14.2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$15.3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$18.4</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$21.1</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rPr>
              <w:t>$26.9</w:t>
            </w:r>
          </w:p>
        </w:tc>
      </w:tr>
      <w:tr>
        <w:trPr>
          <w:trHeight w:val="144"/>
        </w:trPr>
        <w:tc>
          <w:tcPr>
            <w:tcW w:w="39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Other Diagnostc Testng (Excluding COVID)</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$14.8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$15.7</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$15.2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$15.7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$17.9</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$16.5</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rPr>
              <w:t>$17.7</w:t>
            </w:r>
          </w:p>
        </w:tc>
      </w:tr>
      <w:tr>
        <w:trPr>
          <w:trHeight w:val="144"/>
        </w:trPr>
        <w:tc>
          <w:tcPr>
            <w:tcW w:w="39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COVID</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$15.9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$3.8</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$10.5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$3.8</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2"/>
              </w:rPr>
              <w:t>$0.3</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w w:val="92"/>
              </w:rPr>
              <w:t>$0.0</w:t>
            </w:r>
          </w:p>
        </w:tc>
      </w:tr>
      <w:tr>
        <w:trPr>
          <w:trHeight w:val="154"/>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Pharma</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2"/>
              </w:rPr>
              <w:t>$1.4</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2"/>
              </w:rPr>
              <w:t>$2.2</w:t>
            </w:r>
          </w:p>
        </w:tc>
        <w:tc>
          <w:tcPr>
            <w:tcW w:w="10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$1.8</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$2.4</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$1.6</w:t>
            </w:r>
          </w:p>
        </w:tc>
        <w:tc>
          <w:tcPr>
            <w:tcW w:w="1080" w:type="dxa"/>
            <w:vAlign w:val="bottom"/>
            <w:tcBorders>
              <w:bottom w:val="single" w:sz="8" w:color="auto"/>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2"/>
              </w:rPr>
              <w:t>$2.3</w:t>
            </w:r>
          </w:p>
        </w:tc>
        <w:tc>
          <w:tcPr>
            <w:tcW w:w="1040" w:type="dxa"/>
            <w:vAlign w:val="bottom"/>
            <w:tcBorders>
              <w:bottom w:val="single" w:sz="8" w:color="auto"/>
              <w:right w:val="single" w:sz="8" w:color="auto"/>
            </w:tcBorders>
          </w:tcPr>
          <w:p>
            <w:pPr>
              <w:jc w:val="center"/>
              <w:ind w:right="7"/>
              <w:spacing w:after="0"/>
              <w:rPr>
                <w:sz w:val="20"/>
                <w:szCs w:val="20"/>
                <w:color w:val="auto"/>
              </w:rPr>
            </w:pPr>
            <w:r>
              <w:rPr>
                <w:rFonts w:ascii="Calibri" w:cs="Calibri" w:eastAsia="Calibri" w:hAnsi="Calibri"/>
                <w:sz w:val="11"/>
                <w:szCs w:val="11"/>
                <w:color w:val="auto"/>
                <w:w w:val="92"/>
              </w:rPr>
              <w:t>$1.7</w:t>
            </w:r>
          </w:p>
        </w:tc>
      </w:tr>
      <w:tr>
        <w:trPr>
          <w:trHeight w:val="149"/>
        </w:trPr>
        <w:tc>
          <w:tcPr>
            <w:tcW w:w="398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Calibri" w:cs="Calibri" w:eastAsia="Calibri" w:hAnsi="Calibri"/>
                <w:sz w:val="11"/>
                <w:szCs w:val="11"/>
                <w:color w:val="auto"/>
              </w:rPr>
              <w:t>Total</w:t>
            </w:r>
            <w:r>
              <w:rPr>
                <w:rFonts w:ascii="Calibri" w:cs="Calibri" w:eastAsia="Calibri" w:hAnsi="Calibri"/>
                <w:sz w:val="14"/>
                <w:szCs w:val="14"/>
                <w:color w:val="auto"/>
                <w:vertAlign w:val="superscript"/>
              </w:rPr>
              <w:t>2</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$87.0</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$76.7</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$73.0</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$90.1</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$90.1</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rPr>
              <w:t>$48.3</w:t>
            </w:r>
          </w:p>
        </w:tc>
        <w:tc>
          <w:tcPr>
            <w:tcW w:w="1040" w:type="dxa"/>
            <w:vAlign w:val="bottom"/>
            <w:tcBorders>
              <w:bottom w:val="single" w:sz="8" w:color="auto"/>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color w:val="auto"/>
              </w:rPr>
              <w:t>$83.2</w:t>
            </w:r>
          </w:p>
        </w:tc>
      </w:tr>
      <w:tr>
        <w:trPr>
          <w:trHeight w:val="144"/>
        </w:trPr>
        <w:tc>
          <w:tcPr>
            <w:tcW w:w="3980" w:type="dxa"/>
            <w:vAlign w:val="bottom"/>
            <w:tcBorders>
              <w:left w:val="single" w:sz="8" w:color="auto"/>
              <w:bottom w:val="single" w:sz="8" w:color="auto"/>
              <w:right w:val="single" w:sz="8" w:color="auto"/>
            </w:tcBorders>
          </w:tcPr>
          <w:p>
            <w:pPr>
              <w:ind w:left="160"/>
              <w:spacing w:after="0" w:line="144" w:lineRule="exact"/>
              <w:rPr>
                <w:sz w:val="20"/>
                <w:szCs w:val="20"/>
                <w:color w:val="auto"/>
              </w:rPr>
            </w:pPr>
            <w:r>
              <w:rPr>
                <w:rFonts w:ascii="Calibri" w:cs="Calibri" w:eastAsia="Calibri" w:hAnsi="Calibri"/>
                <w:sz w:val="11"/>
                <w:szCs w:val="11"/>
                <w:color w:val="auto"/>
              </w:rPr>
              <w:t>2Q 2022 Prior Period Revenue Adjustment</w:t>
            </w:r>
            <w:r>
              <w:rPr>
                <w:rFonts w:ascii="Calibri" w:cs="Calibri" w:eastAsia="Calibri" w:hAnsi="Calibri"/>
                <w:sz w:val="14"/>
                <w:szCs w:val="14"/>
                <w:color w:val="auto"/>
                <w:vertAlign w:val="superscript"/>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9"/>
                <w:szCs w:val="9"/>
                <w:color w:val="auto"/>
                <w:w w:val="70"/>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9"/>
                <w:szCs w:val="9"/>
                <w:color w:val="auto"/>
                <w:w w:val="70"/>
              </w:rPr>
              <w:t>-</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w w:val="94"/>
              </w:rPr>
              <w:t>($30.1)</w:t>
            </w:r>
          </w:p>
        </w:tc>
        <w:tc>
          <w:tcPr>
            <w:tcW w:w="1040" w:type="dxa"/>
            <w:vAlign w:val="bottom"/>
            <w:tcBorders>
              <w:bottom w:val="single" w:sz="8" w:color="auto"/>
              <w:right w:val="single" w:sz="8" w:color="auto"/>
            </w:tcBorders>
          </w:tcPr>
          <w:p>
            <w:pPr>
              <w:jc w:val="center"/>
              <w:ind w:right="7"/>
              <w:spacing w:after="0"/>
              <w:rPr>
                <w:sz w:val="20"/>
                <w:szCs w:val="20"/>
                <w:color w:val="auto"/>
              </w:rPr>
            </w:pPr>
            <w:r>
              <w:rPr>
                <w:rFonts w:ascii="Calibri" w:cs="Calibri" w:eastAsia="Calibri" w:hAnsi="Calibri"/>
                <w:sz w:val="9"/>
                <w:szCs w:val="9"/>
                <w:color w:val="auto"/>
                <w:w w:val="70"/>
              </w:rPr>
              <w:t>-</w:t>
            </w:r>
          </w:p>
        </w:tc>
      </w:tr>
      <w:tr>
        <w:trPr>
          <w:trHeight w:val="124"/>
        </w:trPr>
        <w:tc>
          <w:tcPr>
            <w:tcW w:w="3980" w:type="dxa"/>
            <w:vAlign w:val="bottom"/>
            <w:tcBorders>
              <w:left w:val="single" w:sz="8" w:color="auto"/>
              <w:bottom w:val="single" w:sz="8" w:color="auto"/>
              <w:right w:val="single" w:sz="8" w:color="auto"/>
            </w:tcBorders>
          </w:tcPr>
          <w:p>
            <w:pPr>
              <w:ind w:left="40"/>
              <w:spacing w:after="0" w:line="125" w:lineRule="exact"/>
              <w:rPr>
                <w:sz w:val="20"/>
                <w:szCs w:val="20"/>
                <w:color w:val="auto"/>
              </w:rPr>
            </w:pPr>
            <w:r>
              <w:rPr>
                <w:rFonts w:ascii="Calibri" w:cs="Calibri" w:eastAsia="Calibri" w:hAnsi="Calibri"/>
                <w:sz w:val="11"/>
                <w:szCs w:val="11"/>
                <w:color w:val="auto"/>
              </w:rPr>
              <w:t>Adjusted Total</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$87.0</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$76.7</w:t>
            </w:r>
          </w:p>
        </w:tc>
        <w:tc>
          <w:tcPr>
            <w:tcW w:w="106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w w:val="95"/>
              </w:rPr>
              <w:t>$73.0</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w w:val="95"/>
              </w:rPr>
              <w:t>$90.1</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w w:val="95"/>
              </w:rPr>
              <w:t>$90.1</w:t>
            </w:r>
          </w:p>
        </w:tc>
        <w:tc>
          <w:tcPr>
            <w:tcW w:w="108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color w:val="auto"/>
              </w:rPr>
              <w:t>$78.4</w:t>
            </w:r>
          </w:p>
        </w:tc>
        <w:tc>
          <w:tcPr>
            <w:tcW w:w="1040" w:type="dxa"/>
            <w:vAlign w:val="bottom"/>
            <w:tcBorders>
              <w:bottom w:val="single" w:sz="8" w:color="auto"/>
              <w:right w:val="single" w:sz="8" w:color="auto"/>
            </w:tcBorders>
          </w:tcPr>
          <w:p>
            <w:pPr>
              <w:jc w:val="center"/>
              <w:ind w:right="7"/>
              <w:spacing w:after="0" w:line="125" w:lineRule="exact"/>
              <w:rPr>
                <w:sz w:val="20"/>
                <w:szCs w:val="20"/>
                <w:color w:val="auto"/>
              </w:rPr>
            </w:pPr>
            <w:r>
              <w:rPr>
                <w:rFonts w:ascii="Calibri" w:cs="Calibri" w:eastAsia="Calibri" w:hAnsi="Calibri"/>
                <w:sz w:val="11"/>
                <w:szCs w:val="11"/>
                <w:color w:val="auto"/>
              </w:rPr>
              <w:t>$83.2</w:t>
            </w:r>
          </w:p>
        </w:tc>
      </w:tr>
      <w:tr>
        <w:trPr>
          <w:trHeight w:val="149"/>
        </w:trPr>
        <w:tc>
          <w:tcPr>
            <w:tcW w:w="3980" w:type="dxa"/>
            <w:vAlign w:val="bottom"/>
            <w:tcBorders>
              <w:left w:val="single" w:sz="8" w:color="auto"/>
              <w:bottom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b w:val="1"/>
                <w:bCs w:val="1"/>
                <w:color w:val="auto"/>
              </w:rPr>
              <w:t>Adjusted Total Excluding COVID</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$71.1</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$72.8</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$68.8</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$79.6</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$86.3</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b w:val="1"/>
                <w:bCs w:val="1"/>
                <w:color w:val="auto"/>
              </w:rPr>
              <w:t>$78.1</w:t>
            </w:r>
          </w:p>
        </w:tc>
        <w:tc>
          <w:tcPr>
            <w:tcW w:w="1040" w:type="dxa"/>
            <w:vAlign w:val="bottom"/>
            <w:tcBorders>
              <w:bottom w:val="single" w:sz="8" w:color="auto"/>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b w:val="1"/>
                <w:bCs w:val="1"/>
                <w:color w:val="auto"/>
              </w:rPr>
              <w:t>$83.2</w:t>
            </w:r>
          </w:p>
        </w:tc>
      </w:tr>
      <w:tr>
        <w:trPr>
          <w:trHeight w:val="269"/>
        </w:trPr>
        <w:tc>
          <w:tcPr>
            <w:tcW w:w="39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Sema4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$64.2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$47.0</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$43.2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$57.8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$53.9</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rPr>
              <w:t>$10.0</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rPr>
              <w:t>$37.7</w:t>
            </w:r>
          </w:p>
        </w:tc>
      </w:tr>
      <w:tr>
        <w:trPr>
          <w:trHeight w:val="144"/>
        </w:trPr>
        <w:tc>
          <w:tcPr>
            <w:tcW w:w="39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1"/>
                <w:szCs w:val="11"/>
                <w:color w:val="auto"/>
              </w:rPr>
              <w:t>Sema4 Diagnostc Testng (Excluding COVID)</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$46.9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$41.0</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$37.3</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$45.9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$48.7</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2"/>
              </w:rPr>
              <w:t>$8.1</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rPr>
              <w:t>$36.1</w:t>
            </w:r>
          </w:p>
        </w:tc>
      </w:tr>
      <w:tr>
        <w:trPr>
          <w:trHeight w:val="144"/>
        </w:trPr>
        <w:tc>
          <w:tcPr>
            <w:tcW w:w="39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1"/>
                <w:szCs w:val="11"/>
                <w:color w:val="auto"/>
              </w:rPr>
              <w:t>Sema4 COVID Testng</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$15.9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$3.8</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$4.2</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$10.5</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$3.8</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2"/>
              </w:rPr>
              <w:t>$0.3</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w w:val="92"/>
              </w:rPr>
              <w:t>$0.0</w:t>
            </w:r>
          </w:p>
        </w:tc>
      </w:tr>
      <w:tr>
        <w:trPr>
          <w:trHeight w:val="144"/>
        </w:trPr>
        <w:tc>
          <w:tcPr>
            <w:tcW w:w="398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1"/>
                <w:szCs w:val="11"/>
                <w:color w:val="auto"/>
              </w:rPr>
              <w:t>Sema4 Pharma</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$1.4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2"/>
              </w:rPr>
              <w:t>$2.2</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$1.7</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$1.4</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$1.4</w:t>
            </w:r>
          </w:p>
        </w:tc>
        <w:tc>
          <w:tcPr>
            <w:tcW w:w="1080" w:type="dxa"/>
            <w:vAlign w:val="bottom"/>
            <w:tcBorders>
              <w:right w:val="single" w:sz="8" w:color="auto"/>
            </w:tcBorders>
          </w:tcPr>
          <w:p>
            <w:pPr>
              <w:jc w:val="center"/>
              <w:ind w:right="6"/>
              <w:spacing w:after="0"/>
              <w:rPr>
                <w:sz w:val="20"/>
                <w:szCs w:val="20"/>
                <w:color w:val="auto"/>
              </w:rPr>
            </w:pPr>
            <w:r>
              <w:rPr>
                <w:rFonts w:ascii="Calibri" w:cs="Calibri" w:eastAsia="Calibri" w:hAnsi="Calibri"/>
                <w:sz w:val="11"/>
                <w:szCs w:val="11"/>
                <w:color w:val="auto"/>
                <w:w w:val="92"/>
              </w:rPr>
              <w:t>$1.7</w:t>
            </w:r>
          </w:p>
        </w:tc>
        <w:tc>
          <w:tcPr>
            <w:tcW w:w="1040" w:type="dxa"/>
            <w:vAlign w:val="bottom"/>
            <w:tcBorders>
              <w:right w:val="single" w:sz="8" w:color="auto"/>
            </w:tcBorders>
          </w:tcPr>
          <w:p>
            <w:pPr>
              <w:jc w:val="center"/>
              <w:ind w:right="7"/>
              <w:spacing w:after="0"/>
              <w:rPr>
                <w:sz w:val="20"/>
                <w:szCs w:val="20"/>
                <w:color w:val="auto"/>
              </w:rPr>
            </w:pPr>
            <w:r>
              <w:rPr>
                <w:rFonts w:ascii="Calibri" w:cs="Calibri" w:eastAsia="Calibri" w:hAnsi="Calibri"/>
                <w:sz w:val="11"/>
                <w:szCs w:val="11"/>
                <w:color w:val="auto"/>
                <w:w w:val="92"/>
              </w:rPr>
              <w:t>$1.6</w:t>
            </w:r>
          </w:p>
        </w:tc>
      </w:tr>
      <w:tr>
        <w:trPr>
          <w:trHeight w:val="153"/>
        </w:trPr>
        <w:tc>
          <w:tcPr>
            <w:tcW w:w="3980" w:type="dxa"/>
            <w:vAlign w:val="bottom"/>
            <w:tcBorders>
              <w:left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GeneDx</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$22.8</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$29.6</w:t>
            </w:r>
          </w:p>
        </w:tc>
        <w:tc>
          <w:tcPr>
            <w:tcW w:w="10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5"/>
              </w:rPr>
              <w:t>$29.8</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5"/>
              </w:rPr>
              <w:t>$32.3</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5"/>
              </w:rPr>
              <w:t>$36.1</w:t>
            </w:r>
          </w:p>
        </w:tc>
        <w:tc>
          <w:tcPr>
            <w:tcW w:w="1080" w:type="dxa"/>
            <w:vAlign w:val="bottom"/>
            <w:tcBorders>
              <w:bottom w:val="single" w:sz="8" w:color="auto"/>
              <w:right w:val="single" w:sz="8" w:color="auto"/>
            </w:tcBorders>
          </w:tcPr>
          <w:p>
            <w:pPr>
              <w:jc w:val="center"/>
              <w:ind w:right="6"/>
              <w:spacing w:after="0"/>
              <w:rPr>
                <w:sz w:val="20"/>
                <w:szCs w:val="20"/>
                <w:color w:val="auto"/>
              </w:rPr>
            </w:pPr>
            <w:r>
              <w:rPr>
                <w:rFonts w:ascii="Calibri" w:cs="Calibri" w:eastAsia="Calibri" w:hAnsi="Calibri"/>
                <w:sz w:val="11"/>
                <w:szCs w:val="11"/>
                <w:color w:val="auto"/>
              </w:rPr>
              <w:t>$38.3</w:t>
            </w:r>
          </w:p>
        </w:tc>
        <w:tc>
          <w:tcPr>
            <w:tcW w:w="1040" w:type="dxa"/>
            <w:vAlign w:val="bottom"/>
            <w:tcBorders>
              <w:bottom w:val="single" w:sz="8" w:color="auto"/>
              <w:right w:val="single" w:sz="8" w:color="auto"/>
            </w:tcBorders>
          </w:tcPr>
          <w:p>
            <w:pPr>
              <w:jc w:val="center"/>
              <w:ind w:right="7"/>
              <w:spacing w:after="0"/>
              <w:rPr>
                <w:sz w:val="20"/>
                <w:szCs w:val="20"/>
                <w:color w:val="auto"/>
              </w:rPr>
            </w:pPr>
            <w:r>
              <w:rPr>
                <w:rFonts w:ascii="Calibri" w:cs="Calibri" w:eastAsia="Calibri" w:hAnsi="Calibri"/>
                <w:sz w:val="11"/>
                <w:szCs w:val="11"/>
                <w:color w:val="auto"/>
              </w:rPr>
              <w:t>$45.6</w:t>
            </w:r>
          </w:p>
        </w:tc>
      </w:tr>
      <w:tr>
        <w:trPr>
          <w:trHeight w:val="150"/>
        </w:trPr>
        <w:tc>
          <w:tcPr>
            <w:tcW w:w="398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Calibri" w:cs="Calibri" w:eastAsia="Calibri" w:hAnsi="Calibri"/>
                <w:sz w:val="11"/>
                <w:szCs w:val="11"/>
                <w:color w:val="auto"/>
              </w:rPr>
              <w:t>Total</w:t>
            </w:r>
            <w:r>
              <w:rPr>
                <w:rFonts w:ascii="Calibri" w:cs="Calibri" w:eastAsia="Calibri" w:hAnsi="Calibri"/>
                <w:sz w:val="14"/>
                <w:szCs w:val="14"/>
                <w:color w:val="auto"/>
                <w:vertAlign w:val="superscript"/>
              </w:rPr>
              <w:t>2</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$87.0</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$76.7</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$73.0</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$90.1</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$90.1</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rPr>
              <w:t>$48.3</w:t>
            </w:r>
          </w:p>
        </w:tc>
        <w:tc>
          <w:tcPr>
            <w:tcW w:w="1040" w:type="dxa"/>
            <w:vAlign w:val="bottom"/>
            <w:tcBorders>
              <w:bottom w:val="single" w:sz="8" w:color="auto"/>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color w:val="auto"/>
              </w:rPr>
              <w:t>$83.2</w:t>
            </w:r>
          </w:p>
        </w:tc>
      </w:tr>
      <w:tr>
        <w:trPr>
          <w:trHeight w:val="144"/>
        </w:trPr>
        <w:tc>
          <w:tcPr>
            <w:tcW w:w="3980" w:type="dxa"/>
            <w:vAlign w:val="bottom"/>
            <w:tcBorders>
              <w:left w:val="single" w:sz="8" w:color="auto"/>
              <w:bottom w:val="single" w:sz="8" w:color="auto"/>
              <w:right w:val="single" w:sz="8" w:color="auto"/>
            </w:tcBorders>
          </w:tcPr>
          <w:p>
            <w:pPr>
              <w:ind w:left="160"/>
              <w:spacing w:after="0" w:line="144" w:lineRule="exact"/>
              <w:rPr>
                <w:sz w:val="20"/>
                <w:szCs w:val="20"/>
                <w:color w:val="auto"/>
              </w:rPr>
            </w:pPr>
            <w:r>
              <w:rPr>
                <w:rFonts w:ascii="Calibri" w:cs="Calibri" w:eastAsia="Calibri" w:hAnsi="Calibri"/>
                <w:sz w:val="11"/>
                <w:szCs w:val="11"/>
                <w:color w:val="auto"/>
              </w:rPr>
              <w:t>2Q 2022 Prior Period Revenue Adjustment</w:t>
            </w:r>
            <w:r>
              <w:rPr>
                <w:rFonts w:ascii="Calibri" w:cs="Calibri" w:eastAsia="Calibri" w:hAnsi="Calibri"/>
                <w:sz w:val="14"/>
                <w:szCs w:val="14"/>
                <w:color w:val="auto"/>
                <w:vertAlign w:val="superscript"/>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9"/>
                <w:szCs w:val="9"/>
                <w:color w:val="auto"/>
                <w:w w:val="70"/>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9"/>
                <w:szCs w:val="9"/>
                <w:color w:val="auto"/>
                <w:w w:val="70"/>
              </w:rPr>
              <w:t>-</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color w:val="auto"/>
                <w:w w:val="94"/>
              </w:rPr>
              <w:t>($30.1)</w:t>
            </w:r>
          </w:p>
        </w:tc>
        <w:tc>
          <w:tcPr>
            <w:tcW w:w="1040" w:type="dxa"/>
            <w:vAlign w:val="bottom"/>
            <w:tcBorders>
              <w:bottom w:val="single" w:sz="8" w:color="auto"/>
              <w:right w:val="single" w:sz="8" w:color="auto"/>
            </w:tcBorders>
          </w:tcPr>
          <w:p>
            <w:pPr>
              <w:jc w:val="center"/>
              <w:ind w:right="7"/>
              <w:spacing w:after="0"/>
              <w:rPr>
                <w:sz w:val="20"/>
                <w:szCs w:val="20"/>
                <w:color w:val="auto"/>
              </w:rPr>
            </w:pPr>
            <w:r>
              <w:rPr>
                <w:rFonts w:ascii="Calibri" w:cs="Calibri" w:eastAsia="Calibri" w:hAnsi="Calibri"/>
                <w:sz w:val="9"/>
                <w:szCs w:val="9"/>
                <w:color w:val="auto"/>
                <w:w w:val="70"/>
              </w:rPr>
              <w:t>-</w:t>
            </w:r>
          </w:p>
        </w:tc>
      </w:tr>
      <w:tr>
        <w:trPr>
          <w:trHeight w:val="140"/>
        </w:trPr>
        <w:tc>
          <w:tcPr>
            <w:tcW w:w="3980" w:type="dxa"/>
            <w:vAlign w:val="bottom"/>
            <w:tcBorders>
              <w:left w:val="single" w:sz="8" w:color="auto"/>
              <w:bottom w:val="single" w:sz="8" w:color="auto"/>
              <w:right w:val="single" w:sz="8" w:color="auto"/>
            </w:tcBorders>
          </w:tcPr>
          <w:p>
            <w:pPr>
              <w:ind w:left="40"/>
              <w:spacing w:after="0" w:line="125" w:lineRule="exact"/>
              <w:rPr>
                <w:sz w:val="20"/>
                <w:szCs w:val="20"/>
                <w:color w:val="auto"/>
              </w:rPr>
            </w:pPr>
            <w:r>
              <w:rPr>
                <w:rFonts w:ascii="Calibri" w:cs="Calibri" w:eastAsia="Calibri" w:hAnsi="Calibri"/>
                <w:sz w:val="11"/>
                <w:szCs w:val="11"/>
                <w:color w:val="auto"/>
              </w:rPr>
              <w:t>Adjusted Total</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$87.0</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$76.7</w:t>
            </w:r>
          </w:p>
        </w:tc>
        <w:tc>
          <w:tcPr>
            <w:tcW w:w="106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w w:val="95"/>
              </w:rPr>
              <w:t>$73.0</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w w:val="95"/>
              </w:rPr>
              <w:t>$90.1</w:t>
            </w:r>
          </w:p>
        </w:tc>
        <w:tc>
          <w:tcPr>
            <w:tcW w:w="10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w w:val="95"/>
              </w:rPr>
              <w:t>$90.1</w:t>
            </w:r>
          </w:p>
        </w:tc>
        <w:tc>
          <w:tcPr>
            <w:tcW w:w="1080" w:type="dxa"/>
            <w:vAlign w:val="bottom"/>
            <w:tcBorders>
              <w:bottom w:val="single" w:sz="8" w:color="auto"/>
              <w:right w:val="single" w:sz="8" w:color="auto"/>
            </w:tcBorders>
          </w:tcPr>
          <w:p>
            <w:pPr>
              <w:jc w:val="center"/>
              <w:ind w:right="6"/>
              <w:spacing w:after="0" w:line="125" w:lineRule="exact"/>
              <w:rPr>
                <w:sz w:val="20"/>
                <w:szCs w:val="20"/>
                <w:color w:val="auto"/>
              </w:rPr>
            </w:pPr>
            <w:r>
              <w:rPr>
                <w:rFonts w:ascii="Calibri" w:cs="Calibri" w:eastAsia="Calibri" w:hAnsi="Calibri"/>
                <w:sz w:val="11"/>
                <w:szCs w:val="11"/>
                <w:color w:val="auto"/>
              </w:rPr>
              <w:t>$78.4</w:t>
            </w:r>
          </w:p>
        </w:tc>
        <w:tc>
          <w:tcPr>
            <w:tcW w:w="1040" w:type="dxa"/>
            <w:vAlign w:val="bottom"/>
            <w:tcBorders>
              <w:bottom w:val="single" w:sz="8" w:color="auto"/>
              <w:right w:val="single" w:sz="8" w:color="auto"/>
            </w:tcBorders>
          </w:tcPr>
          <w:p>
            <w:pPr>
              <w:jc w:val="center"/>
              <w:ind w:right="7"/>
              <w:spacing w:after="0" w:line="125" w:lineRule="exact"/>
              <w:rPr>
                <w:sz w:val="20"/>
                <w:szCs w:val="20"/>
                <w:color w:val="auto"/>
              </w:rPr>
            </w:pPr>
            <w:r>
              <w:rPr>
                <w:rFonts w:ascii="Calibri" w:cs="Calibri" w:eastAsia="Calibri" w:hAnsi="Calibri"/>
                <w:sz w:val="11"/>
                <w:szCs w:val="11"/>
                <w:color w:val="auto"/>
              </w:rPr>
              <w:t>$83.2</w:t>
            </w:r>
          </w:p>
        </w:tc>
      </w:tr>
      <w:tr>
        <w:trPr>
          <w:trHeight w:val="135"/>
        </w:trPr>
        <w:tc>
          <w:tcPr>
            <w:tcW w:w="3980" w:type="dxa"/>
            <w:vAlign w:val="bottom"/>
            <w:tcBorders>
              <w:left w:val="single" w:sz="8" w:color="auto"/>
              <w:bottom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b w:val="1"/>
                <w:bCs w:val="1"/>
                <w:color w:val="auto"/>
              </w:rPr>
              <w:t>Adjusted Total excluding COVID</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$71.1</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$72.8</w:t>
            </w:r>
          </w:p>
        </w:tc>
        <w:tc>
          <w:tcPr>
            <w:tcW w:w="106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$68.8</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$79.6</w:t>
            </w:r>
          </w:p>
        </w:tc>
        <w:tc>
          <w:tcPr>
            <w:tcW w:w="104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$86.3</w:t>
            </w:r>
          </w:p>
        </w:tc>
        <w:tc>
          <w:tcPr>
            <w:tcW w:w="1080" w:type="dxa"/>
            <w:vAlign w:val="bottom"/>
            <w:tcBorders>
              <w:bottom w:val="single" w:sz="8" w:color="auto"/>
              <w:right w:val="single" w:sz="8" w:color="auto"/>
            </w:tcBorders>
          </w:tcPr>
          <w:p>
            <w:pPr>
              <w:jc w:val="center"/>
              <w:ind w:right="6"/>
              <w:spacing w:after="0" w:line="127" w:lineRule="exact"/>
              <w:rPr>
                <w:sz w:val="20"/>
                <w:szCs w:val="20"/>
                <w:color w:val="auto"/>
              </w:rPr>
            </w:pPr>
            <w:r>
              <w:rPr>
                <w:rFonts w:ascii="Calibri" w:cs="Calibri" w:eastAsia="Calibri" w:hAnsi="Calibri"/>
                <w:sz w:val="11"/>
                <w:szCs w:val="11"/>
                <w:b w:val="1"/>
                <w:bCs w:val="1"/>
                <w:color w:val="auto"/>
              </w:rPr>
              <w:t>$78.1</w:t>
            </w:r>
          </w:p>
        </w:tc>
        <w:tc>
          <w:tcPr>
            <w:tcW w:w="1040" w:type="dxa"/>
            <w:vAlign w:val="bottom"/>
            <w:tcBorders>
              <w:bottom w:val="single" w:sz="8" w:color="auto"/>
              <w:right w:val="single" w:sz="8" w:color="auto"/>
            </w:tcBorders>
          </w:tcPr>
          <w:p>
            <w:pPr>
              <w:jc w:val="center"/>
              <w:ind w:right="7"/>
              <w:spacing w:after="0" w:line="127" w:lineRule="exact"/>
              <w:rPr>
                <w:sz w:val="20"/>
                <w:szCs w:val="20"/>
                <w:color w:val="auto"/>
              </w:rPr>
            </w:pPr>
            <w:r>
              <w:rPr>
                <w:rFonts w:ascii="Calibri" w:cs="Calibri" w:eastAsia="Calibri" w:hAnsi="Calibri"/>
                <w:sz w:val="11"/>
                <w:szCs w:val="11"/>
                <w:b w:val="1"/>
                <w:bCs w:val="1"/>
                <w:color w:val="auto"/>
              </w:rPr>
              <w:t>$83.2</w:t>
            </w: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208"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3"/>
          <w:szCs w:val="13"/>
          <w:b w:val="1"/>
          <w:bCs w:val="1"/>
          <w:color w:val="auto"/>
        </w:rPr>
        <w:t>Historical Pro forma GeneDx Revenue &amp; Volume + Combined Company Pharma</w:t>
      </w:r>
      <w:r>
        <w:rPr>
          <w:rFonts w:ascii="Times New Roman" w:cs="Times New Roman" w:eastAsia="Times New Roman" w:hAnsi="Times New Roman"/>
          <w:sz w:val="16"/>
          <w:szCs w:val="16"/>
          <w:b w:val="1"/>
          <w:bCs w:val="1"/>
          <w:color w:val="auto"/>
          <w:vertAlign w:val="superscript"/>
        </w:rPr>
        <w:t>1</w:t>
      </w:r>
    </w:p>
    <w:p>
      <w:pPr>
        <w:spacing w:after="0" w:line="149" w:lineRule="exact"/>
        <w:rPr>
          <w:sz w:val="20"/>
          <w:szCs w:val="20"/>
          <w:color w:val="auto"/>
        </w:rPr>
      </w:pPr>
    </w:p>
    <w:tbl>
      <w:tblPr>
        <w:tblLayout w:type="fixed"/>
        <w:tblInd w:w="18" w:type="dxa"/>
        <w:tblCellMar>
          <w:top w:w="0" w:type="dxa"/>
          <w:left w:w="0" w:type="dxa"/>
          <w:bottom w:w="0" w:type="dxa"/>
          <w:right w:w="0" w:type="dxa"/>
        </w:tblCellMar>
      </w:tblPr>
      <w:tr>
        <w:trPr>
          <w:trHeight w:val="144"/>
        </w:trPr>
        <w:tc>
          <w:tcPr>
            <w:tcW w:w="3580" w:type="dxa"/>
            <w:vAlign w:val="bottom"/>
            <w:tcBorders>
              <w:top w:val="single" w:sz="8" w:color="auto"/>
              <w:left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1Q21</w:t>
            </w: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2Q21</w:t>
            </w: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3Q21</w:t>
            </w: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4Q21</w:t>
            </w:r>
          </w:p>
        </w:tc>
        <w:tc>
          <w:tcPr>
            <w:tcW w:w="11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1Q22</w:t>
            </w:r>
          </w:p>
        </w:tc>
        <w:tc>
          <w:tcPr>
            <w:tcW w:w="11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2Q22</w:t>
            </w:r>
          </w:p>
        </w:tc>
        <w:tc>
          <w:tcPr>
            <w:tcW w:w="11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w w:val="98"/>
              </w:rPr>
              <w:t>3Q22</w:t>
            </w:r>
          </w:p>
        </w:tc>
      </w:tr>
      <w:tr>
        <w:trPr>
          <w:trHeight w:val="153"/>
        </w:trPr>
        <w:tc>
          <w:tcPr>
            <w:tcW w:w="3580" w:type="dxa"/>
            <w:vAlign w:val="bottom"/>
            <w:tcBorders>
              <w:left w:val="single" w:sz="8" w:color="auto"/>
              <w:right w:val="single" w:sz="8" w:color="auto"/>
            </w:tcBorders>
            <w:shd w:val="clear" w:color="auto" w:fill="E7E6E6"/>
          </w:tcPr>
          <w:p>
            <w:pPr>
              <w:ind w:left="40"/>
              <w:spacing w:after="0"/>
              <w:rPr>
                <w:sz w:val="20"/>
                <w:szCs w:val="20"/>
                <w:color w:val="auto"/>
              </w:rPr>
            </w:pPr>
            <w:r>
              <w:rPr>
                <w:rFonts w:ascii="Calibri" w:cs="Calibri" w:eastAsia="Calibri" w:hAnsi="Calibri"/>
                <w:sz w:val="11"/>
                <w:szCs w:val="11"/>
                <w:b w:val="1"/>
                <w:bCs w:val="1"/>
                <w:color w:val="auto"/>
              </w:rPr>
              <w:t>Volumes</w:t>
            </w:r>
          </w:p>
        </w:tc>
        <w:tc>
          <w:tcPr>
            <w:tcW w:w="1100" w:type="dxa"/>
            <w:vAlign w:val="bottom"/>
            <w:tcBorders>
              <w:right w:val="single" w:sz="8" w:color="auto"/>
            </w:tcBorders>
            <w:shd w:val="clear" w:color="auto" w:fill="E7E6E6"/>
          </w:tcPr>
          <w:p>
            <w:pPr>
              <w:spacing w:after="0"/>
              <w:rPr>
                <w:sz w:val="13"/>
                <w:szCs w:val="13"/>
                <w:color w:val="auto"/>
              </w:rPr>
            </w:pPr>
          </w:p>
        </w:tc>
        <w:tc>
          <w:tcPr>
            <w:tcW w:w="1100" w:type="dxa"/>
            <w:vAlign w:val="bottom"/>
            <w:tcBorders>
              <w:right w:val="single" w:sz="8" w:color="auto"/>
            </w:tcBorders>
            <w:shd w:val="clear" w:color="auto" w:fill="E7E6E6"/>
          </w:tcPr>
          <w:p>
            <w:pPr>
              <w:spacing w:after="0"/>
              <w:rPr>
                <w:sz w:val="13"/>
                <w:szCs w:val="13"/>
                <w:color w:val="auto"/>
              </w:rPr>
            </w:pPr>
          </w:p>
        </w:tc>
        <w:tc>
          <w:tcPr>
            <w:tcW w:w="1100" w:type="dxa"/>
            <w:vAlign w:val="bottom"/>
            <w:tcBorders>
              <w:right w:val="single" w:sz="8" w:color="auto"/>
            </w:tcBorders>
            <w:shd w:val="clear" w:color="auto" w:fill="E7E6E6"/>
          </w:tcPr>
          <w:p>
            <w:pPr>
              <w:spacing w:after="0"/>
              <w:rPr>
                <w:sz w:val="13"/>
                <w:szCs w:val="13"/>
                <w:color w:val="auto"/>
              </w:rPr>
            </w:pPr>
          </w:p>
        </w:tc>
        <w:tc>
          <w:tcPr>
            <w:tcW w:w="1100" w:type="dxa"/>
            <w:vAlign w:val="bottom"/>
            <w:tcBorders>
              <w:right w:val="single" w:sz="8" w:color="auto"/>
            </w:tcBorders>
            <w:shd w:val="clear" w:color="auto" w:fill="E7E6E6"/>
          </w:tcPr>
          <w:p>
            <w:pPr>
              <w:spacing w:after="0"/>
              <w:rPr>
                <w:sz w:val="13"/>
                <w:szCs w:val="13"/>
                <w:color w:val="auto"/>
              </w:rPr>
            </w:pPr>
          </w:p>
        </w:tc>
        <w:tc>
          <w:tcPr>
            <w:tcW w:w="1120" w:type="dxa"/>
            <w:vAlign w:val="bottom"/>
            <w:tcBorders>
              <w:right w:val="single" w:sz="8" w:color="auto"/>
            </w:tcBorders>
            <w:shd w:val="clear" w:color="auto" w:fill="E7E6E6"/>
          </w:tcPr>
          <w:p>
            <w:pPr>
              <w:spacing w:after="0"/>
              <w:rPr>
                <w:sz w:val="13"/>
                <w:szCs w:val="13"/>
                <w:color w:val="auto"/>
              </w:rPr>
            </w:pPr>
          </w:p>
        </w:tc>
        <w:tc>
          <w:tcPr>
            <w:tcW w:w="1100" w:type="dxa"/>
            <w:vAlign w:val="bottom"/>
            <w:tcBorders>
              <w:right w:val="single" w:sz="8" w:color="auto"/>
            </w:tcBorders>
            <w:shd w:val="clear" w:color="auto" w:fill="E7E6E6"/>
          </w:tcPr>
          <w:p>
            <w:pPr>
              <w:spacing w:after="0"/>
              <w:rPr>
                <w:sz w:val="13"/>
                <w:szCs w:val="13"/>
                <w:color w:val="auto"/>
              </w:rPr>
            </w:pPr>
          </w:p>
        </w:tc>
        <w:tc>
          <w:tcPr>
            <w:tcW w:w="1120" w:type="dxa"/>
            <w:vAlign w:val="bottom"/>
            <w:tcBorders>
              <w:right w:val="single" w:sz="8" w:color="auto"/>
            </w:tcBorders>
            <w:shd w:val="clear" w:color="auto" w:fill="E7E6E6"/>
          </w:tcPr>
          <w:p>
            <w:pPr>
              <w:spacing w:after="0"/>
              <w:rPr>
                <w:sz w:val="13"/>
                <w:szCs w:val="13"/>
                <w:color w:val="auto"/>
              </w:rPr>
            </w:pPr>
          </w:p>
        </w:tc>
      </w:tr>
      <w:tr>
        <w:trPr>
          <w:trHeight w:val="127"/>
        </w:trPr>
        <w:tc>
          <w:tcPr>
            <w:tcW w:w="3580" w:type="dxa"/>
            <w:vAlign w:val="bottom"/>
            <w:tcBorders>
              <w:left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color w:val="auto"/>
              </w:rPr>
              <w:t>Whole Exome, Whole Genome &amp; NICU</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3,344</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6,698</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6,162</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6,619</w:t>
            </w:r>
          </w:p>
        </w:tc>
        <w:tc>
          <w:tcPr>
            <w:tcW w:w="112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7,395</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7,572</w:t>
            </w:r>
          </w:p>
        </w:tc>
        <w:tc>
          <w:tcPr>
            <w:tcW w:w="112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7,480</w:t>
            </w:r>
          </w:p>
        </w:tc>
      </w:tr>
      <w:tr>
        <w:trPr>
          <w:trHeight w:val="152"/>
        </w:trPr>
        <w:tc>
          <w:tcPr>
            <w:tcW w:w="3580" w:type="dxa"/>
            <w:vAlign w:val="bottom"/>
            <w:tcBorders>
              <w:left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Other Diagnostc Tests</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28,337</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32,484</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31,360</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32,162</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34,039</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37,996</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37,434</w:t>
            </w:r>
          </w:p>
        </w:tc>
      </w:tr>
      <w:tr>
        <w:trPr>
          <w:trHeight w:val="150"/>
        </w:trPr>
        <w:tc>
          <w:tcPr>
            <w:tcW w:w="3580" w:type="dxa"/>
            <w:vAlign w:val="bottom"/>
            <w:tcBorders>
              <w:left w:val="single" w:sz="8" w:color="auto"/>
              <w:bottom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color w:val="auto"/>
              </w:rPr>
              <w:t>Total</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31,681</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39,182</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37,522</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38,781</w:t>
            </w:r>
          </w:p>
        </w:tc>
        <w:tc>
          <w:tcPr>
            <w:tcW w:w="112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41,434</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45,568</w:t>
            </w:r>
          </w:p>
        </w:tc>
        <w:tc>
          <w:tcPr>
            <w:tcW w:w="112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7"/>
              </w:rPr>
              <w:t>44,914</w:t>
            </w:r>
          </w:p>
        </w:tc>
      </w:tr>
      <w:tr>
        <w:trPr>
          <w:trHeight w:val="144"/>
        </w:trPr>
        <w:tc>
          <w:tcPr>
            <w:tcW w:w="3580" w:type="dxa"/>
            <w:vAlign w:val="bottom"/>
            <w:tcBorders>
              <w:left w:val="single" w:sz="8" w:color="auto"/>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r>
      <w:tr>
        <w:trPr>
          <w:trHeight w:val="144"/>
        </w:trPr>
        <w:tc>
          <w:tcPr>
            <w:tcW w:w="3580" w:type="dxa"/>
            <w:vAlign w:val="bottom"/>
            <w:tcBorders>
              <w:left w:val="single" w:sz="8" w:color="auto"/>
              <w:right w:val="single" w:sz="8" w:color="auto"/>
            </w:tcBorders>
            <w:shd w:val="clear" w:color="auto" w:fill="E7E6E6"/>
          </w:tcPr>
          <w:p>
            <w:pPr>
              <w:ind w:left="40"/>
              <w:spacing w:after="0" w:line="127" w:lineRule="exact"/>
              <w:rPr>
                <w:sz w:val="20"/>
                <w:szCs w:val="20"/>
                <w:color w:val="auto"/>
              </w:rPr>
            </w:pPr>
            <w:r>
              <w:rPr>
                <w:rFonts w:ascii="Calibri" w:cs="Calibri" w:eastAsia="Calibri" w:hAnsi="Calibri"/>
                <w:sz w:val="11"/>
                <w:szCs w:val="11"/>
                <w:b w:val="1"/>
                <w:bCs w:val="1"/>
                <w:color w:val="auto"/>
              </w:rPr>
              <w:t>Revenue</w:t>
            </w:r>
          </w:p>
        </w:tc>
        <w:tc>
          <w:tcPr>
            <w:tcW w:w="1100" w:type="dxa"/>
            <w:vAlign w:val="bottom"/>
            <w:tcBorders>
              <w:right w:val="single" w:sz="8" w:color="auto"/>
            </w:tcBorders>
            <w:shd w:val="clear" w:color="auto" w:fill="E7E6E6"/>
          </w:tcPr>
          <w:p>
            <w:pPr>
              <w:spacing w:after="0"/>
              <w:rPr>
                <w:sz w:val="12"/>
                <w:szCs w:val="12"/>
                <w:color w:val="auto"/>
              </w:rPr>
            </w:pPr>
          </w:p>
        </w:tc>
        <w:tc>
          <w:tcPr>
            <w:tcW w:w="1100" w:type="dxa"/>
            <w:vAlign w:val="bottom"/>
            <w:tcBorders>
              <w:right w:val="single" w:sz="8" w:color="auto"/>
            </w:tcBorders>
            <w:shd w:val="clear" w:color="auto" w:fill="E7E6E6"/>
          </w:tcPr>
          <w:p>
            <w:pPr>
              <w:spacing w:after="0"/>
              <w:rPr>
                <w:sz w:val="12"/>
                <w:szCs w:val="12"/>
                <w:color w:val="auto"/>
              </w:rPr>
            </w:pPr>
          </w:p>
        </w:tc>
        <w:tc>
          <w:tcPr>
            <w:tcW w:w="1100" w:type="dxa"/>
            <w:vAlign w:val="bottom"/>
            <w:tcBorders>
              <w:right w:val="single" w:sz="8" w:color="auto"/>
            </w:tcBorders>
            <w:shd w:val="clear" w:color="auto" w:fill="E7E6E6"/>
          </w:tcPr>
          <w:p>
            <w:pPr>
              <w:spacing w:after="0"/>
              <w:rPr>
                <w:sz w:val="12"/>
                <w:szCs w:val="12"/>
                <w:color w:val="auto"/>
              </w:rPr>
            </w:pPr>
          </w:p>
        </w:tc>
        <w:tc>
          <w:tcPr>
            <w:tcW w:w="1100" w:type="dxa"/>
            <w:vAlign w:val="bottom"/>
            <w:tcBorders>
              <w:right w:val="single" w:sz="8" w:color="auto"/>
            </w:tcBorders>
            <w:shd w:val="clear" w:color="auto" w:fill="E7E6E6"/>
          </w:tcPr>
          <w:p>
            <w:pPr>
              <w:spacing w:after="0"/>
              <w:rPr>
                <w:sz w:val="12"/>
                <w:szCs w:val="12"/>
                <w:color w:val="auto"/>
              </w:rPr>
            </w:pPr>
          </w:p>
        </w:tc>
        <w:tc>
          <w:tcPr>
            <w:tcW w:w="1120" w:type="dxa"/>
            <w:vAlign w:val="bottom"/>
            <w:tcBorders>
              <w:right w:val="single" w:sz="8" w:color="auto"/>
            </w:tcBorders>
            <w:shd w:val="clear" w:color="auto" w:fill="E7E6E6"/>
          </w:tcPr>
          <w:p>
            <w:pPr>
              <w:spacing w:after="0"/>
              <w:rPr>
                <w:sz w:val="12"/>
                <w:szCs w:val="12"/>
                <w:color w:val="auto"/>
              </w:rPr>
            </w:pPr>
          </w:p>
        </w:tc>
        <w:tc>
          <w:tcPr>
            <w:tcW w:w="1100" w:type="dxa"/>
            <w:vAlign w:val="bottom"/>
            <w:tcBorders>
              <w:right w:val="single" w:sz="8" w:color="auto"/>
            </w:tcBorders>
            <w:shd w:val="clear" w:color="auto" w:fill="E7E6E6"/>
          </w:tcPr>
          <w:p>
            <w:pPr>
              <w:spacing w:after="0"/>
              <w:rPr>
                <w:sz w:val="12"/>
                <w:szCs w:val="12"/>
                <w:color w:val="auto"/>
              </w:rPr>
            </w:pPr>
          </w:p>
        </w:tc>
        <w:tc>
          <w:tcPr>
            <w:tcW w:w="1120" w:type="dxa"/>
            <w:vAlign w:val="bottom"/>
            <w:tcBorders>
              <w:right w:val="single" w:sz="8" w:color="auto"/>
            </w:tcBorders>
            <w:shd w:val="clear" w:color="auto" w:fill="E7E6E6"/>
          </w:tcPr>
          <w:p>
            <w:pPr>
              <w:spacing w:after="0"/>
              <w:rPr>
                <w:sz w:val="12"/>
                <w:szCs w:val="12"/>
                <w:color w:val="auto"/>
              </w:rPr>
            </w:pPr>
          </w:p>
        </w:tc>
      </w:tr>
      <w:tr>
        <w:trPr>
          <w:trHeight w:val="127"/>
        </w:trPr>
        <w:tc>
          <w:tcPr>
            <w:tcW w:w="3580" w:type="dxa"/>
            <w:vAlign w:val="bottom"/>
            <w:tcBorders>
              <w:left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color w:val="auto"/>
              </w:rPr>
              <w:t>Whole Exome, Whole Genome &amp; NICU</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$8.4</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$13.5</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$14.2</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$15.3</w:t>
            </w:r>
          </w:p>
        </w:tc>
        <w:tc>
          <w:tcPr>
            <w:tcW w:w="112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$18.4</w:t>
            </w:r>
          </w:p>
        </w:tc>
        <w:tc>
          <w:tcPr>
            <w:tcW w:w="110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rPr>
              <w:t>$21.1</w:t>
            </w:r>
          </w:p>
        </w:tc>
        <w:tc>
          <w:tcPr>
            <w:tcW w:w="112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1"/>
                <w:szCs w:val="11"/>
                <w:color w:val="auto"/>
                <w:w w:val="95"/>
              </w:rPr>
              <w:t>$26.9</w:t>
            </w:r>
          </w:p>
        </w:tc>
      </w:tr>
      <w:tr>
        <w:trPr>
          <w:trHeight w:val="142"/>
        </w:trPr>
        <w:tc>
          <w:tcPr>
            <w:tcW w:w="35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Other Diagnostc Tests</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$14.4</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$16.1</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$15.5</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$17.0</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$17.7</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$17.2</w:t>
            </w:r>
          </w:p>
        </w:tc>
        <w:tc>
          <w:tcPr>
            <w:tcW w:w="11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w w:val="95"/>
              </w:rPr>
              <w:t>$18.6</w:t>
            </w:r>
          </w:p>
        </w:tc>
      </w:tr>
      <w:tr>
        <w:trPr>
          <w:trHeight w:val="153"/>
        </w:trPr>
        <w:tc>
          <w:tcPr>
            <w:tcW w:w="3580" w:type="dxa"/>
            <w:vAlign w:val="bottom"/>
            <w:tcBorders>
              <w:left w:val="single" w:sz="8" w:color="auto"/>
              <w:bottom w:val="single" w:sz="8" w:color="auto"/>
              <w:right w:val="single" w:sz="8" w:color="auto"/>
            </w:tcBorders>
          </w:tcPr>
          <w:p>
            <w:pPr>
              <w:ind w:left="40"/>
              <w:spacing w:after="0"/>
              <w:rPr>
                <w:sz w:val="20"/>
                <w:szCs w:val="20"/>
                <w:color w:val="auto"/>
              </w:rPr>
            </w:pPr>
            <w:r>
              <w:rPr>
                <w:rFonts w:ascii="Calibri" w:cs="Calibri" w:eastAsia="Calibri" w:hAnsi="Calibri"/>
                <w:sz w:val="11"/>
                <w:szCs w:val="11"/>
                <w:color w:val="auto"/>
              </w:rPr>
              <w:t>Pharma</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$1.4</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$2.2</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$1.8</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$2.4</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$1.6</w:t>
            </w:r>
          </w:p>
        </w:tc>
        <w:tc>
          <w:tcPr>
            <w:tcW w:w="11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2"/>
              </w:rPr>
              <w:t>$2.3</w:t>
            </w:r>
          </w:p>
        </w:tc>
        <w:tc>
          <w:tcPr>
            <w:tcW w:w="11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$1.7</w:t>
            </w:r>
          </w:p>
        </w:tc>
      </w:tr>
      <w:tr>
        <w:trPr>
          <w:trHeight w:val="161"/>
        </w:trPr>
        <w:tc>
          <w:tcPr>
            <w:tcW w:w="3580" w:type="dxa"/>
            <w:vAlign w:val="bottom"/>
            <w:tcBorders>
              <w:left w:val="single" w:sz="8" w:color="auto"/>
              <w:bottom w:val="single" w:sz="8" w:color="auto"/>
              <w:right w:val="single" w:sz="8" w:color="auto"/>
            </w:tcBorders>
          </w:tcPr>
          <w:p>
            <w:pPr>
              <w:ind w:left="40"/>
              <w:spacing w:after="0" w:line="127" w:lineRule="exact"/>
              <w:rPr>
                <w:sz w:val="20"/>
                <w:szCs w:val="20"/>
                <w:color w:val="auto"/>
              </w:rPr>
            </w:pPr>
            <w:r>
              <w:rPr>
                <w:rFonts w:ascii="Calibri" w:cs="Calibri" w:eastAsia="Calibri" w:hAnsi="Calibri"/>
                <w:sz w:val="11"/>
                <w:szCs w:val="11"/>
                <w:b w:val="1"/>
                <w:bCs w:val="1"/>
                <w:color w:val="auto"/>
              </w:rPr>
              <w:t>Total Revenue</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$24.2</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$31.8</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$31.5</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$34.7</w:t>
            </w:r>
          </w:p>
        </w:tc>
        <w:tc>
          <w:tcPr>
            <w:tcW w:w="112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$37.8</w:t>
            </w:r>
          </w:p>
        </w:tc>
        <w:tc>
          <w:tcPr>
            <w:tcW w:w="110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rPr>
              <w:t>$40.6</w:t>
            </w:r>
          </w:p>
        </w:tc>
        <w:tc>
          <w:tcPr>
            <w:tcW w:w="1120" w:type="dxa"/>
            <w:vAlign w:val="bottom"/>
            <w:tcBorders>
              <w:bottom w:val="single" w:sz="8" w:color="auto"/>
              <w:right w:val="single" w:sz="8" w:color="auto"/>
            </w:tcBorders>
          </w:tcPr>
          <w:p>
            <w:pPr>
              <w:jc w:val="center"/>
              <w:spacing w:after="0" w:line="127" w:lineRule="exact"/>
              <w:rPr>
                <w:sz w:val="20"/>
                <w:szCs w:val="20"/>
                <w:color w:val="auto"/>
              </w:rPr>
            </w:pPr>
            <w:r>
              <w:rPr>
                <w:rFonts w:ascii="Calibri" w:cs="Calibri" w:eastAsia="Calibri" w:hAnsi="Calibri"/>
                <w:sz w:val="11"/>
                <w:szCs w:val="11"/>
                <w:b w:val="1"/>
                <w:bCs w:val="1"/>
                <w:color w:val="auto"/>
                <w:w w:val="94"/>
              </w:rPr>
              <w:t>$47.3</w:t>
            </w:r>
          </w:p>
        </w:tc>
      </w:tr>
    </w:tbl>
    <w:p>
      <w:pPr>
        <w:spacing w:after="0" w:line="216" w:lineRule="exact"/>
        <w:rPr>
          <w:sz w:val="20"/>
          <w:szCs w:val="20"/>
          <w:color w:val="auto"/>
        </w:rPr>
      </w:pPr>
    </w:p>
    <w:p>
      <w:pPr>
        <w:ind w:left="8" w:right="40" w:hanging="8"/>
        <w:spacing w:after="0" w:line="250" w:lineRule="auto"/>
        <w:tabs>
          <w:tab w:leader="none" w:pos="8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Pro forma volume and revenue metrics assume GeneDx was owned for the entirety of the applicable quarter and are calculated based on the sum of each of Sema4’s and GeneDx’s historical volumes or revenues, as applicable. Pro forma metrics are presented for illustrative purposes only and are not necessarily indicative of the results that would have occurred had the GeneDx acquisition been completed on such dates or that may occur in the future.</w:t>
      </w:r>
    </w:p>
    <w:p>
      <w:pPr>
        <w:ind w:left="8"/>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Represents aggregated Resulted Volume and Revenue from GeneDx and Sema4.</w:t>
      </w:r>
    </w:p>
    <w:p>
      <w:pPr>
        <w:spacing w:after="0" w:line="1" w:lineRule="exact"/>
        <w:rPr>
          <w:rFonts w:ascii="Times New Roman" w:cs="Times New Roman" w:eastAsia="Times New Roman" w:hAnsi="Times New Roman"/>
          <w:sz w:val="16"/>
          <w:szCs w:val="16"/>
          <w:color w:val="auto"/>
          <w:vertAlign w:val="superscript"/>
        </w:rPr>
      </w:pPr>
    </w:p>
    <w:p>
      <w:pPr>
        <w:ind w:left="8"/>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$30.1 million of revenue adjustments recorded related to prior periods due to our change in estimate.</w:t>
      </w:r>
    </w:p>
    <w:p>
      <w:pPr>
        <w:spacing w:after="0" w:line="3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8"/>
          </w:cols>
          <w:pgMar w:left="292" w:top="1379" w:right="299" w:bottom="1440" w:gutter="0" w:footer="0" w:header="0"/>
        </w:sectPr>
      </w:pPr>
    </w:p>
    <w:bookmarkStart w:id="8" w:name="page9"/>
    <w:bookmarkEnd w:id="8"/>
    <w:p>
      <w:pPr>
        <w:ind w:left="5060"/>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spacing w:after="0" w:line="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8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 30, 2022 (unaudited)</w:t>
            </w:r>
          </w:p>
        </w:tc>
        <w:tc>
          <w:tcPr>
            <w:tcW w:w="1540" w:type="dxa"/>
            <w:vAlign w:val="bottom"/>
            <w:gridSpan w:val="2"/>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2"/>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4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191,360</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400,569</w:t>
            </w:r>
          </w:p>
        </w:tc>
      </w:tr>
      <w:tr>
        <w:trPr>
          <w:trHeight w:val="153"/>
        </w:trPr>
        <w:tc>
          <w:tcPr>
            <w:tcW w:w="3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net</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42,669</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26,509</w:t>
            </w:r>
          </w:p>
        </w:tc>
      </w:tr>
      <w:tr>
        <w:trPr>
          <w:trHeight w:val="15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Due from related parties</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1,194</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53"/>
        </w:trPr>
        <w:tc>
          <w:tcPr>
            <w:tcW w:w="3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 net</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44,173</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33,456</w:t>
            </w:r>
          </w:p>
        </w:tc>
      </w:tr>
      <w:tr>
        <w:trPr>
          <w:trHeight w:val="15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17,516</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19,154</w:t>
            </w:r>
          </w:p>
        </w:tc>
      </w:tr>
      <w:tr>
        <w:trPr>
          <w:trHeight w:val="153"/>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current assets</w:t>
            </w:r>
          </w:p>
        </w:tc>
        <w:tc>
          <w:tcPr>
            <w:tcW w:w="4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9,698</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3,802</w:t>
            </w:r>
          </w:p>
        </w:tc>
      </w:tr>
      <w:tr>
        <w:trPr>
          <w:trHeight w:val="142"/>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4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306,610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483,544</w:t>
            </w: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44,033</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84,369</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62,719</w:t>
            </w: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190,156</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181,468</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14,370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w:t>
            </w: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44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7,968</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6,930</w:t>
            </w:r>
          </w:p>
        </w:tc>
      </w:tr>
      <w:tr>
        <w:trPr>
          <w:trHeight w:val="158"/>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4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828,974</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554,093</w:t>
            </w:r>
          </w:p>
        </w:tc>
      </w:tr>
      <w:tr>
        <w:trPr>
          <w:trHeight w:val="135"/>
        </w:trPr>
        <w:tc>
          <w:tcPr>
            <w:tcW w:w="3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4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5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86,884</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64,801</w:t>
            </w:r>
          </w:p>
        </w:tc>
      </w:tr>
      <w:tr>
        <w:trPr>
          <w:trHeight w:val="153"/>
        </w:trPr>
        <w:tc>
          <w:tcPr>
            <w:tcW w:w="3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Due to related parties</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1,828</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2,623</w:t>
            </w:r>
          </w:p>
        </w:tc>
      </w:tr>
      <w:tr>
        <w:trPr>
          <w:trHeight w:val="15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liabilities</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r>
      <w:tr>
        <w:trPr>
          <w:trHeight w:val="153"/>
        </w:trPr>
        <w:tc>
          <w:tcPr>
            <w:tcW w:w="3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4,996</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44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68,623</w:t>
            </w:r>
          </w:p>
        </w:tc>
        <w:tc>
          <w:tcPr>
            <w:tcW w:w="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33,387</w:t>
            </w:r>
          </w:p>
        </w:tc>
      </w:tr>
      <w:tr>
        <w:trPr>
          <w:trHeight w:val="142"/>
        </w:trPr>
        <w:tc>
          <w:tcPr>
            <w:tcW w:w="3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4400" w:type="dxa"/>
            <w:vAlign w:val="bottom"/>
          </w:tcPr>
          <w:p>
            <w:pPr>
              <w:spacing w:after="0"/>
              <w:rPr>
                <w:sz w:val="12"/>
                <w:szCs w:val="12"/>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162,331</w:t>
            </w:r>
          </w:p>
        </w:tc>
        <w:tc>
          <w:tcPr>
            <w:tcW w:w="80" w:type="dxa"/>
            <w:vAlign w:val="bottom"/>
          </w:tcPr>
          <w:p>
            <w:pPr>
              <w:spacing w:after="0"/>
              <w:rPr>
                <w:sz w:val="12"/>
                <w:szCs w:val="12"/>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101,284</w:t>
            </w: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10,651</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11,000</w:t>
            </w: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62,336</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20,200</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21,907</w:t>
            </w: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2,603</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liability</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5,059</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21,555</w:t>
            </w:r>
          </w:p>
        </w:tc>
      </w:tr>
      <w:tr>
        <w:trPr>
          <w:trHeight w:val="15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Earn-out contingent liabilities</w:t>
            </w:r>
          </w:p>
        </w:tc>
        <w:tc>
          <w:tcPr>
            <w:tcW w:w="4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4,500</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10,244</w:t>
            </w:r>
          </w:p>
        </w:tc>
      </w:tr>
      <w:tr>
        <w:trPr>
          <w:trHeight w:val="162"/>
        </w:trPr>
        <w:tc>
          <w:tcPr>
            <w:tcW w:w="3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44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267,680</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165,990</w:t>
            </w:r>
          </w:p>
        </w:tc>
      </w:tr>
      <w:tr>
        <w:trPr>
          <w:trHeight w:val="131"/>
        </w:trPr>
        <w:tc>
          <w:tcPr>
            <w:tcW w:w="384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Commitments and contingencies (Note 10)</w:t>
            </w:r>
          </w:p>
        </w:tc>
        <w:tc>
          <w:tcPr>
            <w:tcW w:w="4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4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207"/>
        </w:trPr>
        <w:tc>
          <w:tcPr>
            <w:tcW w:w="3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4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7"/>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4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234"/>
        </w:trPr>
        <w:tc>
          <w:tcPr>
            <w:tcW w:w="38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5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1,376,916</w:t>
            </w:r>
          </w:p>
        </w:tc>
        <w:tc>
          <w:tcPr>
            <w:tcW w:w="80" w:type="dxa"/>
            <w:vAlign w:val="bottom"/>
          </w:tcPr>
          <w:p>
            <w:pPr>
              <w:spacing w:after="0"/>
              <w:rPr>
                <w:sz w:val="20"/>
                <w:szCs w:val="20"/>
                <w:color w:val="auto"/>
              </w:rPr>
            </w:pPr>
          </w:p>
        </w:tc>
        <w:tc>
          <w:tcPr>
            <w:tcW w:w="1540" w:type="dxa"/>
            <w:vAlign w:val="bottom"/>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963,520</w:t>
            </w:r>
          </w:p>
        </w:tc>
      </w:tr>
      <w:tr>
        <w:trPr>
          <w:trHeight w:val="15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5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(815,660)</w:t>
            </w: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(575,441)</w:t>
            </w:r>
          </w:p>
        </w:tc>
      </w:tr>
      <w:tr>
        <w:trPr>
          <w:trHeight w:val="142"/>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44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561,294</w:t>
            </w:r>
          </w:p>
        </w:tc>
        <w:tc>
          <w:tcPr>
            <w:tcW w:w="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388,103</w:t>
            </w:r>
          </w:p>
        </w:tc>
      </w:tr>
      <w:tr>
        <w:trPr>
          <w:trHeight w:val="180"/>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5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828,974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554,093</w:t>
            </w:r>
          </w:p>
        </w:tc>
      </w:tr>
      <w:tr>
        <w:trPr>
          <w:trHeight w:val="581"/>
        </w:trPr>
        <w:tc>
          <w:tcPr>
            <w:tcW w:w="384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jc w:val="right"/>
              <w:ind w:right="2500"/>
              <w:spacing w:after="0"/>
              <w:rPr>
                <w:sz w:val="20"/>
                <w:szCs w:val="20"/>
                <w:color w:val="auto"/>
              </w:rPr>
            </w:pPr>
            <w:r>
              <w:rPr>
                <w:rFonts w:ascii="Times New Roman" w:cs="Times New Roman" w:eastAsia="Times New Roman" w:hAnsi="Times New Roman"/>
                <w:sz w:val="12"/>
                <w:szCs w:val="12"/>
                <w:color w:val="auto"/>
              </w:rPr>
              <w:t>6</w:t>
            </w: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bl>
    <w:p>
      <w:pPr>
        <w:sectPr>
          <w:pgSz w:w="11900" w:h="16838" w:orient="portrait"/>
          <w:cols w:equalWidth="0" w:num="1">
            <w:col w:w="11280"/>
          </w:cols>
          <w:pgMar w:left="300" w:top="458" w:right="319" w:bottom="1440" w:gutter="0" w:footer="0" w:header="0"/>
        </w:sectPr>
      </w:pPr>
    </w:p>
    <w:bookmarkStart w:id="9" w:name="page10"/>
    <w:bookmarkEnd w:id="9"/>
    <w:p>
      <w:pPr>
        <w:ind w:left="5068"/>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spacing w:after="0" w:line="33" w:lineRule="exact"/>
        <w:rPr>
          <w:sz w:val="20"/>
          <w:szCs w:val="20"/>
          <w:color w:val="auto"/>
        </w:rPr>
      </w:pPr>
    </w:p>
    <w:p>
      <w:pPr>
        <w:ind w:left="3688"/>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880" w:type="dxa"/>
            <w:vAlign w:val="bottom"/>
          </w:tcPr>
          <w:p>
            <w:pPr>
              <w:spacing w:after="0"/>
              <w:rPr>
                <w:sz w:val="11"/>
                <w:szCs w:val="11"/>
                <w:color w:val="auto"/>
              </w:rPr>
            </w:pPr>
          </w:p>
        </w:tc>
        <w:tc>
          <w:tcPr>
            <w:tcW w:w="230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20" w:type="dxa"/>
            <w:vAlign w:val="bottom"/>
            <w:tcBorders>
              <w:bottom w:val="single" w:sz="8" w:color="auto"/>
            </w:tcBorders>
          </w:tcPr>
          <w:p>
            <w:pPr>
              <w:spacing w:after="0"/>
              <w:rPr>
                <w:sz w:val="11"/>
                <w:szCs w:val="11"/>
                <w:color w:val="auto"/>
              </w:rPr>
            </w:pPr>
          </w:p>
        </w:tc>
      </w:tr>
      <w:tr>
        <w:trPr>
          <w:trHeight w:val="128"/>
        </w:trPr>
        <w:tc>
          <w:tcPr>
            <w:tcW w:w="58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2021 (1)</w:t>
            </w: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2021 (1)</w:t>
            </w:r>
          </w:p>
        </w:tc>
        <w:tc>
          <w:tcPr>
            <w:tcW w:w="420" w:type="dxa"/>
            <w:vAlign w:val="bottom"/>
            <w:tcBorders>
              <w:bottom w:val="single" w:sz="8" w:color="auto"/>
            </w:tcBorders>
          </w:tcPr>
          <w:p>
            <w:pPr>
              <w:spacing w:after="0"/>
              <w:rPr>
                <w:sz w:val="11"/>
                <w:szCs w:val="11"/>
                <w:color w:val="auto"/>
              </w:rPr>
            </w:pPr>
          </w:p>
        </w:tc>
      </w:tr>
      <w:tr>
        <w:trPr>
          <w:trHeight w:val="13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207"/>
        </w:trPr>
        <w:tc>
          <w:tcPr>
            <w:tcW w:w="5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81,490</w:t>
            </w:r>
          </w:p>
        </w:tc>
        <w:tc>
          <w:tcPr>
            <w:tcW w:w="80" w:type="dxa"/>
            <w:vAlign w:val="bottom"/>
          </w:tcPr>
          <w:p>
            <w:pPr>
              <w:spacing w:after="0"/>
              <w:rPr>
                <w:sz w:val="18"/>
                <w:szCs w:val="18"/>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41,410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167,989</w:t>
            </w:r>
          </w:p>
        </w:tc>
        <w:tc>
          <w:tcPr>
            <w:tcW w:w="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148,973</w:t>
            </w:r>
          </w:p>
        </w:tc>
      </w:tr>
      <w:tr>
        <w:trPr>
          <w:trHeight w:val="207"/>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1,744</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1,768</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5,355</w:t>
            </w:r>
          </w:p>
        </w:tc>
        <w:tc>
          <w:tcPr>
            <w:tcW w:w="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5,421</w:t>
            </w:r>
          </w:p>
        </w:tc>
      </w:tr>
      <w:tr>
        <w:trPr>
          <w:trHeight w:val="142"/>
        </w:trPr>
        <w:tc>
          <w:tcPr>
            <w:tcW w:w="5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83,234</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0"/>
              </w:rPr>
              <w:t>43,178</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173,344</w:t>
            </w: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154,394</w:t>
            </w:r>
          </w:p>
        </w:tc>
      </w:tr>
      <w:tr>
        <w:trPr>
          <w:trHeight w:val="17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8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69,685</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51,487</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183,768</w:t>
            </w:r>
          </w:p>
        </w:tc>
        <w:tc>
          <w:tcPr>
            <w:tcW w:w="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168,190</w:t>
            </w:r>
          </w:p>
        </w:tc>
      </w:tr>
      <w:tr>
        <w:trPr>
          <w:trHeight w:val="142"/>
        </w:trPr>
        <w:tc>
          <w:tcPr>
            <w:tcW w:w="58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 (loss)</w:t>
            </w: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13,549</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(8,309)</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(10,424)</w:t>
            </w: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(13,796)</w:t>
            </w: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17,831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61,837</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82,916</w:t>
            </w:r>
          </w:p>
        </w:tc>
      </w:tr>
      <w:tr>
        <w:trPr>
          <w:trHeight w:val="153"/>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37,451</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28,152</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103,116</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82,092</w:t>
            </w:r>
          </w:p>
        </w:tc>
      </w:tr>
      <w:tr>
        <w:trPr>
          <w:trHeight w:val="15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51,863</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33,125</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162,681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148,033</w:t>
            </w:r>
          </w:p>
        </w:tc>
      </w:tr>
      <w:tr>
        <w:trPr>
          <w:trHeight w:val="153"/>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Related party expenses</w:t>
            </w:r>
          </w:p>
        </w:tc>
        <w:tc>
          <w:tcPr>
            <w:tcW w:w="8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1,697</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847</w:t>
            </w:r>
          </w:p>
        </w:tc>
        <w:tc>
          <w:tcPr>
            <w:tcW w:w="1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4,712</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3,532</w:t>
            </w:r>
          </w:p>
        </w:tc>
      </w:tr>
      <w:tr>
        <w:trPr>
          <w:trHeight w:val="142"/>
        </w:trPr>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Loss from operations</w:t>
            </w: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(90,816)</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(88,264)</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(342,770)</w:t>
            </w:r>
          </w:p>
        </w:tc>
        <w:tc>
          <w:tcPr>
            <w:tcW w:w="60" w:type="dxa"/>
            <w:vAlign w:val="bottom"/>
            <w:shd w:val="clear" w:color="auto" w:fill="CCEEFF"/>
          </w:tcPr>
          <w:p>
            <w:pPr>
              <w:spacing w:after="0"/>
              <w:rPr>
                <w:sz w:val="12"/>
                <w:szCs w:val="12"/>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(330,369)</w:t>
            </w:r>
          </w:p>
        </w:tc>
      </w:tr>
      <w:tr>
        <w:trPr>
          <w:trHeight w:val="124"/>
        </w:trPr>
        <w:tc>
          <w:tcPr>
            <w:tcW w:w="5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5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3"/>
        </w:trPr>
        <w:tc>
          <w:tcPr>
            <w:tcW w:w="5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market value of warrant and earn-out contingent liabilities</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12,978</w:t>
            </w:r>
          </w:p>
        </w:tc>
        <w:tc>
          <w:tcPr>
            <w:tcW w:w="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122,171</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54,350</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122,171</w:t>
            </w:r>
          </w:p>
        </w:tc>
      </w:tr>
      <w:tr>
        <w:trPr>
          <w:trHeight w:val="15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income</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53"/>
        </w:trPr>
        <w:tc>
          <w:tcPr>
            <w:tcW w:w="5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(2,404)</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(2,128)</w:t>
            </w:r>
          </w:p>
        </w:tc>
      </w:tr>
      <w:tr>
        <w:trPr>
          <w:trHeight w:val="153"/>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8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4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5,064</w:t>
            </w:r>
          </w:p>
        </w:tc>
      </w:tr>
      <w:tr>
        <w:trPr>
          <w:trHeight w:val="142"/>
        </w:trPr>
        <w:tc>
          <w:tcPr>
            <w:tcW w:w="5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other income</w:t>
            </w: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13,170</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120,995</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53,409</w:t>
            </w: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125,164</w:t>
            </w: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Income before income taxes</w:t>
            </w: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(77,646)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32,731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(289,361)</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(205,205)</w:t>
            </w:r>
          </w:p>
        </w:tc>
      </w:tr>
      <w:tr>
        <w:trPr>
          <w:trHeight w:val="153"/>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49,142</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income and comprehensive (loss) income</w:t>
            </w:r>
          </w:p>
        </w:tc>
        <w:tc>
          <w:tcPr>
            <w:tcW w:w="8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(77,581)</w:t>
            </w: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32,731</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(240,219)</w:t>
            </w:r>
          </w:p>
        </w:tc>
        <w:tc>
          <w:tcPr>
            <w:tcW w:w="6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(205,205)</w:t>
            </w: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380,764,176</w:t>
            </w:r>
          </w:p>
        </w:tc>
        <w:tc>
          <w:tcPr>
            <w:tcW w:w="8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185,680,394</w:t>
            </w:r>
          </w:p>
        </w:tc>
        <w:tc>
          <w:tcPr>
            <w:tcW w:w="14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321,461,266</w:t>
            </w:r>
          </w:p>
        </w:tc>
        <w:tc>
          <w:tcPr>
            <w:tcW w:w="6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63,121,738</w:t>
            </w:r>
          </w:p>
        </w:tc>
      </w:tr>
      <w:tr>
        <w:trPr>
          <w:trHeight w:val="15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 for diluted earnings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380,764,176</w:t>
            </w: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210,330,946</w:t>
            </w:r>
          </w:p>
        </w:tc>
        <w:tc>
          <w:tcPr>
            <w:tcW w:w="14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321,461,266</w:t>
            </w: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63,121,738</w:t>
            </w:r>
          </w:p>
        </w:tc>
      </w:tr>
      <w:tr>
        <w:trPr>
          <w:trHeight w:val="153"/>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Basic net (loss) income per share, Class A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0.18</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(0.75)</w:t>
            </w: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r>
      <w:tr>
        <w:trPr>
          <w:trHeight w:val="15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net (loss) income per share, Class A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(0.75)</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r>
    </w:tbl>
    <w:p>
      <w:pPr>
        <w:spacing w:after="0" w:line="297" w:lineRule="exact"/>
        <w:rPr>
          <w:sz w:val="20"/>
          <w:szCs w:val="20"/>
          <w:color w:val="auto"/>
        </w:rPr>
      </w:pPr>
    </w:p>
    <w:p>
      <w:pPr>
        <w:ind w:left="8" w:right="240" w:hanging="8"/>
        <w:spacing w:after="0" w:line="299" w:lineRule="auto"/>
        <w:tabs>
          <w:tab w:leader="none" w:pos="161"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3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8"/>
          </w:cols>
          <w:pgMar w:left="292" w:top="413" w:right="299" w:bottom="1440" w:gutter="0" w:footer="0" w:header="0"/>
        </w:sectPr>
      </w:pPr>
    </w:p>
    <w:bookmarkStart w:id="10" w:name="page11"/>
    <w:bookmarkEnd w:id="10"/>
    <w:p>
      <w:pPr>
        <w:jc w:val="center"/>
        <w:ind w:right="-499"/>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jc w:val="center"/>
        <w:ind w:right="-499"/>
        <w:spacing w:after="0" w:line="219" w:lineRule="auto"/>
        <w:rPr>
          <w:sz w:val="20"/>
          <w:szCs w:val="20"/>
          <w:color w:val="auto"/>
        </w:rPr>
      </w:pPr>
      <w:r>
        <w:rPr>
          <w:rFonts w:ascii="Times New Roman" w:cs="Times New Roman" w:eastAsia="Times New Roman" w:hAnsi="Times New Roman"/>
          <w:sz w:val="12"/>
          <w:szCs w:val="12"/>
          <w:b w:val="1"/>
          <w:bCs w:val="1"/>
          <w:color w:val="auto"/>
        </w:rPr>
        <w:t>Condensed Consolidated Statement of Cash Flows</w:t>
      </w: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200" w:lineRule="exact"/>
        <w:rPr>
          <w:sz w:val="20"/>
          <w:szCs w:val="20"/>
          <w:color w:val="auto"/>
        </w:rPr>
      </w:pPr>
    </w:p>
    <w:p>
      <w:pPr>
        <w:spacing w:after="0" w:line="35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64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6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5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2021 (1)</w:t>
            </w:r>
          </w:p>
        </w:tc>
      </w:tr>
      <w:tr>
        <w:trPr>
          <w:trHeight w:val="13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8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(240,219)</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(205,205)</w:t>
            </w:r>
          </w:p>
        </w:tc>
      </w:tr>
      <w:tr>
        <w:trPr>
          <w:trHeight w:val="216"/>
        </w:trPr>
        <w:tc>
          <w:tcPr>
            <w:tcW w:w="7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25,269</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16,012</w:t>
            </w:r>
          </w:p>
        </w:tc>
      </w:tr>
      <w:tr>
        <w:trPr>
          <w:trHeight w:val="153"/>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41,553</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182,454</w:t>
            </w:r>
          </w:p>
        </w:tc>
      </w:tr>
      <w:tr>
        <w:trPr>
          <w:trHeight w:val="153"/>
        </w:trPr>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Change in fair value of warrant and earn-out contingent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(54,350)</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(122,171)</w:t>
            </w:r>
          </w:p>
        </w:tc>
      </w:tr>
      <w:tr>
        <w:trPr>
          <w:trHeight w:val="153"/>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2B2A29"/>
              </w:rPr>
              <w:t>Income tax benefit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(49,176)</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Loss on debt extinguishment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r>
      <w:tr>
        <w:trPr>
          <w:trHeight w:val="153"/>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2B2A29"/>
              </w:rPr>
              <w:t>Provision for excess and obsolete inventory</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w:t>
            </w:r>
          </w:p>
        </w:tc>
      </w:tr>
      <w:tr>
        <w:trPr>
          <w:trHeight w:val="153"/>
        </w:trPr>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Non-cash lease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w:t>
            </w:r>
          </w:p>
        </w:tc>
      </w:tr>
      <w:tr>
        <w:trPr>
          <w:trHeight w:val="153"/>
        </w:trPr>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Amortization of deferred debt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 net of effects from purchase of</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71"/>
        </w:trPr>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business:</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5,491</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10,787</w:t>
            </w:r>
          </w:p>
        </w:tc>
      </w:tr>
      <w:tr>
        <w:trPr>
          <w:trHeight w:val="153"/>
        </w:trPr>
        <w:tc>
          <w:tcPr>
            <w:tcW w:w="8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(5,239)</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(7,334)</w:t>
            </w:r>
          </w:p>
        </w:tc>
      </w:tr>
      <w:tr>
        <w:trPr>
          <w:trHeight w:val="153"/>
        </w:trPr>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5,153</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(15,710)</w:t>
            </w:r>
          </w:p>
        </w:tc>
      </w:tr>
      <w:tr>
        <w:trPr>
          <w:trHeight w:val="153"/>
        </w:trPr>
        <w:tc>
          <w:tcPr>
            <w:tcW w:w="8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Due to/from related parties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(1,935)</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r>
      <w:tr>
        <w:trPr>
          <w:trHeight w:val="153"/>
        </w:trPr>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Other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3"/>
        </w:trPr>
        <w:tc>
          <w:tcPr>
            <w:tcW w:w="8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28,557</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4,927</w:t>
            </w:r>
          </w:p>
        </w:tc>
      </w:tr>
      <w:tr>
        <w:trPr>
          <w:trHeight w:val="153"/>
        </w:trPr>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Contract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w:t>
            </w:r>
          </w:p>
        </w:tc>
      </w:tr>
      <w:tr>
        <w:trPr>
          <w:trHeight w:val="153"/>
        </w:trPr>
        <w:tc>
          <w:tcPr>
            <w:tcW w:w="8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(10,008)</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(3,375)</w:t>
            </w:r>
          </w:p>
        </w:tc>
      </w:tr>
      <w:tr>
        <w:trPr>
          <w:trHeight w:val="142"/>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8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(254,501)</w:t>
            </w:r>
          </w:p>
        </w:tc>
        <w:tc>
          <w:tcPr>
            <w:tcW w:w="6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(138,449)</w:t>
            </w:r>
          </w:p>
        </w:tc>
      </w:tr>
      <w:tr>
        <w:trPr>
          <w:trHeight w:val="178"/>
        </w:trPr>
        <w:tc>
          <w:tcPr>
            <w:tcW w:w="7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business, net of cash acquired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(127,004)</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(4,990)</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(4,344)</w:t>
            </w:r>
          </w:p>
        </w:tc>
      </w:tr>
      <w:tr>
        <w:trPr>
          <w:trHeight w:val="15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Development of internal-use software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(6,494)</w:t>
            </w:r>
          </w:p>
        </w:tc>
        <w:tc>
          <w:tcPr>
            <w:tcW w:w="6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(8,749)</w:t>
            </w:r>
          </w:p>
        </w:tc>
      </w:tr>
      <w:tr>
        <w:trPr>
          <w:trHeight w:val="142"/>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8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(138,488)</w:t>
            </w:r>
          </w:p>
        </w:tc>
        <w:tc>
          <w:tcPr>
            <w:tcW w:w="6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(13,093)</w:t>
            </w:r>
          </w:p>
        </w:tc>
      </w:tr>
      <w:tr>
        <w:trPr>
          <w:trHeight w:val="178"/>
        </w:trPr>
        <w:tc>
          <w:tcPr>
            <w:tcW w:w="7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Business Combination PIPE Investment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Acquisition PIPE Investment, 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197,659</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equity infusion from the merger, net of redemptions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442,684</w:t>
            </w: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Legacy Sema4 Shareholder payout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(230,665)</w:t>
            </w:r>
          </w:p>
        </w:tc>
      </w:tr>
      <w:tr>
        <w:trPr>
          <w:trHeight w:val="15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 of deferred transaction costs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(51,760)</w:t>
            </w: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Appreciation Rights payout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(3,795)</w:t>
            </w:r>
          </w:p>
        </w:tc>
      </w:tr>
      <w:tr>
        <w:trPr>
          <w:trHeight w:val="15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long-term debt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(8,741)</w:t>
            </w: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lease principal 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(2,632)</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(2,960)</w:t>
            </w:r>
          </w:p>
        </w:tc>
      </w:tr>
      <w:tr>
        <w:trPr>
          <w:trHeight w:val="153"/>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53"/>
        </w:trPr>
        <w:tc>
          <w:tcPr>
            <w:tcW w:w="8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2,223</w:t>
            </w:r>
          </w:p>
        </w:tc>
        <w:tc>
          <w:tcPr>
            <w:tcW w:w="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w:t>
            </w:r>
          </w:p>
        </w:tc>
      </w:tr>
      <w:tr>
        <w:trPr>
          <w:trHeight w:val="142"/>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197,250</w:t>
            </w:r>
          </w:p>
        </w:tc>
        <w:tc>
          <w:tcPr>
            <w:tcW w:w="6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6852285"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2285" cy="22860"/>
                    </a:xfrm>
                    <a:prstGeom prst="rect">
                      <a:avLst/>
                    </a:prstGeom>
                    <a:noFill/>
                  </pic:spPr>
                </pic:pic>
              </a:graphicData>
            </a:graphic>
          </wp:anchor>
        </w:drawing>
      </w:r>
    </w:p>
    <w:p>
      <w:pPr>
        <w:sectPr>
          <w:pgSz w:w="11900" w:h="16838" w:orient="portrait"/>
          <w:cols w:equalWidth="0" w:num="1">
            <w:col w:w="10780"/>
          </w:cols>
          <w:pgMar w:left="300" w:top="273" w:right="81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6852285"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2285"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6852285"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2285"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2"/>
          <w:szCs w:val="12"/>
          <w:color w:val="auto"/>
        </w:rPr>
        <w:t>(195,739)</w:t>
      </w:r>
    </w:p>
    <w:p>
      <w:pPr>
        <w:spacing w:after="0" w:line="17"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2"/>
          <w:szCs w:val="12"/>
          <w:color w:val="auto"/>
        </w:rPr>
        <w:t>401,469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9525</wp:posOffset>
            </wp:positionV>
            <wp:extent cx="9715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2" w:lineRule="exact"/>
        <w:rPr>
          <w:sz w:val="20"/>
          <w:szCs w:val="20"/>
          <w:color w:val="auto"/>
        </w:rPr>
      </w:pPr>
    </w:p>
    <w:p>
      <w:pPr>
        <w:ind w:left="190" w:hanging="190"/>
        <w:spacing w:after="0"/>
        <w:tabs>
          <w:tab w:leader="none" w:pos="19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205,730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17780</wp:posOffset>
            </wp:positionV>
            <wp:extent cx="9715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343,216</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118,960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9525</wp:posOffset>
            </wp:positionV>
            <wp:extent cx="9772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2" w:lineRule="exact"/>
        <w:rPr>
          <w:sz w:val="20"/>
          <w:szCs w:val="20"/>
          <w:color w:val="auto"/>
        </w:rPr>
      </w:pPr>
    </w:p>
    <w:p>
      <w:pPr>
        <w:ind w:left="180" w:hanging="179"/>
        <w:spacing w:after="0"/>
        <w:tabs>
          <w:tab w:leader="none" w:pos="18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462,176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10795</wp:posOffset>
            </wp:positionV>
            <wp:extent cx="9772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3">
            <w:col w:w="7870" w:space="720"/>
            <w:col w:w="890" w:space="720"/>
            <w:col w:w="580"/>
          </w:cols>
          <w:pgMar w:left="300" w:top="273" w:right="819" w:bottom="1440" w:gutter="0" w:footer="0" w:header="0"/>
          <w:type w:val="continuous"/>
        </w:sectPr>
      </w:pPr>
    </w:p>
    <w:p>
      <w:pPr>
        <w:spacing w:after="0" w:line="3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780"/>
          </w:cols>
          <w:pgMar w:left="300" w:top="273" w:right="819" w:bottom="1440" w:gutter="0" w:footer="0" w:header="0"/>
          <w:type w:val="continuous"/>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jc w:val="center"/>
        <w:ind w:right="-7"/>
        <w:spacing w:after="0" w:line="219" w:lineRule="auto"/>
        <w:rPr>
          <w:sz w:val="20"/>
          <w:szCs w:val="20"/>
          <w:color w:val="auto"/>
        </w:rPr>
      </w:pPr>
      <w:r>
        <w:rPr>
          <w:rFonts w:ascii="Times New Roman" w:cs="Times New Roman" w:eastAsia="Times New Roman" w:hAnsi="Times New Roman"/>
          <w:sz w:val="12"/>
          <w:szCs w:val="12"/>
          <w:b w:val="1"/>
          <w:bCs w:val="1"/>
          <w:color w:val="auto"/>
        </w:rPr>
        <w:t>Condensed Consolidated Statement of Cash Flows</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 w:hanging="8"/>
        <w:spacing w:after="0" w:line="316" w:lineRule="auto"/>
        <w:tabs>
          <w:tab w:leader="none" w:pos="144"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As previously disclosed in Note 2, “Summary of Significant Accounting Policies” to our consolidated financial statements included in our Annual Report on Form 10-K for the year ended December 31, 2021, certain adjustments were made to certain liability accounts previously reported in the condensed balance sheets as of September 30, 2021. The adjustments are reflected accordingly as disclosed.</w:t>
      </w:r>
    </w:p>
    <w:p>
      <w:pPr>
        <w:spacing w:after="0" w:line="200" w:lineRule="exact"/>
        <w:rPr>
          <w:sz w:val="20"/>
          <w:szCs w:val="20"/>
          <w:color w:val="auto"/>
        </w:rPr>
      </w:pPr>
    </w:p>
    <w:p>
      <w:pPr>
        <w:spacing w:after="0" w:line="3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88"/>
          </w:cols>
          <w:pgMar w:left="292" w:top="273" w:right="319" w:bottom="1440" w:gutter="0" w:footer="0" w:header="0"/>
        </w:sectPr>
      </w:pPr>
    </w:p>
    <w:bookmarkStart w:id="12" w:name="page13"/>
    <w:bookmarkEnd w:id="12"/>
    <w:p>
      <w:pPr>
        <w:ind w:left="5060"/>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spacing w:after="0" w:line="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Reconciliation of Revenue to our Adjusted Gross Profit &amp; Adjusted EBITDA</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w:t>
            </w:r>
          </w:p>
        </w:tc>
      </w:tr>
      <w:tr>
        <w:trPr>
          <w:trHeight w:val="128"/>
        </w:trPr>
        <w:tc>
          <w:tcPr>
            <w:tcW w:w="41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12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96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0"/>
                <w:szCs w:val="10"/>
                <w:b w:val="1"/>
                <w:bCs w:val="1"/>
                <w:color w:val="auto"/>
                <w:w w:val="89"/>
              </w:rPr>
              <w:t>2021</w:t>
            </w:r>
          </w:p>
        </w:tc>
      </w:tr>
      <w:tr>
        <w:trPr>
          <w:trHeight w:val="124"/>
        </w:trPr>
        <w:tc>
          <w:tcPr>
            <w:tcW w:w="41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960" w:type="dxa"/>
            <w:vAlign w:val="bottom"/>
            <w:gridSpan w:val="3"/>
          </w:tcPr>
          <w:p>
            <w:pPr>
              <w:jc w:val="center"/>
              <w:ind w:right="108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r>
      <w:tr>
        <w:trPr>
          <w:trHeight w:val="15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4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Diagnostic test revenue</w:t>
            </w:r>
          </w:p>
        </w:tc>
        <w:tc>
          <w:tcPr>
            <w:tcW w:w="5180" w:type="dxa"/>
            <w:vAlign w:val="bottom"/>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$81,490</w:t>
            </w:r>
          </w:p>
        </w:tc>
        <w:tc>
          <w:tcPr>
            <w:tcW w:w="1960" w:type="dxa"/>
            <w:vAlign w:val="bottom"/>
            <w:gridSpan w:val="3"/>
          </w:tcPr>
          <w:p>
            <w:pPr>
              <w:jc w:val="center"/>
              <w:ind w:left="401"/>
              <w:spacing w:after="0"/>
              <w:rPr>
                <w:sz w:val="20"/>
                <w:szCs w:val="20"/>
                <w:color w:val="auto"/>
              </w:rPr>
            </w:pPr>
            <w:r>
              <w:rPr>
                <w:rFonts w:ascii="Times New Roman" w:cs="Times New Roman" w:eastAsia="Times New Roman" w:hAnsi="Times New Roman"/>
                <w:sz w:val="12"/>
                <w:szCs w:val="12"/>
                <w:color w:val="auto"/>
                <w:w w:val="97"/>
              </w:rPr>
              <w:t>$41,410</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1,744</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6"/>
              </w:rPr>
              <w:t>1,768</w:t>
            </w:r>
          </w:p>
        </w:tc>
      </w:tr>
      <w:tr>
        <w:trPr>
          <w:trHeight w:val="142"/>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4060" w:type="dxa"/>
            <w:vAlign w:val="bottom"/>
          </w:tcPr>
          <w:p>
            <w:pPr>
              <w:spacing w:after="0"/>
              <w:rPr>
                <w:sz w:val="12"/>
                <w:szCs w:val="12"/>
                <w:color w:val="auto"/>
              </w:rPr>
            </w:pPr>
          </w:p>
        </w:tc>
        <w:tc>
          <w:tcPr>
            <w:tcW w:w="1120" w:type="dxa"/>
            <w:vAlign w:val="bottom"/>
            <w:tcBorders>
              <w:top w:val="single" w:sz="8" w:color="auto"/>
            </w:tcBorders>
          </w:tcPr>
          <w:p>
            <w:pPr>
              <w:jc w:val="center"/>
              <w:ind w:left="306"/>
              <w:spacing w:after="0"/>
              <w:rPr>
                <w:sz w:val="20"/>
                <w:szCs w:val="20"/>
                <w:color w:val="auto"/>
              </w:rPr>
            </w:pPr>
            <w:r>
              <w:rPr>
                <w:rFonts w:ascii="Times New Roman" w:cs="Times New Roman" w:eastAsia="Times New Roman" w:hAnsi="Times New Roman"/>
                <w:sz w:val="12"/>
                <w:szCs w:val="12"/>
                <w:color w:val="auto"/>
                <w:w w:val="96"/>
              </w:rPr>
              <w:t>83,234</w:t>
            </w: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43,178</w:t>
            </w:r>
          </w:p>
        </w:tc>
      </w:tr>
      <w:tr>
        <w:trPr>
          <w:trHeight w:val="153"/>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w:t>
            </w:r>
          </w:p>
        </w:tc>
        <w:tc>
          <w:tcPr>
            <w:tcW w:w="5180" w:type="dxa"/>
            <w:vAlign w:val="bottom"/>
            <w:tcBorders>
              <w:bottom w:val="single" w:sz="8" w:color="auto"/>
            </w:tcBorders>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w w:val="96"/>
              </w:rPr>
              <w:t>69,685</w:t>
            </w:r>
          </w:p>
        </w:tc>
        <w:tc>
          <w:tcPr>
            <w:tcW w:w="1960" w:type="dxa"/>
            <w:vAlign w:val="bottom"/>
            <w:tcBorders>
              <w:bottom w:val="single" w:sz="8" w:color="auto"/>
            </w:tcBorders>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rPr>
              <w:t>51,487</w:t>
            </w:r>
          </w:p>
        </w:tc>
      </w:tr>
      <w:tr>
        <w:trPr>
          <w:trHeight w:val="158"/>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Gross (Loss) Profit</w:t>
            </w:r>
          </w:p>
        </w:tc>
        <w:tc>
          <w:tcPr>
            <w:tcW w:w="5180" w:type="dxa"/>
            <w:vAlign w:val="bottom"/>
            <w:tcBorders>
              <w:bottom w:val="single" w:sz="8" w:color="auto"/>
            </w:tcBorders>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$13,549</w:t>
            </w:r>
          </w:p>
        </w:tc>
        <w:tc>
          <w:tcPr>
            <w:tcW w:w="196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2"/>
                <w:szCs w:val="12"/>
                <w:color w:val="auto"/>
              </w:rPr>
              <w:t>$(8,309)</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5180" w:type="dxa"/>
            <w:vAlign w:val="bottom"/>
            <w:gridSpan w:val="2"/>
            <w:shd w:val="clear" w:color="auto" w:fill="CCEEFF"/>
          </w:tcPr>
          <w:p>
            <w:pPr>
              <w:jc w:val="center"/>
              <w:ind w:left="4380"/>
              <w:spacing w:after="0"/>
              <w:rPr>
                <w:sz w:val="20"/>
                <w:szCs w:val="20"/>
                <w:color w:val="auto"/>
              </w:rPr>
            </w:pPr>
            <w:r>
              <w:rPr>
                <w:rFonts w:ascii="Times New Roman" w:cs="Times New Roman" w:eastAsia="Times New Roman" w:hAnsi="Times New Roman"/>
                <w:sz w:val="12"/>
                <w:szCs w:val="12"/>
                <w:color w:val="auto"/>
                <w:w w:val="99"/>
              </w:rPr>
              <w:t>16%</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9"/>
              </w:rPr>
              <w:t>(19)%</w:t>
            </w:r>
          </w:p>
        </w:tc>
      </w:tr>
      <w:tr>
        <w:trPr>
          <w:trHeight w:val="99"/>
        </w:trPr>
        <w:tc>
          <w:tcPr>
            <w:tcW w:w="41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w w:val="96"/>
              </w:rPr>
              <w:t>$1,477</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rPr>
              <w:t>$1,779</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5180" w:type="dxa"/>
            <w:vAlign w:val="bottom"/>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1,497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(Loss) Profit</w:t>
            </w:r>
          </w:p>
        </w:tc>
        <w:tc>
          <w:tcPr>
            <w:tcW w:w="40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center"/>
              <w:ind w:left="306"/>
              <w:spacing w:after="0"/>
              <w:rPr>
                <w:sz w:val="20"/>
                <w:szCs w:val="20"/>
                <w:color w:val="auto"/>
              </w:rPr>
            </w:pPr>
            <w:r>
              <w:rPr>
                <w:rFonts w:ascii="Times New Roman" w:cs="Times New Roman" w:eastAsia="Times New Roman" w:hAnsi="Times New Roman"/>
                <w:sz w:val="12"/>
                <w:szCs w:val="12"/>
                <w:color w:val="auto"/>
                <w:w w:val="96"/>
              </w:rPr>
              <w:t>16,759</w:t>
            </w: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(6,530)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Adjusted Gross Margin</w:t>
            </w:r>
          </w:p>
        </w:tc>
        <w:tc>
          <w:tcPr>
            <w:tcW w:w="5180" w:type="dxa"/>
            <w:vAlign w:val="bottom"/>
            <w:gridSpan w:val="2"/>
          </w:tcPr>
          <w:p>
            <w:pPr>
              <w:jc w:val="center"/>
              <w:ind w:left="4380"/>
              <w:spacing w:after="0"/>
              <w:rPr>
                <w:sz w:val="20"/>
                <w:szCs w:val="20"/>
                <w:color w:val="auto"/>
              </w:rPr>
            </w:pPr>
            <w:r>
              <w:rPr>
                <w:rFonts w:ascii="Times New Roman" w:cs="Times New Roman" w:eastAsia="Times New Roman" w:hAnsi="Times New Roman"/>
                <w:sz w:val="12"/>
                <w:szCs w:val="12"/>
                <w:color w:val="auto"/>
                <w:w w:val="99"/>
              </w:rPr>
              <w:t>20%</w:t>
            </w:r>
          </w:p>
        </w:tc>
        <w:tc>
          <w:tcPr>
            <w:tcW w:w="1960" w:type="dxa"/>
            <w:vAlign w:val="bottom"/>
            <w:gridSpan w:val="3"/>
          </w:tcPr>
          <w:p>
            <w:pPr>
              <w:jc w:val="center"/>
              <w:ind w:left="401"/>
              <w:spacing w:after="0"/>
              <w:rPr>
                <w:sz w:val="20"/>
                <w:szCs w:val="20"/>
                <w:color w:val="auto"/>
              </w:rPr>
            </w:pPr>
            <w:r>
              <w:rPr>
                <w:rFonts w:ascii="Times New Roman" w:cs="Times New Roman" w:eastAsia="Times New Roman" w:hAnsi="Times New Roman"/>
                <w:sz w:val="12"/>
                <w:szCs w:val="12"/>
                <w:color w:val="auto"/>
                <w:w w:val="99"/>
              </w:rPr>
              <w:t>(15)%</w:t>
            </w:r>
          </w:p>
        </w:tc>
      </w:tr>
      <w:tr>
        <w:trPr>
          <w:trHeight w:val="99"/>
        </w:trPr>
        <w:tc>
          <w:tcPr>
            <w:tcW w:w="4160" w:type="dxa"/>
            <w:vAlign w:val="bottom"/>
            <w:shd w:val="clear" w:color="auto" w:fill="CCEEFF"/>
          </w:tcPr>
          <w:p>
            <w:pPr>
              <w:spacing w:after="0"/>
              <w:rPr>
                <w:sz w:val="8"/>
                <w:szCs w:val="8"/>
                <w:color w:val="auto"/>
              </w:rPr>
            </w:pPr>
          </w:p>
        </w:tc>
        <w:tc>
          <w:tcPr>
            <w:tcW w:w="40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Research &amp; Development</w:t>
            </w:r>
          </w:p>
        </w:tc>
        <w:tc>
          <w:tcPr>
            <w:tcW w:w="5180" w:type="dxa"/>
            <w:vAlign w:val="bottom"/>
            <w:gridSpan w:val="2"/>
          </w:tcPr>
          <w:p>
            <w:pPr>
              <w:jc w:val="center"/>
              <w:ind w:left="4360"/>
              <w:spacing w:after="0"/>
              <w:rPr>
                <w:sz w:val="20"/>
                <w:szCs w:val="20"/>
                <w:color w:val="auto"/>
              </w:rPr>
            </w:pPr>
            <w:r>
              <w:rPr>
                <w:rFonts w:ascii="Times New Roman" w:cs="Times New Roman" w:eastAsia="Times New Roman" w:hAnsi="Times New Roman"/>
                <w:sz w:val="12"/>
                <w:szCs w:val="12"/>
                <w:color w:val="auto"/>
                <w:w w:val="96"/>
              </w:rPr>
              <w:t>13,354</w:t>
            </w:r>
          </w:p>
        </w:tc>
        <w:tc>
          <w:tcPr>
            <w:tcW w:w="1960" w:type="dxa"/>
            <w:vAlign w:val="bottom"/>
            <w:gridSpan w:val="3"/>
          </w:tcPr>
          <w:p>
            <w:pPr>
              <w:jc w:val="center"/>
              <w:ind w:left="401"/>
              <w:spacing w:after="0"/>
              <w:rPr>
                <w:sz w:val="20"/>
                <w:szCs w:val="20"/>
                <w:color w:val="auto"/>
              </w:rPr>
            </w:pPr>
            <w:r>
              <w:rPr>
                <w:rFonts w:ascii="Times New Roman" w:cs="Times New Roman" w:eastAsia="Times New Roman" w:hAnsi="Times New Roman"/>
                <w:sz w:val="12"/>
                <w:szCs w:val="12"/>
                <w:color w:val="auto"/>
              </w:rPr>
              <w:t>17,831</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8,164</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7"/>
              </w:rPr>
              <w:t>(3,160)</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5180" w:type="dxa"/>
            <w:vAlign w:val="bottom"/>
            <w:tcBorders>
              <w:bottom w:val="single" w:sz="8" w:color="auto"/>
            </w:tcBorders>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(1,362)</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Research &amp; Development</w:t>
            </w:r>
          </w:p>
        </w:tc>
        <w:tc>
          <w:tcPr>
            <w:tcW w:w="5180" w:type="dxa"/>
            <w:vAlign w:val="bottom"/>
            <w:tcBorders>
              <w:bottom w:val="single" w:sz="8" w:color="auto"/>
            </w:tcBorders>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$20,156</w:t>
            </w:r>
          </w:p>
        </w:tc>
        <w:tc>
          <w:tcPr>
            <w:tcW w:w="1960" w:type="dxa"/>
            <w:vAlign w:val="bottom"/>
            <w:tcBorders>
              <w:bottom w:val="single" w:sz="8" w:color="auto"/>
            </w:tcBorders>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7"/>
              </w:rPr>
              <w:t>$14,671</w:t>
            </w:r>
          </w:p>
        </w:tc>
      </w:tr>
      <w:tr>
        <w:trPr>
          <w:trHeight w:val="90"/>
        </w:trPr>
        <w:tc>
          <w:tcPr>
            <w:tcW w:w="4160" w:type="dxa"/>
            <w:vAlign w:val="bottom"/>
          </w:tcPr>
          <w:p>
            <w:pPr>
              <w:spacing w:after="0"/>
              <w:rPr>
                <w:sz w:val="7"/>
                <w:szCs w:val="7"/>
                <w:color w:val="auto"/>
              </w:rPr>
            </w:pPr>
          </w:p>
        </w:tc>
        <w:tc>
          <w:tcPr>
            <w:tcW w:w="4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&amp; Marketing</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w w:val="96"/>
              </w:rPr>
              <w:t>37,451</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rPr>
              <w:t>28,152</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80" w:type="dxa"/>
            <w:vAlign w:val="bottom"/>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(2,337)</w:t>
            </w:r>
          </w:p>
        </w:tc>
        <w:tc>
          <w:tcPr>
            <w:tcW w:w="1960" w:type="dxa"/>
            <w:vAlign w:val="bottom"/>
            <w:gridSpan w:val="3"/>
          </w:tcPr>
          <w:p>
            <w:pPr>
              <w:jc w:val="center"/>
              <w:ind w:left="401"/>
              <w:spacing w:after="0"/>
              <w:rPr>
                <w:sz w:val="20"/>
                <w:szCs w:val="20"/>
                <w:color w:val="auto"/>
              </w:rPr>
            </w:pPr>
            <w:r>
              <w:rPr>
                <w:rFonts w:ascii="Times New Roman" w:cs="Times New Roman" w:eastAsia="Times New Roman" w:hAnsi="Times New Roman"/>
                <w:sz w:val="12"/>
                <w:szCs w:val="12"/>
                <w:color w:val="auto"/>
                <w:w w:val="97"/>
              </w:rPr>
              <w:t>(4,183)</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(1,067)</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5180" w:type="dxa"/>
            <w:vAlign w:val="bottom"/>
            <w:tcBorders>
              <w:bottom w:val="single" w:sz="8" w:color="auto"/>
            </w:tcBorders>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(1,863)</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Selling &amp; Marketing</w:t>
            </w:r>
          </w:p>
        </w:tc>
        <w:tc>
          <w:tcPr>
            <w:tcW w:w="5180" w:type="dxa"/>
            <w:vAlign w:val="bottom"/>
            <w:tcBorders>
              <w:bottom w:val="single" w:sz="8" w:color="auto"/>
            </w:tcBorders>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$32,184</w:t>
            </w:r>
          </w:p>
        </w:tc>
        <w:tc>
          <w:tcPr>
            <w:tcW w:w="1960" w:type="dxa"/>
            <w:vAlign w:val="bottom"/>
            <w:tcBorders>
              <w:bottom w:val="single" w:sz="8" w:color="auto"/>
            </w:tcBorders>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7"/>
              </w:rPr>
              <w:t>$23,969</w:t>
            </w:r>
          </w:p>
        </w:tc>
      </w:tr>
      <w:tr>
        <w:trPr>
          <w:trHeight w:val="90"/>
        </w:trPr>
        <w:tc>
          <w:tcPr>
            <w:tcW w:w="4160" w:type="dxa"/>
            <w:vAlign w:val="bottom"/>
          </w:tcPr>
          <w:p>
            <w:pPr>
              <w:spacing w:after="0"/>
              <w:rPr>
                <w:sz w:val="7"/>
                <w:szCs w:val="7"/>
                <w:color w:val="auto"/>
              </w:rPr>
            </w:pPr>
          </w:p>
        </w:tc>
        <w:tc>
          <w:tcPr>
            <w:tcW w:w="4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&amp; Administrative &amp; Related Party Expense</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w w:val="96"/>
              </w:rPr>
              <w:t>53,560</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rPr>
              <w:t>33,972</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80" w:type="dxa"/>
            <w:vAlign w:val="bottom"/>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(5,623)</w:t>
            </w:r>
          </w:p>
        </w:tc>
        <w:tc>
          <w:tcPr>
            <w:tcW w:w="1960" w:type="dxa"/>
            <w:vAlign w:val="bottom"/>
            <w:gridSpan w:val="3"/>
          </w:tcPr>
          <w:p>
            <w:pPr>
              <w:jc w:val="center"/>
              <w:ind w:left="401"/>
              <w:spacing w:after="0"/>
              <w:rPr>
                <w:sz w:val="20"/>
                <w:szCs w:val="20"/>
                <w:color w:val="auto"/>
              </w:rPr>
            </w:pPr>
            <w:r>
              <w:rPr>
                <w:rFonts w:ascii="Times New Roman" w:cs="Times New Roman" w:eastAsia="Times New Roman" w:hAnsi="Times New Roman"/>
                <w:sz w:val="12"/>
                <w:szCs w:val="12"/>
                <w:color w:val="auto"/>
                <w:w w:val="97"/>
              </w:rPr>
              <w:t>(8,889)</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(2,440)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and restructuring costs</w:t>
            </w:r>
          </w:p>
        </w:tc>
        <w:tc>
          <w:tcPr>
            <w:tcW w:w="5180" w:type="dxa"/>
            <w:vAlign w:val="bottom"/>
            <w:tcBorders>
              <w:bottom w:val="single" w:sz="8" w:color="auto"/>
            </w:tcBorders>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(4,271)</w:t>
            </w:r>
          </w:p>
        </w:tc>
        <w:tc>
          <w:tcPr>
            <w:tcW w:w="196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2"/>
                <w:szCs w:val="12"/>
                <w:color w:val="auto"/>
                <w:w w:val="99"/>
              </w:rPr>
              <w:t>(391)</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General &amp; Administrative &amp; Related Party</w:t>
            </w:r>
          </w:p>
        </w:tc>
        <w:tc>
          <w:tcPr>
            <w:tcW w:w="5180" w:type="dxa"/>
            <w:vAlign w:val="bottom"/>
            <w:tcBorders>
              <w:bottom w:val="single" w:sz="8" w:color="auto"/>
            </w:tcBorders>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$41,226</w:t>
            </w:r>
          </w:p>
        </w:tc>
        <w:tc>
          <w:tcPr>
            <w:tcW w:w="1960" w:type="dxa"/>
            <w:vAlign w:val="bottom"/>
            <w:tcBorders>
              <w:bottom w:val="single" w:sz="8" w:color="auto"/>
            </w:tcBorders>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7"/>
              </w:rPr>
              <w:t>$24,692</w:t>
            </w:r>
          </w:p>
        </w:tc>
      </w:tr>
      <w:tr>
        <w:trPr>
          <w:trHeight w:val="90"/>
        </w:trPr>
        <w:tc>
          <w:tcPr>
            <w:tcW w:w="4160" w:type="dxa"/>
            <w:vAlign w:val="bottom"/>
          </w:tcPr>
          <w:p>
            <w:pPr>
              <w:spacing w:after="0"/>
              <w:rPr>
                <w:sz w:val="7"/>
                <w:szCs w:val="7"/>
                <w:color w:val="auto"/>
              </w:rPr>
            </w:pPr>
          </w:p>
        </w:tc>
        <w:tc>
          <w:tcPr>
            <w:tcW w:w="4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Adjusted Operating Expenses</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w w:val="96"/>
              </w:rPr>
              <w:t>93,566</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rPr>
              <w:t>63,332</w:t>
            </w:r>
          </w:p>
        </w:tc>
      </w:tr>
      <w:tr>
        <w:trPr>
          <w:trHeight w:val="99"/>
        </w:trPr>
        <w:tc>
          <w:tcPr>
            <w:tcW w:w="41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w w:val="97"/>
              </w:rPr>
              <w:t>(90,816)</w:t>
            </w:r>
          </w:p>
        </w:tc>
        <w:tc>
          <w:tcPr>
            <w:tcW w:w="1960" w:type="dxa"/>
            <w:vAlign w:val="bottom"/>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rPr>
              <w:t>(88,264)</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80" w:type="dxa"/>
            <w:vAlign w:val="bottom"/>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1,273</w:t>
            </w:r>
          </w:p>
        </w:tc>
        <w:tc>
          <w:tcPr>
            <w:tcW w:w="1960" w:type="dxa"/>
            <w:vAlign w:val="bottom"/>
            <w:gridSpan w:val="3"/>
          </w:tcPr>
          <w:p>
            <w:pPr>
              <w:jc w:val="center"/>
              <w:ind w:left="421"/>
              <w:spacing w:after="0"/>
              <w:rPr>
                <w:sz w:val="20"/>
                <w:szCs w:val="20"/>
                <w:color w:val="auto"/>
              </w:rPr>
            </w:pPr>
            <w:r>
              <w:rPr>
                <w:rFonts w:ascii="Times New Roman" w:cs="Times New Roman" w:eastAsia="Times New Roman" w:hAnsi="Times New Roman"/>
                <w:sz w:val="12"/>
                <w:szCs w:val="12"/>
                <w:color w:val="auto"/>
                <w:w w:val="96"/>
              </w:rPr>
              <w:t>18,011</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5180" w:type="dxa"/>
            <w:vAlign w:val="bottom"/>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3,507</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and restructuring costs</w:t>
            </w:r>
          </w:p>
        </w:tc>
        <w:tc>
          <w:tcPr>
            <w:tcW w:w="5180" w:type="dxa"/>
            <w:vAlign w:val="bottom"/>
            <w:tcBorders>
              <w:bottom w:val="single" w:sz="8" w:color="auto"/>
            </w:tcBorders>
            <w:gridSpan w:val="2"/>
          </w:tcPr>
          <w:p>
            <w:pPr>
              <w:jc w:val="center"/>
              <w:ind w:left="4360"/>
              <w:spacing w:after="0"/>
              <w:rPr>
                <w:sz w:val="20"/>
                <w:szCs w:val="20"/>
                <w:color w:val="auto"/>
              </w:rPr>
            </w:pPr>
            <w:r>
              <w:rPr>
                <w:rFonts w:ascii="Times New Roman" w:cs="Times New Roman" w:eastAsia="Times New Roman" w:hAnsi="Times New Roman"/>
                <w:sz w:val="12"/>
                <w:szCs w:val="12"/>
                <w:color w:val="auto"/>
              </w:rPr>
              <w:t>8,993</w:t>
            </w:r>
          </w:p>
        </w:tc>
        <w:tc>
          <w:tcPr>
            <w:tcW w:w="196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2"/>
                <w:szCs w:val="12"/>
                <w:color w:val="auto"/>
                <w:w w:val="99"/>
              </w:rPr>
              <w:t>391</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loss from operations</w:t>
            </w:r>
          </w:p>
        </w:tc>
        <w:tc>
          <w:tcPr>
            <w:tcW w:w="5180" w:type="dxa"/>
            <w:vAlign w:val="bottom"/>
            <w:tcBorders>
              <w:bottom w:val="single" w:sz="8" w:color="auto"/>
            </w:tcBorders>
            <w:gridSpan w:val="2"/>
            <w:shd w:val="clear" w:color="auto" w:fill="CCEEFF"/>
          </w:tcPr>
          <w:p>
            <w:pPr>
              <w:jc w:val="center"/>
              <w:ind w:left="4360"/>
              <w:spacing w:after="0"/>
              <w:rPr>
                <w:sz w:val="20"/>
                <w:szCs w:val="20"/>
                <w:color w:val="auto"/>
              </w:rPr>
            </w:pPr>
            <w:r>
              <w:rPr>
                <w:rFonts w:ascii="Times New Roman" w:cs="Times New Roman" w:eastAsia="Times New Roman" w:hAnsi="Times New Roman"/>
                <w:sz w:val="12"/>
                <w:szCs w:val="12"/>
                <w:color w:val="auto"/>
              </w:rPr>
              <w:t>$(77,043)</w:t>
            </w:r>
          </w:p>
        </w:tc>
        <w:tc>
          <w:tcPr>
            <w:tcW w:w="1960" w:type="dxa"/>
            <w:vAlign w:val="bottom"/>
            <w:tcBorders>
              <w:bottom w:val="single" w:sz="8" w:color="auto"/>
            </w:tcBorders>
            <w:gridSpan w:val="3"/>
            <w:shd w:val="clear" w:color="auto" w:fill="CCEEFF"/>
          </w:tcPr>
          <w:p>
            <w:pPr>
              <w:jc w:val="center"/>
              <w:ind w:left="401"/>
              <w:spacing w:after="0"/>
              <w:rPr>
                <w:sz w:val="20"/>
                <w:szCs w:val="20"/>
                <w:color w:val="auto"/>
              </w:rPr>
            </w:pPr>
            <w:r>
              <w:rPr>
                <w:rFonts w:ascii="Times New Roman" w:cs="Times New Roman" w:eastAsia="Times New Roman" w:hAnsi="Times New Roman"/>
                <w:sz w:val="12"/>
                <w:szCs w:val="12"/>
                <w:color w:val="auto"/>
                <w:w w:val="97"/>
              </w:rPr>
              <w:t>$(69,862)</w:t>
            </w:r>
          </w:p>
        </w:tc>
      </w:tr>
      <w:tr>
        <w:trPr>
          <w:trHeight w:val="783"/>
        </w:trPr>
        <w:tc>
          <w:tcPr>
            <w:tcW w:w="4160" w:type="dxa"/>
            <w:vAlign w:val="bottom"/>
          </w:tcPr>
          <w:p>
            <w:pPr>
              <w:spacing w:after="0"/>
              <w:rPr>
                <w:sz w:val="24"/>
                <w:szCs w:val="24"/>
                <w:color w:val="auto"/>
              </w:rPr>
            </w:pPr>
          </w:p>
        </w:tc>
        <w:tc>
          <w:tcPr>
            <w:tcW w:w="4060" w:type="dxa"/>
            <w:vAlign w:val="bottom"/>
          </w:tcPr>
          <w:p>
            <w:pPr>
              <w:jc w:val="right"/>
              <w:ind w:right="2460"/>
              <w:spacing w:after="0"/>
              <w:rPr>
                <w:sz w:val="20"/>
                <w:szCs w:val="20"/>
                <w:color w:val="auto"/>
              </w:rPr>
            </w:pPr>
            <w:r>
              <w:rPr>
                <w:rFonts w:ascii="Times New Roman" w:cs="Times New Roman" w:eastAsia="Times New Roman" w:hAnsi="Times New Roman"/>
                <w:sz w:val="12"/>
                <w:szCs w:val="12"/>
                <w:color w:val="auto"/>
              </w:rPr>
              <w:t>10</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300"/>
          </w:cols>
          <w:pgMar w:left="300" w:top="413" w:right="299" w:bottom="1440" w:gutter="0" w:footer="0" w:header="0"/>
        </w:sectPr>
      </w:pPr>
    </w:p>
    <w:bookmarkStart w:id="13" w:name="page14"/>
    <w:bookmarkEnd w:id="13"/>
    <w:p>
      <w:pPr>
        <w:ind w:left="5060"/>
        <w:spacing w:after="0"/>
        <w:rPr>
          <w:sz w:val="20"/>
          <w:szCs w:val="20"/>
          <w:color w:val="auto"/>
        </w:rPr>
      </w:pPr>
      <w:r>
        <w:rPr>
          <w:rFonts w:ascii="Times New Roman" w:cs="Times New Roman" w:eastAsia="Times New Roman" w:hAnsi="Times New Roman"/>
          <w:sz w:val="12"/>
          <w:szCs w:val="12"/>
          <w:b w:val="1"/>
          <w:bCs w:val="1"/>
          <w:color w:val="auto"/>
        </w:rPr>
        <w:t>Sema4 Holdings Corp.</w:t>
      </w:r>
    </w:p>
    <w:p>
      <w:pPr>
        <w:spacing w:after="0" w:line="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Reconciliation of Revenue to our Adjusted Gross Profit &amp; Adjusted EBITDA</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Nine months ended September 30,</w:t>
            </w:r>
          </w:p>
        </w:tc>
      </w:tr>
      <w:tr>
        <w:trPr>
          <w:trHeight w:val="128"/>
        </w:trPr>
        <w:tc>
          <w:tcPr>
            <w:tcW w:w="4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40" w:type="dxa"/>
            <w:vAlign w:val="bottom"/>
            <w:tcBorders>
              <w:bottom w:val="single" w:sz="8" w:color="auto"/>
            </w:tcBorders>
          </w:tcPr>
          <w:p>
            <w:pPr>
              <w:jc w:val="center"/>
              <w:ind w:left="305"/>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00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0"/>
                <w:szCs w:val="10"/>
                <w:b w:val="1"/>
                <w:bCs w:val="1"/>
                <w:color w:val="auto"/>
                <w:w w:val="89"/>
              </w:rPr>
              <w:t>2021</w:t>
            </w:r>
          </w:p>
        </w:tc>
      </w:tr>
      <w:tr>
        <w:trPr>
          <w:trHeight w:val="124"/>
        </w:trPr>
        <w:tc>
          <w:tcPr>
            <w:tcW w:w="41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0" w:type="dxa"/>
            <w:vAlign w:val="bottom"/>
            <w:gridSpan w:val="3"/>
          </w:tcPr>
          <w:p>
            <w:pPr>
              <w:jc w:val="center"/>
              <w:ind w:right="108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r>
      <w:tr>
        <w:trPr>
          <w:trHeight w:val="15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40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Diagnostic test revenue</w:t>
            </w:r>
          </w:p>
        </w:tc>
        <w:tc>
          <w:tcPr>
            <w:tcW w:w="5140" w:type="dxa"/>
            <w:vAlign w:val="bottom"/>
            <w:gridSpan w:val="2"/>
          </w:tcPr>
          <w:p>
            <w:pPr>
              <w:jc w:val="center"/>
              <w:ind w:left="4300"/>
              <w:spacing w:after="0"/>
              <w:rPr>
                <w:sz w:val="20"/>
                <w:szCs w:val="20"/>
                <w:color w:val="auto"/>
              </w:rPr>
            </w:pPr>
            <w:r>
              <w:rPr>
                <w:rFonts w:ascii="Times New Roman" w:cs="Times New Roman" w:eastAsia="Times New Roman" w:hAnsi="Times New Roman"/>
                <w:sz w:val="12"/>
                <w:szCs w:val="12"/>
                <w:color w:val="auto"/>
              </w:rPr>
              <w:t>$167,989</w:t>
            </w:r>
          </w:p>
        </w:tc>
        <w:tc>
          <w:tcPr>
            <w:tcW w:w="2000" w:type="dxa"/>
            <w:vAlign w:val="bottom"/>
            <w:gridSpan w:val="3"/>
          </w:tcPr>
          <w:p>
            <w:pPr>
              <w:jc w:val="center"/>
              <w:ind w:left="441"/>
              <w:spacing w:after="0"/>
              <w:rPr>
                <w:sz w:val="20"/>
                <w:szCs w:val="20"/>
                <w:color w:val="auto"/>
              </w:rPr>
            </w:pPr>
            <w:r>
              <w:rPr>
                <w:rFonts w:ascii="Times New Roman" w:cs="Times New Roman" w:eastAsia="Times New Roman" w:hAnsi="Times New Roman"/>
                <w:sz w:val="12"/>
                <w:szCs w:val="12"/>
                <w:color w:val="auto"/>
              </w:rPr>
              <w:t>$148,973</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6"/>
              </w:rPr>
              <w:t>5,355</w:t>
            </w:r>
          </w:p>
        </w:tc>
        <w:tc>
          <w:tcPr>
            <w:tcW w:w="2000" w:type="dxa"/>
            <w:vAlign w:val="bottom"/>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w w:val="96"/>
              </w:rPr>
              <w:t>5,421</w:t>
            </w:r>
          </w:p>
        </w:tc>
      </w:tr>
      <w:tr>
        <w:trPr>
          <w:trHeight w:val="142"/>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40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ind w:left="305"/>
              <w:spacing w:after="0"/>
              <w:rPr>
                <w:sz w:val="20"/>
                <w:szCs w:val="20"/>
                <w:color w:val="auto"/>
              </w:rPr>
            </w:pPr>
            <w:r>
              <w:rPr>
                <w:rFonts w:ascii="Times New Roman" w:cs="Times New Roman" w:eastAsia="Times New Roman" w:hAnsi="Times New Roman"/>
                <w:sz w:val="12"/>
                <w:szCs w:val="12"/>
                <w:color w:val="auto"/>
                <w:w w:val="97"/>
              </w:rPr>
              <w:t>173,344</w:t>
            </w: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154,394</w:t>
            </w:r>
          </w:p>
        </w:tc>
      </w:tr>
      <w:tr>
        <w:trPr>
          <w:trHeight w:val="142"/>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w:t>
            </w:r>
          </w:p>
        </w:tc>
        <w:tc>
          <w:tcPr>
            <w:tcW w:w="40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center"/>
              <w:ind w:left="305"/>
              <w:spacing w:after="0"/>
              <w:rPr>
                <w:sz w:val="20"/>
                <w:szCs w:val="20"/>
                <w:color w:val="auto"/>
              </w:rPr>
            </w:pPr>
            <w:r>
              <w:rPr>
                <w:rFonts w:ascii="Times New Roman" w:cs="Times New Roman" w:eastAsia="Times New Roman" w:hAnsi="Times New Roman"/>
                <w:sz w:val="12"/>
                <w:szCs w:val="12"/>
                <w:color w:val="auto"/>
                <w:w w:val="97"/>
              </w:rPr>
              <w:t>183,768</w:t>
            </w:r>
          </w:p>
        </w:tc>
        <w:tc>
          <w:tcPr>
            <w:tcW w:w="34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168,190</w:t>
            </w:r>
          </w:p>
        </w:tc>
      </w:tr>
      <w:tr>
        <w:trPr>
          <w:trHeight w:val="158"/>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Gross (Loss) Profit</w:t>
            </w:r>
          </w:p>
        </w:tc>
        <w:tc>
          <w:tcPr>
            <w:tcW w:w="5140" w:type="dxa"/>
            <w:vAlign w:val="bottom"/>
            <w:tcBorders>
              <w:bottom w:val="single" w:sz="8" w:color="auto"/>
            </w:tcBorders>
            <w:gridSpan w:val="2"/>
          </w:tcPr>
          <w:p>
            <w:pPr>
              <w:jc w:val="center"/>
              <w:ind w:left="4300"/>
              <w:spacing w:after="0"/>
              <w:rPr>
                <w:sz w:val="20"/>
                <w:szCs w:val="20"/>
                <w:color w:val="auto"/>
              </w:rPr>
            </w:pPr>
            <w:r>
              <w:rPr>
                <w:rFonts w:ascii="Times New Roman" w:cs="Times New Roman" w:eastAsia="Times New Roman" w:hAnsi="Times New Roman"/>
                <w:sz w:val="12"/>
                <w:szCs w:val="12"/>
                <w:color w:val="auto"/>
                <w:w w:val="97"/>
              </w:rPr>
              <w:t>$(10,424)</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$(13,796)</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5140" w:type="dxa"/>
            <w:vAlign w:val="bottom"/>
            <w:gridSpan w:val="2"/>
            <w:shd w:val="clear" w:color="auto" w:fill="CCEEFF"/>
          </w:tcPr>
          <w:p>
            <w:pPr>
              <w:jc w:val="center"/>
              <w:ind w:left="4280"/>
              <w:spacing w:after="0"/>
              <w:rPr>
                <w:sz w:val="20"/>
                <w:szCs w:val="20"/>
                <w:color w:val="auto"/>
              </w:rPr>
            </w:pPr>
            <w:r>
              <w:rPr>
                <w:rFonts w:ascii="Times New Roman" w:cs="Times New Roman" w:eastAsia="Times New Roman" w:hAnsi="Times New Roman"/>
                <w:sz w:val="12"/>
                <w:szCs w:val="12"/>
                <w:color w:val="auto"/>
                <w:w w:val="99"/>
              </w:rPr>
              <w:t>(6)%</w:t>
            </w:r>
          </w:p>
        </w:tc>
        <w:tc>
          <w:tcPr>
            <w:tcW w:w="2000" w:type="dxa"/>
            <w:vAlign w:val="bottom"/>
            <w:gridSpan w:val="3"/>
            <w:shd w:val="clear" w:color="auto" w:fill="CCEEFF"/>
          </w:tcPr>
          <w:p>
            <w:pPr>
              <w:jc w:val="center"/>
              <w:ind w:left="461"/>
              <w:spacing w:after="0"/>
              <w:rPr>
                <w:sz w:val="20"/>
                <w:szCs w:val="20"/>
                <w:color w:val="auto"/>
              </w:rPr>
            </w:pPr>
            <w:r>
              <w:rPr>
                <w:rFonts w:ascii="Times New Roman" w:cs="Times New Roman" w:eastAsia="Times New Roman" w:hAnsi="Times New Roman"/>
                <w:sz w:val="12"/>
                <w:szCs w:val="12"/>
                <w:color w:val="auto"/>
                <w:w w:val="99"/>
              </w:rPr>
              <w:t>(9)%</w:t>
            </w:r>
          </w:p>
        </w:tc>
      </w:tr>
      <w:tr>
        <w:trPr>
          <w:trHeight w:val="108"/>
        </w:trPr>
        <w:tc>
          <w:tcPr>
            <w:tcW w:w="41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6"/>
              </w:rPr>
              <w:t>4,668</w:t>
            </w:r>
          </w:p>
        </w:tc>
        <w:tc>
          <w:tcPr>
            <w:tcW w:w="2000" w:type="dxa"/>
            <w:vAlign w:val="bottom"/>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rPr>
              <w:t>19,948</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5140" w:type="dxa"/>
            <w:vAlign w:val="bottom"/>
            <w:gridSpan w:val="2"/>
          </w:tcPr>
          <w:p>
            <w:pPr>
              <w:jc w:val="center"/>
              <w:ind w:left="4300"/>
              <w:spacing w:after="0"/>
              <w:rPr>
                <w:sz w:val="20"/>
                <w:szCs w:val="20"/>
                <w:color w:val="auto"/>
              </w:rPr>
            </w:pPr>
            <w:r>
              <w:rPr>
                <w:rFonts w:ascii="Times New Roman" w:cs="Times New Roman" w:eastAsia="Times New Roman" w:hAnsi="Times New Roman"/>
                <w:sz w:val="12"/>
                <w:szCs w:val="12"/>
                <w:color w:val="auto"/>
                <w:w w:val="96"/>
              </w:rPr>
              <w:t>1,808</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(Loss) Profit</w:t>
            </w:r>
          </w:p>
        </w:tc>
        <w:tc>
          <w:tcPr>
            <w:tcW w:w="40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center"/>
              <w:ind w:left="305"/>
              <w:spacing w:after="0"/>
              <w:rPr>
                <w:sz w:val="20"/>
                <w:szCs w:val="20"/>
                <w:color w:val="auto"/>
              </w:rPr>
            </w:pPr>
            <w:r>
              <w:rPr>
                <w:rFonts w:ascii="Times New Roman" w:cs="Times New Roman" w:eastAsia="Times New Roman" w:hAnsi="Times New Roman"/>
                <w:sz w:val="12"/>
                <w:szCs w:val="12"/>
                <w:color w:val="auto"/>
                <w:w w:val="97"/>
              </w:rPr>
              <w:t>(3,948)</w:t>
            </w: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6,152</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Adjusted Gross Margin</w:t>
            </w:r>
          </w:p>
        </w:tc>
        <w:tc>
          <w:tcPr>
            <w:tcW w:w="5140" w:type="dxa"/>
            <w:vAlign w:val="bottom"/>
            <w:gridSpan w:val="2"/>
          </w:tcPr>
          <w:p>
            <w:pPr>
              <w:jc w:val="center"/>
              <w:ind w:left="4280"/>
              <w:spacing w:after="0"/>
              <w:rPr>
                <w:sz w:val="20"/>
                <w:szCs w:val="20"/>
                <w:color w:val="auto"/>
              </w:rPr>
            </w:pPr>
            <w:r>
              <w:rPr>
                <w:rFonts w:ascii="Times New Roman" w:cs="Times New Roman" w:eastAsia="Times New Roman" w:hAnsi="Times New Roman"/>
                <w:sz w:val="12"/>
                <w:szCs w:val="12"/>
                <w:color w:val="auto"/>
                <w:w w:val="99"/>
              </w:rPr>
              <w:t>(2)%</w:t>
            </w:r>
          </w:p>
        </w:tc>
        <w:tc>
          <w:tcPr>
            <w:tcW w:w="2000" w:type="dxa"/>
            <w:vAlign w:val="bottom"/>
            <w:gridSpan w:val="3"/>
          </w:tcPr>
          <w:p>
            <w:pPr>
              <w:jc w:val="center"/>
              <w:ind w:left="461"/>
              <w:spacing w:after="0"/>
              <w:rPr>
                <w:sz w:val="20"/>
                <w:szCs w:val="20"/>
                <w:color w:val="auto"/>
              </w:rPr>
            </w:pPr>
            <w:r>
              <w:rPr>
                <w:rFonts w:ascii="Times New Roman" w:cs="Times New Roman" w:eastAsia="Times New Roman" w:hAnsi="Times New Roman"/>
                <w:sz w:val="12"/>
                <w:szCs w:val="12"/>
                <w:color w:val="auto"/>
                <w:w w:val="99"/>
              </w:rPr>
              <w:t>4%</w:t>
            </w:r>
          </w:p>
        </w:tc>
      </w:tr>
      <w:tr>
        <w:trPr>
          <w:trHeight w:val="108"/>
        </w:trPr>
        <w:tc>
          <w:tcPr>
            <w:tcW w:w="4160" w:type="dxa"/>
            <w:vAlign w:val="bottom"/>
            <w:shd w:val="clear" w:color="auto" w:fill="CCEEFF"/>
          </w:tcPr>
          <w:p>
            <w:pPr>
              <w:spacing w:after="0"/>
              <w:rPr>
                <w:sz w:val="9"/>
                <w:szCs w:val="9"/>
                <w:color w:val="auto"/>
              </w:rPr>
            </w:pPr>
          </w:p>
        </w:tc>
        <w:tc>
          <w:tcPr>
            <w:tcW w:w="40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Research &amp; Development</w:t>
            </w:r>
          </w:p>
        </w:tc>
        <w:tc>
          <w:tcPr>
            <w:tcW w:w="5140" w:type="dxa"/>
            <w:vAlign w:val="bottom"/>
            <w:gridSpan w:val="2"/>
          </w:tcPr>
          <w:p>
            <w:pPr>
              <w:jc w:val="center"/>
              <w:ind w:left="4300"/>
              <w:spacing w:after="0"/>
              <w:rPr>
                <w:sz w:val="20"/>
                <w:szCs w:val="20"/>
                <w:color w:val="auto"/>
              </w:rPr>
            </w:pPr>
            <w:r>
              <w:rPr>
                <w:rFonts w:ascii="Times New Roman" w:cs="Times New Roman" w:eastAsia="Times New Roman" w:hAnsi="Times New Roman"/>
                <w:sz w:val="12"/>
                <w:szCs w:val="12"/>
                <w:color w:val="auto"/>
              </w:rPr>
              <w:t>61,837</w:t>
            </w:r>
          </w:p>
        </w:tc>
        <w:tc>
          <w:tcPr>
            <w:tcW w:w="2000" w:type="dxa"/>
            <w:vAlign w:val="bottom"/>
            <w:gridSpan w:val="3"/>
          </w:tcPr>
          <w:p>
            <w:pPr>
              <w:jc w:val="center"/>
              <w:ind w:left="441"/>
              <w:spacing w:after="0"/>
              <w:rPr>
                <w:sz w:val="20"/>
                <w:szCs w:val="20"/>
                <w:color w:val="auto"/>
              </w:rPr>
            </w:pPr>
            <w:r>
              <w:rPr>
                <w:rFonts w:ascii="Times New Roman" w:cs="Times New Roman" w:eastAsia="Times New Roman" w:hAnsi="Times New Roman"/>
                <w:sz w:val="12"/>
                <w:szCs w:val="12"/>
                <w:color w:val="auto"/>
              </w:rPr>
              <w:t>82,916</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(2,692)</w:t>
            </w:r>
          </w:p>
        </w:tc>
        <w:tc>
          <w:tcPr>
            <w:tcW w:w="2000" w:type="dxa"/>
            <w:vAlign w:val="bottom"/>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rPr>
              <w:t>(40,977)</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5140" w:type="dxa"/>
            <w:vAlign w:val="bottom"/>
            <w:tcBorders>
              <w:bottom w:val="single" w:sz="8" w:color="auto"/>
            </w:tcBorders>
            <w:gridSpan w:val="2"/>
          </w:tcPr>
          <w:p>
            <w:pPr>
              <w:jc w:val="center"/>
              <w:ind w:left="4300"/>
              <w:spacing w:after="0"/>
              <w:rPr>
                <w:sz w:val="20"/>
                <w:szCs w:val="20"/>
                <w:color w:val="auto"/>
              </w:rPr>
            </w:pPr>
            <w:r>
              <w:rPr>
                <w:rFonts w:ascii="Times New Roman" w:cs="Times New Roman" w:eastAsia="Times New Roman" w:hAnsi="Times New Roman"/>
                <w:sz w:val="12"/>
                <w:szCs w:val="12"/>
                <w:color w:val="auto"/>
                <w:w w:val="97"/>
              </w:rPr>
              <w:t>(2,368)</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Research &amp; Development</w:t>
            </w:r>
          </w:p>
        </w:tc>
        <w:tc>
          <w:tcPr>
            <w:tcW w:w="5140" w:type="dxa"/>
            <w:vAlign w:val="bottom"/>
            <w:tcBorders>
              <w:bottom w:val="single" w:sz="8" w:color="auto"/>
            </w:tcBorders>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$56,777</w:t>
            </w:r>
          </w:p>
        </w:tc>
        <w:tc>
          <w:tcPr>
            <w:tcW w:w="2000" w:type="dxa"/>
            <w:vAlign w:val="bottom"/>
            <w:tcBorders>
              <w:bottom w:val="single" w:sz="8" w:color="auto"/>
            </w:tcBorders>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w w:val="97"/>
              </w:rPr>
              <w:t>$41,939</w:t>
            </w:r>
          </w:p>
        </w:tc>
      </w:tr>
      <w:tr>
        <w:trPr>
          <w:trHeight w:val="90"/>
        </w:trPr>
        <w:tc>
          <w:tcPr>
            <w:tcW w:w="416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&amp; Marketing</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103,116</w:t>
            </w:r>
          </w:p>
        </w:tc>
        <w:tc>
          <w:tcPr>
            <w:tcW w:w="2000" w:type="dxa"/>
            <w:vAlign w:val="bottom"/>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rPr>
              <w:t>82,092</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40" w:type="dxa"/>
            <w:vAlign w:val="bottom"/>
            <w:gridSpan w:val="2"/>
          </w:tcPr>
          <w:p>
            <w:pPr>
              <w:jc w:val="center"/>
              <w:ind w:left="4300"/>
              <w:spacing w:after="0"/>
              <w:rPr>
                <w:sz w:val="20"/>
                <w:szCs w:val="20"/>
                <w:color w:val="auto"/>
              </w:rPr>
            </w:pPr>
            <w:r>
              <w:rPr>
                <w:rFonts w:ascii="Times New Roman" w:cs="Times New Roman" w:eastAsia="Times New Roman" w:hAnsi="Times New Roman"/>
                <w:sz w:val="12"/>
                <w:szCs w:val="12"/>
                <w:color w:val="auto"/>
                <w:w w:val="97"/>
              </w:rPr>
              <w:t>(6,647)</w:t>
            </w:r>
          </w:p>
        </w:tc>
        <w:tc>
          <w:tcPr>
            <w:tcW w:w="2000" w:type="dxa"/>
            <w:vAlign w:val="bottom"/>
            <w:gridSpan w:val="3"/>
          </w:tcPr>
          <w:p>
            <w:pPr>
              <w:jc w:val="center"/>
              <w:ind w:left="441"/>
              <w:spacing w:after="0"/>
              <w:rPr>
                <w:sz w:val="20"/>
                <w:szCs w:val="20"/>
                <w:color w:val="auto"/>
              </w:rPr>
            </w:pPr>
            <w:r>
              <w:rPr>
                <w:rFonts w:ascii="Times New Roman" w:cs="Times New Roman" w:eastAsia="Times New Roman" w:hAnsi="Times New Roman"/>
                <w:sz w:val="12"/>
                <w:szCs w:val="12"/>
                <w:color w:val="auto"/>
              </w:rPr>
              <w:t>(23,936)</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(1,884)</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Restructuring costs</w:t>
            </w:r>
          </w:p>
        </w:tc>
        <w:tc>
          <w:tcPr>
            <w:tcW w:w="5140" w:type="dxa"/>
            <w:vAlign w:val="bottom"/>
            <w:tcBorders>
              <w:bottom w:val="single" w:sz="8" w:color="auto"/>
            </w:tcBorders>
            <w:gridSpan w:val="2"/>
          </w:tcPr>
          <w:p>
            <w:pPr>
              <w:jc w:val="center"/>
              <w:ind w:left="4300"/>
              <w:spacing w:after="0"/>
              <w:rPr>
                <w:sz w:val="20"/>
                <w:szCs w:val="20"/>
                <w:color w:val="auto"/>
              </w:rPr>
            </w:pPr>
            <w:r>
              <w:rPr>
                <w:rFonts w:ascii="Times New Roman" w:cs="Times New Roman" w:eastAsia="Times New Roman" w:hAnsi="Times New Roman"/>
                <w:sz w:val="12"/>
                <w:szCs w:val="12"/>
                <w:color w:val="auto"/>
                <w:w w:val="97"/>
              </w:rPr>
              <w:t>(4,503)</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Selling &amp; Marketing</w:t>
            </w:r>
          </w:p>
        </w:tc>
        <w:tc>
          <w:tcPr>
            <w:tcW w:w="5140" w:type="dxa"/>
            <w:vAlign w:val="bottom"/>
            <w:tcBorders>
              <w:bottom w:val="single" w:sz="8" w:color="auto"/>
            </w:tcBorders>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$90,082</w:t>
            </w:r>
          </w:p>
        </w:tc>
        <w:tc>
          <w:tcPr>
            <w:tcW w:w="2000" w:type="dxa"/>
            <w:vAlign w:val="bottom"/>
            <w:tcBorders>
              <w:bottom w:val="single" w:sz="8" w:color="auto"/>
            </w:tcBorders>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w w:val="97"/>
              </w:rPr>
              <w:t>$58,156</w:t>
            </w:r>
          </w:p>
        </w:tc>
      </w:tr>
      <w:tr>
        <w:trPr>
          <w:trHeight w:val="90"/>
        </w:trPr>
        <w:tc>
          <w:tcPr>
            <w:tcW w:w="416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&amp; Administrative &amp; Related Party Expense</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167,393</w:t>
            </w:r>
          </w:p>
        </w:tc>
        <w:tc>
          <w:tcPr>
            <w:tcW w:w="2000" w:type="dxa"/>
            <w:vAlign w:val="bottom"/>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w w:val="97"/>
              </w:rPr>
              <w:t>151,565</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40" w:type="dxa"/>
            <w:vAlign w:val="bottom"/>
            <w:gridSpan w:val="2"/>
          </w:tcPr>
          <w:p>
            <w:pPr>
              <w:jc w:val="center"/>
              <w:ind w:left="4300"/>
              <w:spacing w:after="0"/>
              <w:rPr>
                <w:sz w:val="20"/>
                <w:szCs w:val="20"/>
                <w:color w:val="auto"/>
              </w:rPr>
            </w:pPr>
            <w:r>
              <w:rPr>
                <w:rFonts w:ascii="Times New Roman" w:cs="Times New Roman" w:eastAsia="Times New Roman" w:hAnsi="Times New Roman"/>
                <w:sz w:val="12"/>
                <w:szCs w:val="12"/>
                <w:color w:val="auto"/>
              </w:rPr>
              <w:t>(27,546)</w:t>
            </w:r>
          </w:p>
        </w:tc>
        <w:tc>
          <w:tcPr>
            <w:tcW w:w="2000" w:type="dxa"/>
            <w:vAlign w:val="bottom"/>
            <w:gridSpan w:val="3"/>
          </w:tcPr>
          <w:p>
            <w:pPr>
              <w:jc w:val="center"/>
              <w:ind w:left="441"/>
              <w:spacing w:after="0"/>
              <w:rPr>
                <w:sz w:val="20"/>
                <w:szCs w:val="20"/>
                <w:color w:val="auto"/>
              </w:rPr>
            </w:pPr>
            <w:r>
              <w:rPr>
                <w:rFonts w:ascii="Times New Roman" w:cs="Times New Roman" w:eastAsia="Times New Roman" w:hAnsi="Times New Roman"/>
                <w:sz w:val="12"/>
                <w:szCs w:val="12"/>
                <w:color w:val="auto"/>
              </w:rPr>
              <w:t>(97,593)</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(3,960)</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and restructuring costs</w:t>
            </w:r>
          </w:p>
        </w:tc>
        <w:tc>
          <w:tcPr>
            <w:tcW w:w="5140" w:type="dxa"/>
            <w:vAlign w:val="bottom"/>
            <w:tcBorders>
              <w:bottom w:val="single" w:sz="8" w:color="auto"/>
            </w:tcBorders>
            <w:gridSpan w:val="2"/>
          </w:tcPr>
          <w:p>
            <w:pPr>
              <w:jc w:val="center"/>
              <w:ind w:left="4280"/>
              <w:spacing w:after="0"/>
              <w:rPr>
                <w:sz w:val="20"/>
                <w:szCs w:val="20"/>
                <w:color w:val="auto"/>
              </w:rPr>
            </w:pPr>
            <w:r>
              <w:rPr>
                <w:rFonts w:ascii="Times New Roman" w:cs="Times New Roman" w:eastAsia="Times New Roman" w:hAnsi="Times New Roman"/>
                <w:sz w:val="12"/>
                <w:szCs w:val="12"/>
                <w:color w:val="auto"/>
                <w:w w:val="97"/>
              </w:rPr>
              <w:t>(23,311)</w:t>
            </w:r>
          </w:p>
        </w:tc>
        <w:tc>
          <w:tcPr>
            <w:tcW w:w="200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2"/>
                <w:szCs w:val="12"/>
                <w:color w:val="auto"/>
                <w:w w:val="97"/>
              </w:rPr>
              <w:t>(5,496)</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General &amp; Administrative &amp; Related Party</w:t>
            </w:r>
          </w:p>
        </w:tc>
        <w:tc>
          <w:tcPr>
            <w:tcW w:w="5140" w:type="dxa"/>
            <w:vAlign w:val="bottom"/>
            <w:tcBorders>
              <w:bottom w:val="single" w:sz="8" w:color="auto"/>
            </w:tcBorders>
            <w:gridSpan w:val="2"/>
            <w:shd w:val="clear" w:color="auto" w:fill="CCEEFF"/>
          </w:tcPr>
          <w:p>
            <w:pPr>
              <w:jc w:val="center"/>
              <w:ind w:left="4280"/>
              <w:spacing w:after="0"/>
              <w:rPr>
                <w:sz w:val="20"/>
                <w:szCs w:val="20"/>
                <w:color w:val="auto"/>
              </w:rPr>
            </w:pPr>
            <w:r>
              <w:rPr>
                <w:rFonts w:ascii="Times New Roman" w:cs="Times New Roman" w:eastAsia="Times New Roman" w:hAnsi="Times New Roman"/>
                <w:sz w:val="12"/>
                <w:szCs w:val="12"/>
                <w:color w:val="auto"/>
                <w:w w:val="97"/>
              </w:rPr>
              <w:t>$112,576</w:t>
            </w:r>
          </w:p>
        </w:tc>
        <w:tc>
          <w:tcPr>
            <w:tcW w:w="2000" w:type="dxa"/>
            <w:vAlign w:val="bottom"/>
            <w:tcBorders>
              <w:bottom w:val="single" w:sz="8" w:color="auto"/>
            </w:tcBorders>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w w:val="97"/>
              </w:rPr>
              <w:t>$48,476</w:t>
            </w:r>
          </w:p>
        </w:tc>
      </w:tr>
      <w:tr>
        <w:trPr>
          <w:trHeight w:val="90"/>
        </w:trPr>
        <w:tc>
          <w:tcPr>
            <w:tcW w:w="416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Adjusted Operating Expenses</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259,435</w:t>
            </w:r>
          </w:p>
        </w:tc>
        <w:tc>
          <w:tcPr>
            <w:tcW w:w="2000" w:type="dxa"/>
            <w:vAlign w:val="bottom"/>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w w:val="97"/>
              </w:rPr>
              <w:t>148,571</w:t>
            </w:r>
          </w:p>
        </w:tc>
      </w:tr>
      <w:tr>
        <w:trPr>
          <w:trHeight w:val="108"/>
        </w:trPr>
        <w:tc>
          <w:tcPr>
            <w:tcW w:w="41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7"/>
              </w:rPr>
              <w:t>(342,770)</w:t>
            </w:r>
          </w:p>
        </w:tc>
        <w:tc>
          <w:tcPr>
            <w:tcW w:w="2000" w:type="dxa"/>
            <w:vAlign w:val="bottom"/>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w w:val="97"/>
              </w:rPr>
              <w:t>(330,369)</w:t>
            </w:r>
          </w:p>
        </w:tc>
      </w:tr>
      <w:tr>
        <w:trPr>
          <w:trHeight w:val="153"/>
        </w:trPr>
        <w:tc>
          <w:tcPr>
            <w:tcW w:w="4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5140" w:type="dxa"/>
            <w:vAlign w:val="bottom"/>
            <w:gridSpan w:val="2"/>
          </w:tcPr>
          <w:p>
            <w:pPr>
              <w:jc w:val="center"/>
              <w:ind w:left="4300"/>
              <w:spacing w:after="0"/>
              <w:rPr>
                <w:sz w:val="20"/>
                <w:szCs w:val="20"/>
                <w:color w:val="auto"/>
              </w:rPr>
            </w:pPr>
            <w:r>
              <w:rPr>
                <w:rFonts w:ascii="Times New Roman" w:cs="Times New Roman" w:eastAsia="Times New Roman" w:hAnsi="Times New Roman"/>
                <w:sz w:val="12"/>
                <w:szCs w:val="12"/>
                <w:color w:val="auto"/>
              </w:rPr>
              <w:t>41,553</w:t>
            </w:r>
          </w:p>
        </w:tc>
        <w:tc>
          <w:tcPr>
            <w:tcW w:w="2000" w:type="dxa"/>
            <w:vAlign w:val="bottom"/>
            <w:gridSpan w:val="3"/>
          </w:tcPr>
          <w:p>
            <w:pPr>
              <w:jc w:val="center"/>
              <w:ind w:left="441"/>
              <w:spacing w:after="0"/>
              <w:rPr>
                <w:sz w:val="20"/>
                <w:szCs w:val="20"/>
                <w:color w:val="auto"/>
              </w:rPr>
            </w:pPr>
            <w:r>
              <w:rPr>
                <w:rFonts w:ascii="Times New Roman" w:cs="Times New Roman" w:eastAsia="Times New Roman" w:hAnsi="Times New Roman"/>
                <w:sz w:val="12"/>
                <w:szCs w:val="12"/>
                <w:color w:val="auto"/>
                <w:w w:val="97"/>
              </w:rPr>
              <w:t>182,454</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5140" w:type="dxa"/>
            <w:vAlign w:val="bottom"/>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w w:val="96"/>
              </w:rPr>
              <w:t>5,844</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4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Transaction, acquisition, and restructuring costs</w:t>
            </w:r>
          </w:p>
        </w:tc>
        <w:tc>
          <w:tcPr>
            <w:tcW w:w="5140" w:type="dxa"/>
            <w:vAlign w:val="bottom"/>
            <w:tcBorders>
              <w:bottom w:val="single" w:sz="8" w:color="auto"/>
            </w:tcBorders>
            <w:gridSpan w:val="2"/>
          </w:tcPr>
          <w:p>
            <w:pPr>
              <w:jc w:val="center"/>
              <w:ind w:left="4300"/>
              <w:spacing w:after="0"/>
              <w:rPr>
                <w:sz w:val="20"/>
                <w:szCs w:val="20"/>
                <w:color w:val="auto"/>
              </w:rPr>
            </w:pPr>
            <w:r>
              <w:rPr>
                <w:rFonts w:ascii="Times New Roman" w:cs="Times New Roman" w:eastAsia="Times New Roman" w:hAnsi="Times New Roman"/>
                <w:sz w:val="12"/>
                <w:szCs w:val="12"/>
                <w:color w:val="auto"/>
              </w:rPr>
              <w:t>31,990</w:t>
            </w:r>
          </w:p>
        </w:tc>
        <w:tc>
          <w:tcPr>
            <w:tcW w:w="200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2"/>
                <w:szCs w:val="12"/>
                <w:color w:val="auto"/>
                <w:w w:val="96"/>
              </w:rPr>
              <w:t>5,496</w:t>
            </w:r>
          </w:p>
        </w:tc>
      </w:tr>
      <w:tr>
        <w:trPr>
          <w:trHeight w:val="158"/>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loss from operations</w:t>
            </w:r>
          </w:p>
        </w:tc>
        <w:tc>
          <w:tcPr>
            <w:tcW w:w="5140" w:type="dxa"/>
            <w:vAlign w:val="bottom"/>
            <w:tcBorders>
              <w:bottom w:val="single" w:sz="8" w:color="auto"/>
            </w:tcBorders>
            <w:gridSpan w:val="2"/>
            <w:shd w:val="clear" w:color="auto" w:fill="CCEEFF"/>
          </w:tcPr>
          <w:p>
            <w:pPr>
              <w:jc w:val="center"/>
              <w:ind w:left="4300"/>
              <w:spacing w:after="0"/>
              <w:rPr>
                <w:sz w:val="20"/>
                <w:szCs w:val="20"/>
                <w:color w:val="auto"/>
              </w:rPr>
            </w:pPr>
            <w:r>
              <w:rPr>
                <w:rFonts w:ascii="Times New Roman" w:cs="Times New Roman" w:eastAsia="Times New Roman" w:hAnsi="Times New Roman"/>
                <w:sz w:val="12"/>
                <w:szCs w:val="12"/>
                <w:color w:val="auto"/>
              </w:rPr>
              <w:t>$(263,383)</w:t>
            </w:r>
          </w:p>
        </w:tc>
        <w:tc>
          <w:tcPr>
            <w:tcW w:w="2000" w:type="dxa"/>
            <w:vAlign w:val="bottom"/>
            <w:tcBorders>
              <w:bottom w:val="single" w:sz="8" w:color="auto"/>
            </w:tcBorders>
            <w:gridSpan w:val="3"/>
            <w:shd w:val="clear" w:color="auto" w:fill="CCEEFF"/>
          </w:tcPr>
          <w:p>
            <w:pPr>
              <w:jc w:val="center"/>
              <w:ind w:left="441"/>
              <w:spacing w:after="0"/>
              <w:rPr>
                <w:sz w:val="20"/>
                <w:szCs w:val="20"/>
                <w:color w:val="auto"/>
              </w:rPr>
            </w:pPr>
            <w:r>
              <w:rPr>
                <w:rFonts w:ascii="Times New Roman" w:cs="Times New Roman" w:eastAsia="Times New Roman" w:hAnsi="Times New Roman"/>
                <w:sz w:val="12"/>
                <w:szCs w:val="12"/>
                <w:color w:val="auto"/>
              </w:rPr>
              <w:t>$(142,419)</w:t>
            </w:r>
          </w:p>
        </w:tc>
      </w:tr>
      <w:tr>
        <w:trPr>
          <w:trHeight w:val="783"/>
        </w:trPr>
        <w:tc>
          <w:tcPr>
            <w:tcW w:w="4160" w:type="dxa"/>
            <w:vAlign w:val="bottom"/>
          </w:tcPr>
          <w:p>
            <w:pPr>
              <w:spacing w:after="0"/>
              <w:rPr>
                <w:sz w:val="24"/>
                <w:szCs w:val="24"/>
                <w:color w:val="auto"/>
              </w:rPr>
            </w:pPr>
          </w:p>
        </w:tc>
        <w:tc>
          <w:tcPr>
            <w:tcW w:w="4000" w:type="dxa"/>
            <w:vAlign w:val="bottom"/>
          </w:tcPr>
          <w:p>
            <w:pPr>
              <w:jc w:val="right"/>
              <w:ind w:right="2400"/>
              <w:spacing w:after="0"/>
              <w:rPr>
                <w:sz w:val="20"/>
                <w:szCs w:val="20"/>
                <w:color w:val="auto"/>
              </w:rPr>
            </w:pPr>
            <w:r>
              <w:rPr>
                <w:rFonts w:ascii="Times New Roman" w:cs="Times New Roman" w:eastAsia="Times New Roman" w:hAnsi="Times New Roman"/>
                <w:sz w:val="12"/>
                <w:szCs w:val="12"/>
                <w:color w:val="auto"/>
              </w:rPr>
              <w:t>11</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300"/>
          </w:cols>
          <w:pgMar w:left="300" w:top="413" w:right="299" w:bottom="1440" w:gutter="0" w:footer="0" w:header="0"/>
        </w:sectPr>
      </w:pPr>
    </w:p>
    <w:bookmarkStart w:id="14" w:name="page15"/>
    <w:bookmarkEnd w:id="14"/>
    <w:p>
      <w:pPr>
        <w:jc w:val="center"/>
        <w:ind w:left="74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17145</wp:posOffset>
            </wp:positionV>
            <wp:extent cx="18516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1660" cy="5715"/>
                    </a:xfrm>
                    <a:prstGeom prst="rect">
                      <a:avLst/>
                    </a:prstGeom>
                    <a:noFill/>
                  </pic:spPr>
                </pic:pic>
              </a:graphicData>
            </a:graphic>
          </wp:anchor>
        </w:drawing>
      </w:r>
    </w:p>
    <w:p>
      <w:pPr>
        <w:spacing w:after="0" w:line="9" w:lineRule="exact"/>
        <w:rPr>
          <w:sz w:val="20"/>
          <w:szCs w:val="20"/>
          <w:color w:val="auto"/>
        </w:rPr>
      </w:pPr>
    </w:p>
    <w:p>
      <w:pPr>
        <w:ind w:left="8508"/>
        <w:spacing w:after="0"/>
        <w:tabs>
          <w:tab w:leader="none" w:pos="10008" w:val="left"/>
        </w:tabs>
        <w:rPr>
          <w:sz w:val="20"/>
          <w:szCs w:val="20"/>
          <w:color w:val="auto"/>
        </w:rPr>
      </w:pPr>
      <w:r>
        <w:rPr>
          <w:rFonts w:ascii="Times New Roman" w:cs="Times New Roman" w:eastAsia="Times New Roman" w:hAnsi="Times New Roman"/>
          <w:sz w:val="10"/>
          <w:szCs w:val="10"/>
          <w:b w:val="1"/>
          <w:bCs w:val="1"/>
          <w:color w:val="auto"/>
        </w:rPr>
        <w:t>2022</w:t>
      </w:r>
      <w:r>
        <w:rPr>
          <w:sz w:val="20"/>
          <w:szCs w:val="20"/>
          <w:color w:val="auto"/>
        </w:rPr>
        <w:tab/>
      </w:r>
      <w:r>
        <w:rPr>
          <w:rFonts w:ascii="Times New Roman" w:cs="Times New Roman" w:eastAsia="Times New Roman" w:hAnsi="Times New Roman"/>
          <w:sz w:val="10"/>
          <w:szCs w:val="1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17145</wp:posOffset>
            </wp:positionV>
            <wp:extent cx="18516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1660" cy="5715"/>
                    </a:xfrm>
                    <a:prstGeom prst="rect">
                      <a:avLst/>
                    </a:prstGeom>
                    <a:noFill/>
                  </pic:spPr>
                </pic:pic>
              </a:graphicData>
            </a:graphic>
          </wp:anchor>
        </w:drawing>
      </w:r>
    </w:p>
    <w:p>
      <w:pPr>
        <w:spacing w:after="0" w:line="9" w:lineRule="exact"/>
        <w:rPr>
          <w:sz w:val="20"/>
          <w:szCs w:val="20"/>
          <w:color w:val="auto"/>
        </w:rPr>
      </w:pPr>
    </w:p>
    <w:p>
      <w:pPr>
        <w:ind w:left="9068"/>
        <w:spacing w:after="0"/>
        <w:rPr>
          <w:sz w:val="20"/>
          <w:szCs w:val="20"/>
          <w:color w:val="auto"/>
        </w:rPr>
      </w:pPr>
      <w:r>
        <w:rPr>
          <w:rFonts w:ascii="Times New Roman" w:cs="Times New Roman" w:eastAsia="Times New Roman" w:hAnsi="Times New Roman"/>
          <w:sz w:val="10"/>
          <w:szCs w:val="10"/>
          <w:b w:val="1"/>
          <w:bCs w:val="1"/>
          <w:color w:val="auto"/>
        </w:rPr>
        <w:t>(in thousands)</w:t>
      </w:r>
    </w:p>
    <w:p>
      <w:pPr>
        <w:sectPr>
          <w:pgSz w:w="11900" w:h="16838" w:orient="portrait"/>
          <w:cols w:equalWidth="0" w:num="1">
            <w:col w:w="11168"/>
          </w:cols>
          <w:pgMar w:left="292" w:top="1392" w:right="439" w:bottom="1440" w:gutter="0" w:footer="0" w:header="0"/>
        </w:sectPr>
      </w:pPr>
    </w:p>
    <w:p>
      <w:pPr>
        <w:spacing w:after="0" w:line="30" w:lineRule="exact"/>
        <w:rPr>
          <w:sz w:val="20"/>
          <w:szCs w:val="20"/>
          <w:color w:val="auto"/>
        </w:rPr>
      </w:pPr>
    </w:p>
    <w:tbl>
      <w:tblPr>
        <w:tblLayout w:type="fixed"/>
        <w:tblInd w:w="128" w:type="dxa"/>
        <w:tblCellMar>
          <w:top w:w="0" w:type="dxa"/>
          <w:left w:w="0" w:type="dxa"/>
          <w:bottom w:w="0" w:type="dxa"/>
          <w:right w:w="0" w:type="dxa"/>
        </w:tblCellMar>
      </w:tblPr>
      <w:tr>
        <w:trPr>
          <w:trHeight w:val="150"/>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3500" w:type="dxa"/>
            <w:vAlign w:val="bottom"/>
            <w:shd w:val="clear" w:color="auto" w:fill="CCEEFF"/>
          </w:tcPr>
          <w:p>
            <w:pPr>
              <w:jc w:val="center"/>
              <w:ind w:left="2060"/>
              <w:spacing w:after="0"/>
              <w:rPr>
                <w:sz w:val="20"/>
                <w:szCs w:val="20"/>
                <w:color w:val="auto"/>
              </w:rPr>
            </w:pPr>
            <w:r>
              <w:rPr>
                <w:rFonts w:ascii="Times New Roman" w:cs="Times New Roman" w:eastAsia="Times New Roman" w:hAnsi="Times New Roman"/>
                <w:sz w:val="12"/>
                <w:szCs w:val="12"/>
                <w:color w:val="auto"/>
                <w:w w:val="97"/>
              </w:rPr>
              <w:t>$(77,581)</w:t>
            </w:r>
          </w:p>
        </w:tc>
      </w:tr>
      <w:tr>
        <w:trPr>
          <w:trHeight w:val="207"/>
        </w:trPr>
        <w:tc>
          <w:tcPr>
            <w:tcW w:w="5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Interest expense, net </w:t>
            </w:r>
            <w:r>
              <w:rPr>
                <w:rFonts w:ascii="Times New Roman" w:cs="Times New Roman" w:eastAsia="Times New Roman" w:hAnsi="Times New Roman"/>
                <w:sz w:val="15"/>
                <w:szCs w:val="15"/>
                <w:color w:val="auto"/>
                <w:vertAlign w:val="superscript"/>
              </w:rPr>
              <w:t>(1)</w:t>
            </w:r>
          </w:p>
        </w:tc>
        <w:tc>
          <w:tcPr>
            <w:tcW w:w="3500" w:type="dxa"/>
            <w:vAlign w:val="bottom"/>
          </w:tcPr>
          <w:p>
            <w:pPr>
              <w:jc w:val="center"/>
              <w:ind w:left="2060"/>
              <w:spacing w:after="0"/>
              <w:rPr>
                <w:sz w:val="20"/>
                <w:szCs w:val="20"/>
                <w:color w:val="auto"/>
              </w:rPr>
            </w:pPr>
            <w:r>
              <w:rPr>
                <w:rFonts w:ascii="Times New Roman" w:cs="Times New Roman" w:eastAsia="Times New Roman" w:hAnsi="Times New Roman"/>
                <w:sz w:val="12"/>
                <w:szCs w:val="12"/>
                <w:color w:val="auto"/>
                <w:w w:val="99"/>
              </w:rPr>
              <w:t>(190)</w:t>
            </w:r>
          </w:p>
        </w:tc>
      </w:tr>
      <w:tr>
        <w:trPr>
          <w:trHeight w:val="153"/>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tax benefit</w:t>
            </w:r>
          </w:p>
        </w:tc>
        <w:tc>
          <w:tcPr>
            <w:tcW w:w="3500" w:type="dxa"/>
            <w:vAlign w:val="bottom"/>
            <w:shd w:val="clear" w:color="auto" w:fill="CCEEFF"/>
          </w:tcPr>
          <w:p>
            <w:pPr>
              <w:jc w:val="center"/>
              <w:ind w:left="2040"/>
              <w:spacing w:after="0"/>
              <w:rPr>
                <w:sz w:val="20"/>
                <w:szCs w:val="20"/>
                <w:color w:val="auto"/>
              </w:rPr>
            </w:pPr>
            <w:r>
              <w:rPr>
                <w:rFonts w:ascii="Times New Roman" w:cs="Times New Roman" w:eastAsia="Times New Roman" w:hAnsi="Times New Roman"/>
                <w:sz w:val="12"/>
                <w:szCs w:val="12"/>
                <w:color w:val="auto"/>
                <w:w w:val="99"/>
              </w:rPr>
              <w:t>(65)</w:t>
            </w:r>
          </w:p>
        </w:tc>
      </w:tr>
      <w:tr>
        <w:trPr>
          <w:trHeight w:val="151"/>
        </w:trPr>
        <w:tc>
          <w:tcPr>
            <w:tcW w:w="5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500" w:type="dxa"/>
            <w:vAlign w:val="bottom"/>
          </w:tcPr>
          <w:p>
            <w:pPr>
              <w:jc w:val="center"/>
              <w:ind w:left="2060"/>
              <w:spacing w:after="0"/>
              <w:rPr>
                <w:sz w:val="20"/>
                <w:szCs w:val="20"/>
                <w:color w:val="auto"/>
              </w:rPr>
            </w:pPr>
            <w:r>
              <w:rPr>
                <w:rFonts w:ascii="Times New Roman" w:cs="Times New Roman" w:eastAsia="Times New Roman" w:hAnsi="Times New Roman"/>
                <w:sz w:val="12"/>
                <w:szCs w:val="12"/>
                <w:color w:val="auto"/>
              </w:rPr>
              <w:t>10,502</w:t>
            </w:r>
          </w:p>
        </w:tc>
      </w:tr>
      <w:tr>
        <w:trPr>
          <w:trHeight w:val="155"/>
        </w:trPr>
        <w:tc>
          <w:tcPr>
            <w:tcW w:w="5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500" w:type="dxa"/>
            <w:vAlign w:val="bottom"/>
          </w:tcPr>
          <w:p>
            <w:pPr>
              <w:jc w:val="center"/>
              <w:ind w:left="2060"/>
              <w:spacing w:after="0"/>
              <w:rPr>
                <w:sz w:val="20"/>
                <w:szCs w:val="20"/>
                <w:color w:val="auto"/>
              </w:rPr>
            </w:pPr>
            <w:r>
              <w:rPr>
                <w:rFonts w:ascii="Times New Roman" w:cs="Times New Roman" w:eastAsia="Times New Roman" w:hAnsi="Times New Roman"/>
                <w:sz w:val="12"/>
                <w:szCs w:val="12"/>
                <w:color w:val="auto"/>
                <w:w w:val="96"/>
              </w:rPr>
              <w:t>1,273</w:t>
            </w:r>
          </w:p>
        </w:tc>
      </w:tr>
      <w:tr>
        <w:trPr>
          <w:trHeight w:val="207"/>
        </w:trPr>
        <w:tc>
          <w:tcPr>
            <w:tcW w:w="5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Transaction, acquisition costs, and business integration costs </w:t>
            </w:r>
            <w:r>
              <w:rPr>
                <w:rFonts w:ascii="Times New Roman" w:cs="Times New Roman" w:eastAsia="Times New Roman" w:hAnsi="Times New Roman"/>
                <w:sz w:val="15"/>
                <w:szCs w:val="15"/>
                <w:color w:val="auto"/>
                <w:vertAlign w:val="superscript"/>
              </w:rPr>
              <w:t>(2)</w:t>
            </w:r>
          </w:p>
        </w:tc>
        <w:tc>
          <w:tcPr>
            <w:tcW w:w="3500" w:type="dxa"/>
            <w:vAlign w:val="bottom"/>
          </w:tcPr>
          <w:p>
            <w:pPr>
              <w:jc w:val="center"/>
              <w:ind w:left="2040"/>
              <w:spacing w:after="0"/>
              <w:rPr>
                <w:sz w:val="20"/>
                <w:szCs w:val="20"/>
                <w:color w:val="auto"/>
              </w:rPr>
            </w:pPr>
            <w:r>
              <w:rPr>
                <w:rFonts w:ascii="Times New Roman" w:cs="Times New Roman" w:eastAsia="Times New Roman" w:hAnsi="Times New Roman"/>
                <w:sz w:val="12"/>
                <w:szCs w:val="12"/>
                <w:color w:val="auto"/>
                <w:w w:val="99"/>
              </w:rPr>
              <w:t>—</w:t>
            </w:r>
          </w:p>
        </w:tc>
      </w:tr>
      <w:tr>
        <w:trPr>
          <w:trHeight w:val="207"/>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xml:space="preserve">Restructuring </w:t>
            </w:r>
            <w:r>
              <w:rPr>
                <w:rFonts w:ascii="Times New Roman" w:cs="Times New Roman" w:eastAsia="Times New Roman" w:hAnsi="Times New Roman"/>
                <w:sz w:val="15"/>
                <w:szCs w:val="15"/>
                <w:color w:val="auto"/>
                <w:vertAlign w:val="superscript"/>
              </w:rPr>
              <w:t>(3)</w:t>
            </w:r>
          </w:p>
        </w:tc>
        <w:tc>
          <w:tcPr>
            <w:tcW w:w="3500" w:type="dxa"/>
            <w:vAlign w:val="bottom"/>
            <w:shd w:val="clear" w:color="auto" w:fill="CCEEFF"/>
          </w:tcPr>
          <w:p>
            <w:pPr>
              <w:jc w:val="center"/>
              <w:ind w:left="2060"/>
              <w:spacing w:after="0"/>
              <w:rPr>
                <w:sz w:val="20"/>
                <w:szCs w:val="20"/>
                <w:color w:val="auto"/>
              </w:rPr>
            </w:pPr>
            <w:r>
              <w:rPr>
                <w:rFonts w:ascii="Times New Roman" w:cs="Times New Roman" w:eastAsia="Times New Roman" w:hAnsi="Times New Roman"/>
                <w:sz w:val="12"/>
                <w:szCs w:val="12"/>
                <w:color w:val="auto"/>
                <w:w w:val="96"/>
              </w:rPr>
              <w:t>8,993</w:t>
            </w:r>
          </w:p>
        </w:tc>
      </w:tr>
      <w:tr>
        <w:trPr>
          <w:trHeight w:val="207"/>
        </w:trPr>
        <w:tc>
          <w:tcPr>
            <w:tcW w:w="56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Change in fair market value of financial liabilities </w:t>
            </w:r>
            <w:r>
              <w:rPr>
                <w:rFonts w:ascii="Times New Roman" w:cs="Times New Roman" w:eastAsia="Times New Roman" w:hAnsi="Times New Roman"/>
                <w:sz w:val="15"/>
                <w:szCs w:val="15"/>
                <w:color w:val="auto"/>
                <w:vertAlign w:val="superscript"/>
              </w:rPr>
              <w:t>(4)</w:t>
            </w:r>
          </w:p>
        </w:tc>
        <w:tc>
          <w:tcPr>
            <w:tcW w:w="3500" w:type="dxa"/>
            <w:vAlign w:val="bottom"/>
          </w:tcPr>
          <w:p>
            <w:pPr>
              <w:jc w:val="center"/>
              <w:ind w:left="2040"/>
              <w:spacing w:after="0"/>
              <w:rPr>
                <w:sz w:val="20"/>
                <w:szCs w:val="20"/>
                <w:color w:val="auto"/>
              </w:rPr>
            </w:pPr>
            <w:r>
              <w:rPr>
                <w:rFonts w:ascii="Times New Roman" w:cs="Times New Roman" w:eastAsia="Times New Roman" w:hAnsi="Times New Roman"/>
                <w:sz w:val="12"/>
                <w:szCs w:val="12"/>
                <w:color w:val="auto"/>
                <w:w w:val="97"/>
              </w:rPr>
              <w:t>(12,978)</w:t>
            </w:r>
          </w:p>
        </w:tc>
      </w:tr>
      <w:tr>
        <w:trPr>
          <w:trHeight w:val="153"/>
        </w:trPr>
        <w:tc>
          <w:tcPr>
            <w:tcW w:w="56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income</w:t>
            </w:r>
          </w:p>
        </w:tc>
        <w:tc>
          <w:tcPr>
            <w:tcW w:w="3500" w:type="dxa"/>
            <w:vAlign w:val="bottom"/>
            <w:tcBorders>
              <w:bottom w:val="single" w:sz="8" w:color="auto"/>
            </w:tcBorders>
            <w:shd w:val="clear" w:color="auto" w:fill="CCEEFF"/>
          </w:tcPr>
          <w:p>
            <w:pPr>
              <w:jc w:val="center"/>
              <w:ind w:left="2040"/>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5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500" w:type="dxa"/>
            <w:vAlign w:val="bottom"/>
            <w:tcBorders>
              <w:bottom w:val="single" w:sz="8" w:color="auto"/>
            </w:tcBorders>
          </w:tcPr>
          <w:p>
            <w:pPr>
              <w:jc w:val="center"/>
              <w:ind w:left="2060"/>
              <w:spacing w:after="0"/>
              <w:rPr>
                <w:sz w:val="20"/>
                <w:szCs w:val="20"/>
                <w:color w:val="auto"/>
              </w:rPr>
            </w:pPr>
            <w:r>
              <w:rPr>
                <w:rFonts w:ascii="Times New Roman" w:cs="Times New Roman" w:eastAsia="Times New Roman" w:hAnsi="Times New Roman"/>
                <w:sz w:val="12"/>
                <w:szCs w:val="12"/>
                <w:b w:val="1"/>
                <w:bCs w:val="1"/>
                <w:color w:val="auto"/>
                <w:w w:val="97"/>
              </w:rPr>
              <w:t>$(70,046)</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-713740</wp:posOffset>
            </wp:positionV>
            <wp:extent cx="678942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942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$32,731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-85725</wp:posOffset>
            </wp:positionV>
            <wp:extent cx="89154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1540" cy="97155"/>
                    </a:xfrm>
                    <a:prstGeom prst="rect">
                      <a:avLst/>
                    </a:prstGeom>
                    <a:noFill/>
                  </pic:spPr>
                </pic:pic>
              </a:graphicData>
            </a:graphic>
          </wp:anchor>
        </w:drawing>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10795</wp:posOffset>
            </wp:positionV>
            <wp:extent cx="8915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1540" cy="97155"/>
                    </a:xfrm>
                    <a:prstGeom prst="rect">
                      <a:avLst/>
                    </a:prstGeom>
                    <a:noFill/>
                  </pic:spPr>
                </pic:pic>
              </a:graphicData>
            </a:graphic>
          </wp:anchor>
        </w:drawing>
      </w:r>
    </w:p>
    <w:p>
      <w:pPr>
        <w:jc w:val="center"/>
        <w:ind w:right="800"/>
        <w:spacing w:after="0"/>
        <w:rPr>
          <w:sz w:val="20"/>
          <w:szCs w:val="20"/>
          <w:color w:val="auto"/>
        </w:rPr>
      </w:pPr>
      <w:r>
        <w:rPr>
          <w:rFonts w:ascii="Times New Roman" w:cs="Times New Roman" w:eastAsia="Times New Roman" w:hAnsi="Times New Roman"/>
          <w:sz w:val="12"/>
          <w:szCs w:val="12"/>
          <w:color w:val="auto"/>
        </w:rPr>
        <w:t>—</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2"/>
          <w:szCs w:val="12"/>
          <w:color w:val="auto"/>
        </w:rPr>
        <w:t>5,491</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2"/>
          <w:szCs w:val="12"/>
          <w:color w:val="auto"/>
        </w:rPr>
        <w:t>18,011</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10795</wp:posOffset>
            </wp:positionV>
            <wp:extent cx="891540" cy="131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1540" cy="13144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10795</wp:posOffset>
            </wp:positionV>
            <wp:extent cx="89154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1540" cy="97155"/>
                    </a:xfrm>
                    <a:prstGeom prst="rect">
                      <a:avLst/>
                    </a:prstGeom>
                    <a:noFill/>
                  </pic:spPr>
                </pic:pic>
              </a:graphicData>
            </a:graphic>
          </wp:anchor>
        </w:drawing>
      </w:r>
    </w:p>
    <w:p>
      <w:pPr>
        <w:jc w:val="center"/>
        <w:ind w:right="800"/>
        <w:spacing w:after="0"/>
        <w:rPr>
          <w:sz w:val="20"/>
          <w:szCs w:val="20"/>
          <w:color w:val="auto"/>
        </w:rPr>
      </w:pPr>
      <w:r>
        <w:rPr>
          <w:rFonts w:ascii="Times New Roman" w:cs="Times New Roman" w:eastAsia="Times New Roman" w:hAnsi="Times New Roman"/>
          <w:sz w:val="12"/>
          <w:szCs w:val="12"/>
          <w:color w:val="auto"/>
        </w:rPr>
        <w:t>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9525</wp:posOffset>
            </wp:positionV>
            <wp:extent cx="8915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91540" cy="5715"/>
                    </a:xfrm>
                    <a:prstGeom prst="rect">
                      <a:avLst/>
                    </a:prstGeom>
                    <a:noFill/>
                  </pic:spPr>
                </pic:pic>
              </a:graphicData>
            </a:graphic>
          </wp:anchor>
        </w:drawing>
      </w:r>
    </w:p>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$(64,548)</w:t>
      </w:r>
    </w:p>
    <w:p>
      <w:pPr>
        <w:spacing w:after="0" w:line="57" w:lineRule="exact"/>
        <w:rPr>
          <w:sz w:val="20"/>
          <w:szCs w:val="20"/>
          <w:color w:val="auto"/>
        </w:rPr>
      </w:pPr>
    </w:p>
    <w:p>
      <w:pPr>
        <w:sectPr>
          <w:pgSz w:w="11900" w:h="16838" w:orient="portrait"/>
          <w:cols w:equalWidth="0" w:num="2">
            <w:col w:w="9308" w:space="580"/>
            <w:col w:w="1280"/>
          </w:cols>
          <w:pgMar w:left="292" w:top="1392" w:right="439" w:bottom="1440" w:gutter="0" w:footer="0" w:header="0"/>
          <w:type w:val="continuous"/>
        </w:sectPr>
      </w:pPr>
    </w:p>
    <w:tbl>
      <w:tblPr>
        <w:tblLayout w:type="fixed"/>
        <w:tblInd w:w="128" w:type="dxa"/>
        <w:tblCellMar>
          <w:top w:w="0" w:type="dxa"/>
          <w:left w:w="0" w:type="dxa"/>
          <w:bottom w:w="0" w:type="dxa"/>
          <w:right w:w="0" w:type="dxa"/>
        </w:tblCellMar>
      </w:tblPr>
      <w:tr>
        <w:trPr>
          <w:trHeight w:val="142"/>
        </w:trPr>
        <w:tc>
          <w:tcPr>
            <w:tcW w:w="594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3360" w:type="dxa"/>
            <w:vAlign w:val="bottom"/>
          </w:tcPr>
          <w:p>
            <w:pPr>
              <w:jc w:val="center"/>
              <w:ind w:left="1660"/>
              <w:spacing w:after="0"/>
              <w:rPr>
                <w:sz w:val="20"/>
                <w:szCs w:val="20"/>
                <w:color w:val="auto"/>
              </w:rPr>
            </w:pPr>
            <w:r>
              <w:rPr>
                <w:rFonts w:ascii="Times New Roman" w:cs="Times New Roman" w:eastAsia="Times New Roman" w:hAnsi="Times New Roman"/>
                <w:sz w:val="12"/>
                <w:szCs w:val="12"/>
                <w:color w:val="auto"/>
                <w:w w:val="97"/>
              </w:rPr>
              <w:t>(77,581)</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32,731</w:t>
            </w: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360" w:type="dxa"/>
            <w:vAlign w:val="bottom"/>
            <w:shd w:val="clear" w:color="auto" w:fill="CCEEFF"/>
          </w:tcPr>
          <w:p>
            <w:pPr>
              <w:jc w:val="center"/>
              <w:ind w:left="1680"/>
              <w:spacing w:after="0"/>
              <w:rPr>
                <w:sz w:val="20"/>
                <w:szCs w:val="20"/>
                <w:color w:val="auto"/>
              </w:rPr>
            </w:pPr>
            <w:r>
              <w:rPr>
                <w:rFonts w:ascii="Times New Roman" w:cs="Times New Roman" w:eastAsia="Times New Roman" w:hAnsi="Times New Roman"/>
                <w:sz w:val="12"/>
                <w:szCs w:val="12"/>
                <w:color w:val="auto"/>
                <w:w w:val="96"/>
              </w:rPr>
              <w:t>1,273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18,011</w:t>
            </w: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Acquisition Intangibles</w:t>
            </w:r>
          </w:p>
        </w:tc>
        <w:tc>
          <w:tcPr>
            <w:tcW w:w="3360" w:type="dxa"/>
            <w:vAlign w:val="bottom"/>
          </w:tcPr>
          <w:p>
            <w:pPr>
              <w:jc w:val="center"/>
              <w:ind w:left="1680"/>
              <w:spacing w:after="0"/>
              <w:rPr>
                <w:sz w:val="20"/>
                <w:szCs w:val="20"/>
                <w:color w:val="auto"/>
              </w:rPr>
            </w:pPr>
            <w:r>
              <w:rPr>
                <w:rFonts w:ascii="Times New Roman" w:cs="Times New Roman" w:eastAsia="Times New Roman" w:hAnsi="Times New Roman"/>
                <w:sz w:val="12"/>
                <w:szCs w:val="12"/>
                <w:color w:val="auto"/>
                <w:w w:val="96"/>
              </w:rPr>
              <w:t>3,507</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market value of warrant and earn-out contingent liabilities</w:t>
            </w:r>
          </w:p>
        </w:tc>
        <w:tc>
          <w:tcPr>
            <w:tcW w:w="3360" w:type="dxa"/>
            <w:vAlign w:val="bottom"/>
            <w:shd w:val="clear" w:color="auto" w:fill="CCEEFF"/>
          </w:tcPr>
          <w:p>
            <w:pPr>
              <w:jc w:val="center"/>
              <w:ind w:left="1660"/>
              <w:spacing w:after="0"/>
              <w:rPr>
                <w:sz w:val="20"/>
                <w:szCs w:val="20"/>
                <w:color w:val="auto"/>
              </w:rPr>
            </w:pPr>
            <w:r>
              <w:rPr>
                <w:rFonts w:ascii="Times New Roman" w:cs="Times New Roman" w:eastAsia="Times New Roman" w:hAnsi="Times New Roman"/>
                <w:sz w:val="12"/>
                <w:szCs w:val="12"/>
                <w:color w:val="auto"/>
                <w:w w:val="97"/>
              </w:rPr>
              <w:t>(12,978)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(122,171)</w:t>
            </w:r>
          </w:p>
        </w:tc>
      </w:tr>
      <w:tr>
        <w:trPr>
          <w:trHeight w:val="153"/>
        </w:trPr>
        <w:tc>
          <w:tcPr>
            <w:tcW w:w="5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Transaction, acquisition, and restructuring costs</w:t>
            </w:r>
          </w:p>
        </w:tc>
        <w:tc>
          <w:tcPr>
            <w:tcW w:w="3360" w:type="dxa"/>
            <w:vAlign w:val="bottom"/>
            <w:tcBorders>
              <w:bottom w:val="single" w:sz="8" w:color="auto"/>
            </w:tcBorders>
          </w:tcPr>
          <w:p>
            <w:pPr>
              <w:jc w:val="center"/>
              <w:ind w:left="1680"/>
              <w:spacing w:after="0"/>
              <w:rPr>
                <w:sz w:val="20"/>
                <w:szCs w:val="20"/>
                <w:color w:val="auto"/>
              </w:rPr>
            </w:pPr>
            <w:r>
              <w:rPr>
                <w:rFonts w:ascii="Times New Roman" w:cs="Times New Roman" w:eastAsia="Times New Roman" w:hAnsi="Times New Roman"/>
                <w:sz w:val="12"/>
                <w:szCs w:val="12"/>
                <w:color w:val="auto"/>
                <w:w w:val="96"/>
              </w:rPr>
              <w:t>8,993</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391</w:t>
            </w:r>
          </w:p>
        </w:tc>
      </w:tr>
      <w:tr>
        <w:trPr>
          <w:trHeight w:val="158"/>
        </w:trPr>
        <w:tc>
          <w:tcPr>
            <w:tcW w:w="59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Adjusted Net loss</w:t>
            </w:r>
          </w:p>
        </w:tc>
        <w:tc>
          <w:tcPr>
            <w:tcW w:w="3360" w:type="dxa"/>
            <w:vAlign w:val="bottom"/>
            <w:tcBorders>
              <w:bottom w:val="single" w:sz="8" w:color="auto"/>
            </w:tcBorders>
            <w:shd w:val="clear" w:color="auto" w:fill="CCEEFF"/>
          </w:tcPr>
          <w:p>
            <w:pPr>
              <w:jc w:val="center"/>
              <w:ind w:left="1660"/>
              <w:spacing w:after="0"/>
              <w:rPr>
                <w:sz w:val="20"/>
                <w:szCs w:val="20"/>
                <w:color w:val="auto"/>
              </w:rPr>
            </w:pPr>
            <w:r>
              <w:rPr>
                <w:rFonts w:ascii="Times New Roman" w:cs="Times New Roman" w:eastAsia="Times New Roman" w:hAnsi="Times New Roman"/>
                <w:sz w:val="12"/>
                <w:szCs w:val="12"/>
                <w:b w:val="1"/>
                <w:bCs w:val="1"/>
                <w:color w:val="auto"/>
                <w:w w:val="97"/>
              </w:rPr>
              <w:t>(76,786)</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(71,038)</w:t>
            </w:r>
          </w:p>
        </w:tc>
      </w:tr>
    </w:tbl>
    <w:p>
      <w:pPr>
        <w:spacing w:after="0" w:line="382" w:lineRule="exact"/>
        <w:rPr>
          <w:sz w:val="20"/>
          <w:szCs w:val="20"/>
          <w:color w:val="auto"/>
        </w:rPr>
      </w:pPr>
    </w:p>
    <w:p>
      <w:pPr>
        <w:ind w:left="208" w:hanging="208"/>
        <w:spacing w:after="0" w:line="272" w:lineRule="auto"/>
        <w:tabs>
          <w:tab w:leader="none" w:pos="203"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Silicon Valley Bank.</w:t>
      </w:r>
    </w:p>
    <w:p>
      <w:pPr>
        <w:ind w:left="208" w:hanging="208"/>
        <w:spacing w:after="0"/>
        <w:tabs>
          <w:tab w:leader="none" w:pos="20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professional service costs incurred in connection with pursuing the business combination transaction that did not meet the requirement for capitalization in 2021.</w:t>
      </w:r>
    </w:p>
    <w:p>
      <w:pPr>
        <w:spacing w:after="0" w:line="20"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costs incurred for restructuring activities, which include severance packages offered to impacted employees and third party consulting costs incurred in the third quarter of 2022.</w:t>
      </w:r>
    </w:p>
    <w:p>
      <w:pPr>
        <w:spacing w:after="0" w:line="20" w:lineRule="exact"/>
        <w:rPr>
          <w:rFonts w:ascii="Times New Roman" w:cs="Times New Roman" w:eastAsia="Times New Roman" w:hAnsi="Times New Roman"/>
          <w:sz w:val="10"/>
          <w:szCs w:val="10"/>
          <w:color w:val="auto"/>
        </w:rPr>
      </w:pPr>
    </w:p>
    <w:p>
      <w:pPr>
        <w:ind w:left="208" w:right="160" w:hanging="208"/>
        <w:spacing w:after="0" w:line="299" w:lineRule="auto"/>
        <w:tabs>
          <w:tab w:leader="none" w:pos="203"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change primarily in fair market value of the liabilities associated with our Milestone Payments contingent liability based on the achievement of GeneDx revenue-based milestones of $10.6 million. Included in this amount is also public warrants and private placement warrants and the earn-out shares issuable under the terms of the merger agreement related to our business combination with CMLS.</w:t>
      </w:r>
    </w:p>
    <w:p>
      <w:pPr>
        <w:spacing w:after="0" w:line="200" w:lineRule="exact"/>
        <w:rPr>
          <w:sz w:val="20"/>
          <w:szCs w:val="20"/>
          <w:color w:val="auto"/>
        </w:rPr>
      </w:pPr>
    </w:p>
    <w:p>
      <w:pPr>
        <w:spacing w:after="0" w:line="210"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168"/>
          </w:cols>
          <w:pgMar w:left="292" w:top="1392" w:right="439" w:bottom="1440" w:gutter="0" w:footer="0" w:header="0"/>
          <w:type w:val="continuous"/>
        </w:sectPr>
      </w:pPr>
    </w:p>
    <w:bookmarkStart w:id="15" w:name="page16"/>
    <w:bookmarkEnd w:id="15"/>
    <w:p>
      <w:pPr>
        <w:jc w:val="center"/>
        <w:ind w:left="742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17145</wp:posOffset>
            </wp:positionV>
            <wp:extent cx="18516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1660" cy="5715"/>
                    </a:xfrm>
                    <a:prstGeom prst="rect">
                      <a:avLst/>
                    </a:prstGeom>
                    <a:noFill/>
                  </pic:spPr>
                </pic:pic>
              </a:graphicData>
            </a:graphic>
          </wp:anchor>
        </w:drawing>
      </w:r>
    </w:p>
    <w:p>
      <w:pPr>
        <w:spacing w:after="0" w:line="9" w:lineRule="exact"/>
        <w:rPr>
          <w:sz w:val="20"/>
          <w:szCs w:val="20"/>
          <w:color w:val="auto"/>
        </w:rPr>
      </w:pPr>
    </w:p>
    <w:p>
      <w:pPr>
        <w:ind w:left="8508"/>
        <w:spacing w:after="0"/>
        <w:tabs>
          <w:tab w:leader="none" w:pos="10008" w:val="left"/>
        </w:tabs>
        <w:rPr>
          <w:sz w:val="20"/>
          <w:szCs w:val="20"/>
          <w:color w:val="auto"/>
        </w:rPr>
      </w:pPr>
      <w:r>
        <w:rPr>
          <w:rFonts w:ascii="Times New Roman" w:cs="Times New Roman" w:eastAsia="Times New Roman" w:hAnsi="Times New Roman"/>
          <w:sz w:val="10"/>
          <w:szCs w:val="10"/>
          <w:b w:val="1"/>
          <w:bCs w:val="1"/>
          <w:color w:val="auto"/>
        </w:rPr>
        <w:t>2022</w:t>
      </w:r>
      <w:r>
        <w:rPr>
          <w:sz w:val="20"/>
          <w:szCs w:val="20"/>
          <w:color w:val="auto"/>
        </w:rPr>
        <w:tab/>
      </w:r>
      <w:r>
        <w:rPr>
          <w:rFonts w:ascii="Times New Roman" w:cs="Times New Roman" w:eastAsia="Times New Roman" w:hAnsi="Times New Roman"/>
          <w:sz w:val="10"/>
          <w:szCs w:val="10"/>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17145</wp:posOffset>
            </wp:positionV>
            <wp:extent cx="18516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1660" cy="5715"/>
                    </a:xfrm>
                    <a:prstGeom prst="rect">
                      <a:avLst/>
                    </a:prstGeom>
                    <a:noFill/>
                  </pic:spPr>
                </pic:pic>
              </a:graphicData>
            </a:graphic>
          </wp:anchor>
        </w:drawing>
      </w:r>
    </w:p>
    <w:p>
      <w:pPr>
        <w:spacing w:after="0" w:line="9" w:lineRule="exact"/>
        <w:rPr>
          <w:sz w:val="20"/>
          <w:szCs w:val="20"/>
          <w:color w:val="auto"/>
        </w:rPr>
      </w:pPr>
    </w:p>
    <w:p>
      <w:pPr>
        <w:ind w:left="9068"/>
        <w:spacing w:after="0"/>
        <w:rPr>
          <w:sz w:val="20"/>
          <w:szCs w:val="20"/>
          <w:color w:val="auto"/>
        </w:rPr>
      </w:pPr>
      <w:r>
        <w:rPr>
          <w:rFonts w:ascii="Times New Roman" w:cs="Times New Roman" w:eastAsia="Times New Roman" w:hAnsi="Times New Roman"/>
          <w:sz w:val="10"/>
          <w:szCs w:val="10"/>
          <w:b w:val="1"/>
          <w:bCs w:val="1"/>
          <w:color w:val="auto"/>
        </w:rPr>
        <w:t>(in thousands)</w:t>
      </w:r>
    </w:p>
    <w:p>
      <w:pPr>
        <w:sectPr>
          <w:pgSz w:w="11900" w:h="16838" w:orient="portrait"/>
          <w:cols w:equalWidth="0" w:num="1">
            <w:col w:w="11168"/>
          </w:cols>
          <w:pgMar w:left="292" w:top="1230" w:right="439" w:bottom="1440" w:gutter="0" w:footer="0" w:header="0"/>
        </w:sectPr>
      </w:pPr>
    </w:p>
    <w:p>
      <w:pPr>
        <w:spacing w:after="0" w:line="22" w:lineRule="exact"/>
        <w:rPr>
          <w:sz w:val="20"/>
          <w:szCs w:val="20"/>
          <w:color w:val="auto"/>
        </w:rPr>
      </w:pPr>
    </w:p>
    <w:tbl>
      <w:tblPr>
        <w:tblLayout w:type="fixed"/>
        <w:tblInd w:w="128" w:type="dxa"/>
        <w:tblCellMar>
          <w:top w:w="0" w:type="dxa"/>
          <w:left w:w="0" w:type="dxa"/>
          <w:bottom w:w="0" w:type="dxa"/>
          <w:right w:w="0" w:type="dxa"/>
        </w:tblCellMar>
      </w:tblPr>
      <w:tr>
        <w:trPr>
          <w:trHeight w:val="159"/>
        </w:trPr>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5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rPr>
              <w:t>$(240,219)</w:t>
            </w:r>
          </w:p>
        </w:tc>
      </w:tr>
      <w:tr>
        <w:trPr>
          <w:trHeight w:val="207"/>
        </w:trPr>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Interest expense, net </w:t>
            </w:r>
            <w:r>
              <w:rPr>
                <w:rFonts w:ascii="Times New Roman" w:cs="Times New Roman" w:eastAsia="Times New Roman" w:hAnsi="Times New Roman"/>
                <w:sz w:val="15"/>
                <w:szCs w:val="15"/>
                <w:color w:val="auto"/>
                <w:vertAlign w:val="superscript"/>
              </w:rPr>
              <w:t>(1)</w:t>
            </w:r>
          </w:p>
        </w:tc>
        <w:tc>
          <w:tcPr>
            <w:tcW w:w="35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w w:val="99"/>
              </w:rPr>
              <w:t>999</w:t>
            </w:r>
          </w:p>
        </w:tc>
      </w:tr>
      <w:tr>
        <w:trPr>
          <w:trHeight w:val="153"/>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tax benefit</w:t>
            </w:r>
          </w:p>
        </w:tc>
        <w:tc>
          <w:tcPr>
            <w:tcW w:w="3520" w:type="dxa"/>
            <w:vAlign w:val="bottom"/>
            <w:shd w:val="clear" w:color="auto" w:fill="CCEEFF"/>
          </w:tcPr>
          <w:p>
            <w:pPr>
              <w:jc w:val="center"/>
              <w:ind w:left="2060"/>
              <w:spacing w:after="0"/>
              <w:rPr>
                <w:sz w:val="20"/>
                <w:szCs w:val="20"/>
                <w:color w:val="auto"/>
              </w:rPr>
            </w:pPr>
            <w:r>
              <w:rPr>
                <w:rFonts w:ascii="Times New Roman" w:cs="Times New Roman" w:eastAsia="Times New Roman" w:hAnsi="Times New Roman"/>
                <w:sz w:val="12"/>
                <w:szCs w:val="12"/>
                <w:color w:val="auto"/>
                <w:w w:val="97"/>
              </w:rPr>
              <w:t>(49,142)</w:t>
            </w:r>
          </w:p>
        </w:tc>
      </w:tr>
      <w:tr>
        <w:trPr>
          <w:trHeight w:val="151"/>
        </w:trPr>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5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rPr>
              <w:t>25,269</w:t>
            </w:r>
          </w:p>
        </w:tc>
      </w:tr>
      <w:tr>
        <w:trPr>
          <w:trHeight w:val="155"/>
        </w:trPr>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5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rPr>
              <w:t>41,553</w:t>
            </w:r>
          </w:p>
        </w:tc>
      </w:tr>
      <w:tr>
        <w:trPr>
          <w:trHeight w:val="207"/>
        </w:trPr>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Transaction, acquisition costs, and business integration costs </w:t>
            </w:r>
            <w:r>
              <w:rPr>
                <w:rFonts w:ascii="Times New Roman" w:cs="Times New Roman" w:eastAsia="Times New Roman" w:hAnsi="Times New Roman"/>
                <w:sz w:val="15"/>
                <w:szCs w:val="15"/>
                <w:color w:val="auto"/>
                <w:vertAlign w:val="superscript"/>
              </w:rPr>
              <w:t>(2)</w:t>
            </w:r>
          </w:p>
        </w:tc>
        <w:tc>
          <w:tcPr>
            <w:tcW w:w="3520" w:type="dxa"/>
            <w:vAlign w:val="bottom"/>
          </w:tcPr>
          <w:p>
            <w:pPr>
              <w:jc w:val="center"/>
              <w:ind w:left="2080"/>
              <w:spacing w:after="0"/>
              <w:rPr>
                <w:sz w:val="20"/>
                <w:szCs w:val="20"/>
                <w:color w:val="auto"/>
              </w:rPr>
            </w:pPr>
            <w:r>
              <w:rPr>
                <w:rFonts w:ascii="Times New Roman" w:cs="Times New Roman" w:eastAsia="Times New Roman" w:hAnsi="Times New Roman"/>
                <w:sz w:val="12"/>
                <w:szCs w:val="12"/>
                <w:color w:val="auto"/>
              </w:rPr>
              <w:t>13,436</w:t>
            </w:r>
          </w:p>
        </w:tc>
      </w:tr>
      <w:tr>
        <w:trPr>
          <w:trHeight w:val="207"/>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xml:space="preserve">Restructuring </w:t>
            </w:r>
            <w:r>
              <w:rPr>
                <w:rFonts w:ascii="Times New Roman" w:cs="Times New Roman" w:eastAsia="Times New Roman" w:hAnsi="Times New Roman"/>
                <w:sz w:val="15"/>
                <w:szCs w:val="15"/>
                <w:color w:val="auto"/>
                <w:vertAlign w:val="superscript"/>
              </w:rPr>
              <w:t>(3)</w:t>
            </w:r>
          </w:p>
        </w:tc>
        <w:tc>
          <w:tcPr>
            <w:tcW w:w="3520" w:type="dxa"/>
            <w:vAlign w:val="bottom"/>
            <w:shd w:val="clear" w:color="auto" w:fill="CCEEFF"/>
          </w:tcPr>
          <w:p>
            <w:pPr>
              <w:jc w:val="center"/>
              <w:ind w:left="2080"/>
              <w:spacing w:after="0"/>
              <w:rPr>
                <w:sz w:val="20"/>
                <w:szCs w:val="20"/>
                <w:color w:val="auto"/>
              </w:rPr>
            </w:pPr>
            <w:r>
              <w:rPr>
                <w:rFonts w:ascii="Times New Roman" w:cs="Times New Roman" w:eastAsia="Times New Roman" w:hAnsi="Times New Roman"/>
                <w:sz w:val="12"/>
                <w:szCs w:val="12"/>
                <w:color w:val="auto"/>
              </w:rPr>
              <w:t>18,554</w:t>
            </w:r>
          </w:p>
        </w:tc>
      </w:tr>
      <w:tr>
        <w:trPr>
          <w:trHeight w:val="207"/>
        </w:trPr>
        <w:tc>
          <w:tcPr>
            <w:tcW w:w="56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Change in fair market value of financial liabilities </w:t>
            </w:r>
            <w:r>
              <w:rPr>
                <w:rFonts w:ascii="Times New Roman" w:cs="Times New Roman" w:eastAsia="Times New Roman" w:hAnsi="Times New Roman"/>
                <w:sz w:val="15"/>
                <w:szCs w:val="15"/>
                <w:color w:val="auto"/>
                <w:vertAlign w:val="superscript"/>
              </w:rPr>
              <w:t>(4)</w:t>
            </w:r>
          </w:p>
        </w:tc>
        <w:tc>
          <w:tcPr>
            <w:tcW w:w="3520" w:type="dxa"/>
            <w:vAlign w:val="bottom"/>
          </w:tcPr>
          <w:p>
            <w:pPr>
              <w:jc w:val="center"/>
              <w:ind w:left="2060"/>
              <w:spacing w:after="0"/>
              <w:rPr>
                <w:sz w:val="20"/>
                <w:szCs w:val="20"/>
                <w:color w:val="auto"/>
              </w:rPr>
            </w:pPr>
            <w:r>
              <w:rPr>
                <w:rFonts w:ascii="Times New Roman" w:cs="Times New Roman" w:eastAsia="Times New Roman" w:hAnsi="Times New Roman"/>
                <w:sz w:val="12"/>
                <w:szCs w:val="12"/>
                <w:color w:val="auto"/>
                <w:w w:val="97"/>
              </w:rPr>
              <w:t>(54,350)</w:t>
            </w:r>
          </w:p>
        </w:tc>
      </w:tr>
      <w:tr>
        <w:trPr>
          <w:trHeight w:val="207"/>
        </w:trPr>
        <w:tc>
          <w:tcPr>
            <w:tcW w:w="5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xml:space="preserve">Other income </w:t>
            </w:r>
            <w:r>
              <w:rPr>
                <w:rFonts w:ascii="Times New Roman" w:cs="Times New Roman" w:eastAsia="Times New Roman" w:hAnsi="Times New Roman"/>
                <w:sz w:val="15"/>
                <w:szCs w:val="15"/>
                <w:color w:val="auto"/>
                <w:vertAlign w:val="superscript"/>
              </w:rPr>
              <w:t>(5)</w:t>
            </w:r>
          </w:p>
        </w:tc>
        <w:tc>
          <w:tcPr>
            <w:tcW w:w="3520" w:type="dxa"/>
            <w:vAlign w:val="bottom"/>
            <w:tcBorders>
              <w:bottom w:val="single" w:sz="8" w:color="auto"/>
            </w:tcBorders>
            <w:shd w:val="clear" w:color="auto" w:fill="CCEEFF"/>
          </w:tcPr>
          <w:p>
            <w:pPr>
              <w:jc w:val="center"/>
              <w:ind w:left="2060"/>
              <w:spacing w:after="0"/>
              <w:rPr>
                <w:sz w:val="20"/>
                <w:szCs w:val="20"/>
                <w:color w:val="auto"/>
              </w:rPr>
            </w:pPr>
            <w:r>
              <w:rPr>
                <w:rFonts w:ascii="Times New Roman" w:cs="Times New Roman" w:eastAsia="Times New Roman" w:hAnsi="Times New Roman"/>
                <w:sz w:val="12"/>
                <w:szCs w:val="12"/>
                <w:color w:val="auto"/>
                <w:w w:val="99"/>
              </w:rPr>
              <w:t>(56)</w:t>
            </w:r>
          </w:p>
        </w:tc>
      </w:tr>
      <w:tr>
        <w:trPr>
          <w:trHeight w:val="142"/>
        </w:trPr>
        <w:tc>
          <w:tcPr>
            <w:tcW w:w="5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520" w:type="dxa"/>
            <w:vAlign w:val="bottom"/>
            <w:tcBorders>
              <w:bottom w:val="single" w:sz="8" w:color="auto"/>
            </w:tcBorders>
          </w:tcPr>
          <w:p>
            <w:pPr>
              <w:jc w:val="center"/>
              <w:ind w:left="2080"/>
              <w:spacing w:after="0"/>
              <w:rPr>
                <w:sz w:val="20"/>
                <w:szCs w:val="20"/>
                <w:color w:val="auto"/>
              </w:rPr>
            </w:pPr>
            <w:r>
              <w:rPr>
                <w:rFonts w:ascii="Times New Roman" w:cs="Times New Roman" w:eastAsia="Times New Roman" w:hAnsi="Times New Roman"/>
                <w:sz w:val="12"/>
                <w:szCs w:val="12"/>
                <w:b w:val="1"/>
                <w:bCs w:val="1"/>
                <w:color w:val="auto"/>
              </w:rPr>
              <w:t>$(243,956)</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-1170940</wp:posOffset>
            </wp:positionV>
            <wp:extent cx="678942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9420" cy="9715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-748030</wp:posOffset>
            </wp:positionV>
            <wp:extent cx="678942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8942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$(205,205)</w:t>
      </w:r>
    </w:p>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2,071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10795</wp:posOffset>
            </wp:positionV>
            <wp:extent cx="8915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91540" cy="97155"/>
                    </a:xfrm>
                    <a:prstGeom prst="rect">
                      <a:avLst/>
                    </a:prstGeom>
                    <a:noFill/>
                  </pic:spPr>
                </pic:pic>
              </a:graphicData>
            </a:graphic>
          </wp:anchor>
        </w:drawing>
      </w:r>
    </w:p>
    <w:p>
      <w:pPr>
        <w:jc w:val="center"/>
        <w:ind w:right="780"/>
        <w:spacing w:after="0"/>
        <w:rPr>
          <w:sz w:val="20"/>
          <w:szCs w:val="20"/>
          <w:color w:val="auto"/>
        </w:rPr>
      </w:pPr>
      <w:r>
        <w:rPr>
          <w:rFonts w:ascii="Times New Roman" w:cs="Times New Roman" w:eastAsia="Times New Roman" w:hAnsi="Times New Roman"/>
          <w:sz w:val="12"/>
          <w:szCs w:val="12"/>
          <w:color w:val="auto"/>
        </w:rPr>
        <w:t>—</w:t>
      </w:r>
    </w:p>
    <w:p>
      <w:pPr>
        <w:spacing w:after="0" w:line="1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16,012</w:t>
      </w:r>
    </w:p>
    <w:p>
      <w:pPr>
        <w:spacing w:after="0" w:line="1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182,454</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5,496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10795</wp:posOffset>
            </wp:positionV>
            <wp:extent cx="891540" cy="131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91540" cy="131445"/>
                    </a:xfrm>
                    <a:prstGeom prst="rect">
                      <a:avLst/>
                    </a:prstGeom>
                    <a:noFill/>
                  </pic:spPr>
                </pic:pic>
              </a:graphicData>
            </a:graphic>
          </wp:anchor>
        </w:drawing>
      </w:r>
    </w:p>
    <w:p>
      <w:pPr>
        <w:spacing w:after="0" w:line="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(122,171)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10795</wp:posOffset>
            </wp:positionV>
            <wp:extent cx="891540" cy="131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91540" cy="131445"/>
                    </a:xfrm>
                    <a:prstGeom prst="rect">
                      <a:avLst/>
                    </a:prstGeom>
                    <a:noFill/>
                  </pic:spPr>
                </pic:pic>
              </a:graphicData>
            </a:graphic>
          </wp:anchor>
        </w:drawing>
      </w:r>
    </w:p>
    <w:p>
      <w:pPr>
        <w:spacing w:after="0" w:line="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(5,241)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10795</wp:posOffset>
            </wp:positionV>
            <wp:extent cx="8915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154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b w:val="1"/>
          <w:bCs w:val="1"/>
          <w:color w:val="auto"/>
        </w:rPr>
        <w:t>$(126,584)</w:t>
      </w:r>
    </w:p>
    <w:p>
      <w:pPr>
        <w:spacing w:after="0" w:line="69" w:lineRule="exact"/>
        <w:rPr>
          <w:sz w:val="20"/>
          <w:szCs w:val="20"/>
          <w:color w:val="auto"/>
        </w:rPr>
      </w:pPr>
    </w:p>
    <w:p>
      <w:pPr>
        <w:sectPr>
          <w:pgSz w:w="11900" w:h="16838" w:orient="portrait"/>
          <w:cols w:equalWidth="0" w:num="2">
            <w:col w:w="9308" w:space="560"/>
            <w:col w:w="1300"/>
          </w:cols>
          <w:pgMar w:left="292" w:top="1230" w:right="439" w:bottom="1440" w:gutter="0" w:footer="0" w:header="0"/>
          <w:type w:val="continuous"/>
        </w:sectPr>
      </w:pPr>
    </w:p>
    <w:tbl>
      <w:tblPr>
        <w:tblLayout w:type="fixed"/>
        <w:tblInd w:w="128" w:type="dxa"/>
        <w:tblCellMar>
          <w:top w:w="0" w:type="dxa"/>
          <w:left w:w="0" w:type="dxa"/>
          <w:bottom w:w="0" w:type="dxa"/>
          <w:right w:w="0" w:type="dxa"/>
        </w:tblCellMar>
      </w:tblPr>
      <w:tr>
        <w:trPr>
          <w:trHeight w:val="142"/>
        </w:trPr>
        <w:tc>
          <w:tcPr>
            <w:tcW w:w="5920" w:type="dxa"/>
            <w:vAlign w:val="bottom"/>
            <w:tcBorders>
              <w:top w:val="single" w:sz="8" w:color="CCEEFF"/>
            </w:tcBorders>
            <w:shd w:val="clear" w:color="auto" w:fill="CCEEFF"/>
          </w:tcPr>
          <w:p>
            <w:pPr>
              <w:spacing w:after="0"/>
              <w:rPr>
                <w:sz w:val="12"/>
                <w:szCs w:val="12"/>
                <w:color w:val="auto"/>
              </w:rPr>
            </w:pPr>
          </w:p>
        </w:tc>
        <w:tc>
          <w:tcPr>
            <w:tcW w:w="33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r>
      <w:tr>
        <w:trPr>
          <w:trHeight w:val="153"/>
        </w:trPr>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380" w:type="dxa"/>
            <w:vAlign w:val="bottom"/>
          </w:tcPr>
          <w:p>
            <w:pPr>
              <w:jc w:val="center"/>
              <w:ind w:left="1700"/>
              <w:spacing w:after="0"/>
              <w:rPr>
                <w:sz w:val="20"/>
                <w:szCs w:val="20"/>
                <w:color w:val="auto"/>
              </w:rPr>
            </w:pPr>
            <w:r>
              <w:rPr>
                <w:rFonts w:ascii="Times New Roman" w:cs="Times New Roman" w:eastAsia="Times New Roman" w:hAnsi="Times New Roman"/>
                <w:sz w:val="12"/>
                <w:szCs w:val="12"/>
                <w:color w:val="auto"/>
                <w:w w:val="97"/>
              </w:rPr>
              <w:t>(240,219)</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(205,205)</w:t>
            </w:r>
          </w:p>
        </w:tc>
      </w:tr>
      <w:tr>
        <w:trPr>
          <w:trHeight w:val="15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380" w:type="dxa"/>
            <w:vAlign w:val="bottom"/>
            <w:shd w:val="clear" w:color="auto" w:fill="CCEEFF"/>
          </w:tcPr>
          <w:p>
            <w:pPr>
              <w:jc w:val="center"/>
              <w:ind w:left="1700"/>
              <w:spacing w:after="0"/>
              <w:rPr>
                <w:sz w:val="20"/>
                <w:szCs w:val="20"/>
                <w:color w:val="auto"/>
              </w:rPr>
            </w:pPr>
            <w:r>
              <w:rPr>
                <w:rFonts w:ascii="Times New Roman" w:cs="Times New Roman" w:eastAsia="Times New Roman" w:hAnsi="Times New Roman"/>
                <w:sz w:val="12"/>
                <w:szCs w:val="12"/>
                <w:color w:val="auto"/>
              </w:rPr>
              <w:t>41,553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182,454</w:t>
            </w:r>
          </w:p>
        </w:tc>
      </w:tr>
      <w:tr>
        <w:trPr>
          <w:trHeight w:val="153"/>
        </w:trPr>
        <w:tc>
          <w:tcPr>
            <w:tcW w:w="5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Acquisition Intangibles</w:t>
            </w:r>
          </w:p>
        </w:tc>
        <w:tc>
          <w:tcPr>
            <w:tcW w:w="3380" w:type="dxa"/>
            <w:vAlign w:val="bottom"/>
          </w:tcPr>
          <w:p>
            <w:pPr>
              <w:jc w:val="center"/>
              <w:ind w:left="1700"/>
              <w:spacing w:after="0"/>
              <w:rPr>
                <w:sz w:val="20"/>
                <w:szCs w:val="20"/>
                <w:color w:val="auto"/>
              </w:rPr>
            </w:pPr>
            <w:r>
              <w:rPr>
                <w:rFonts w:ascii="Times New Roman" w:cs="Times New Roman" w:eastAsia="Times New Roman" w:hAnsi="Times New Roman"/>
                <w:sz w:val="12"/>
                <w:szCs w:val="12"/>
                <w:color w:val="auto"/>
                <w:w w:val="96"/>
              </w:rPr>
              <w:t>5,844</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market value of warrant and earn-out contingent liabilities</w:t>
            </w:r>
          </w:p>
        </w:tc>
        <w:tc>
          <w:tcPr>
            <w:tcW w:w="3380" w:type="dxa"/>
            <w:vAlign w:val="bottom"/>
            <w:shd w:val="clear" w:color="auto" w:fill="CCEEFF"/>
          </w:tcPr>
          <w:p>
            <w:pPr>
              <w:jc w:val="center"/>
              <w:ind w:left="1680"/>
              <w:spacing w:after="0"/>
              <w:rPr>
                <w:sz w:val="20"/>
                <w:szCs w:val="20"/>
                <w:color w:val="auto"/>
              </w:rPr>
            </w:pPr>
            <w:r>
              <w:rPr>
                <w:rFonts w:ascii="Times New Roman" w:cs="Times New Roman" w:eastAsia="Times New Roman" w:hAnsi="Times New Roman"/>
                <w:sz w:val="12"/>
                <w:szCs w:val="12"/>
                <w:color w:val="auto"/>
                <w:w w:val="97"/>
              </w:rPr>
              <w:t>(54,350)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(122,171)</w:t>
            </w:r>
          </w:p>
        </w:tc>
      </w:tr>
      <w:tr>
        <w:trPr>
          <w:trHeight w:val="153"/>
        </w:trPr>
        <w:tc>
          <w:tcPr>
            <w:tcW w:w="5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Transaction, acquisition, and restructuring costs</w:t>
            </w:r>
          </w:p>
        </w:tc>
        <w:tc>
          <w:tcPr>
            <w:tcW w:w="3380" w:type="dxa"/>
            <w:vAlign w:val="bottom"/>
            <w:tcBorders>
              <w:bottom w:val="single" w:sz="8" w:color="auto"/>
            </w:tcBorders>
          </w:tcPr>
          <w:p>
            <w:pPr>
              <w:jc w:val="center"/>
              <w:ind w:left="1700"/>
              <w:spacing w:after="0"/>
              <w:rPr>
                <w:sz w:val="20"/>
                <w:szCs w:val="20"/>
                <w:color w:val="auto"/>
              </w:rPr>
            </w:pPr>
            <w:r>
              <w:rPr>
                <w:rFonts w:ascii="Times New Roman" w:cs="Times New Roman" w:eastAsia="Times New Roman" w:hAnsi="Times New Roman"/>
                <w:sz w:val="12"/>
                <w:szCs w:val="12"/>
                <w:color w:val="auto"/>
              </w:rPr>
              <w:t>31,990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5,496</w:t>
            </w:r>
          </w:p>
        </w:tc>
      </w:tr>
      <w:tr>
        <w:trPr>
          <w:trHeight w:val="158"/>
        </w:trPr>
        <w:tc>
          <w:tcPr>
            <w:tcW w:w="59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Adjusted Net loss</w:t>
            </w:r>
          </w:p>
        </w:tc>
        <w:tc>
          <w:tcPr>
            <w:tcW w:w="3380" w:type="dxa"/>
            <w:vAlign w:val="bottom"/>
            <w:tcBorders>
              <w:bottom w:val="single" w:sz="8" w:color="auto"/>
            </w:tcBorders>
            <w:shd w:val="clear" w:color="auto" w:fill="CCEEFF"/>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7"/>
              </w:rPr>
              <w:t>(215,182)</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(139,426)</w:t>
            </w:r>
          </w:p>
        </w:tc>
      </w:tr>
    </w:tbl>
    <w:p>
      <w:pPr>
        <w:spacing w:after="0" w:line="382" w:lineRule="exact"/>
        <w:rPr>
          <w:sz w:val="20"/>
          <w:szCs w:val="20"/>
          <w:color w:val="auto"/>
        </w:rPr>
      </w:pPr>
    </w:p>
    <w:p>
      <w:pPr>
        <w:ind w:left="208" w:hanging="208"/>
        <w:spacing w:after="0" w:line="272" w:lineRule="auto"/>
        <w:tabs>
          <w:tab w:leader="none" w:pos="20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Silicon Valley Bank.</w:t>
      </w:r>
    </w:p>
    <w:p>
      <w:pPr>
        <w:ind w:left="208" w:right="160" w:hanging="208"/>
        <w:spacing w:after="0" w:line="281" w:lineRule="auto"/>
        <w:tabs>
          <w:tab w:leader="none" w:pos="20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professional service costs incurred in connection with pursuing the business combination transaction that did not meet the requirement for capitalization in 2021. For the period of 2022, this represents professional service costs incurred in connection with the Acquisition transaction, which include due diligence, legal and business integration costs.</w:t>
      </w: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costs incurred for restructuring activities, which include severance packages offered to impacted employees and third party consulting costs incurred in the period of 2022.</w:t>
      </w:r>
    </w:p>
    <w:p>
      <w:pPr>
        <w:spacing w:after="0" w:line="20" w:lineRule="exact"/>
        <w:rPr>
          <w:rFonts w:ascii="Times New Roman" w:cs="Times New Roman" w:eastAsia="Times New Roman" w:hAnsi="Times New Roman"/>
          <w:sz w:val="10"/>
          <w:szCs w:val="10"/>
          <w:color w:val="auto"/>
        </w:rPr>
      </w:pPr>
    </w:p>
    <w:p>
      <w:pPr>
        <w:ind w:left="208" w:right="160" w:hanging="208"/>
        <w:spacing w:after="0" w:line="272" w:lineRule="auto"/>
        <w:tabs>
          <w:tab w:leader="none" w:pos="20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change primarily in fair market value of the liabilities associated with our Milestone Payments contingent liability based on the achievement of GeneDx revenue-based milestones of $27.6 million. Included in this amount is also public warrants and private placement warrants and the earn-out shares issuable under the terms of the merger agreement related to our business combination with CMLS.</w:t>
      </w: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nine months ended September 30, 2021, the amount represents funding received under the CARES Act Provider Relief Fund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168"/>
          </w:cols>
          <w:pgMar w:left="292" w:top="1230" w:right="439" w:bottom="1440"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2022-11-14T08:09:24Z</dcterms:created>
  <dcterms:modified xsi:type="dcterms:W3CDTF">2022-11-14T08:09:24Z</dcterms:modified>
</cp:coreProperties>
</file>