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11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217"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PROSPECTUS SUPPLEMENT NO. 8</w:t>
      </w:r>
    </w:p>
    <w:p>
      <w:pPr>
        <w:spacing w:after="0" w:line="164" w:lineRule="exact"/>
        <w:rPr>
          <w:sz w:val="24"/>
          <w:szCs w:val="24"/>
          <w:color w:val="auto"/>
        </w:rPr>
      </w:pPr>
    </w:p>
    <w:p>
      <w:pPr>
        <w:ind w:left="320"/>
        <w:spacing w:after="0"/>
        <w:rPr>
          <w:sz w:val="20"/>
          <w:szCs w:val="20"/>
          <w:color w:val="auto"/>
        </w:rPr>
      </w:pPr>
      <w:r>
        <w:rPr>
          <w:rFonts w:ascii="Arial" w:cs="Arial" w:eastAsia="Arial" w:hAnsi="Arial"/>
          <w:sz w:val="18"/>
          <w:szCs w:val="18"/>
          <w:b w:val="1"/>
          <w:bCs w:val="1"/>
          <w:color w:val="auto"/>
        </w:rPr>
        <w:t>(to Prospectus dated August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2755265</wp:posOffset>
            </wp:positionH>
            <wp:positionV relativeFrom="paragraph">
              <wp:posOffset>115570</wp:posOffset>
            </wp:positionV>
            <wp:extent cx="1842770" cy="563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563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Sema4 Holdings Corp.</w:t>
      </w:r>
    </w:p>
    <w:p>
      <w:pPr>
        <w:spacing w:after="0" w:line="11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236,223,401 Shares of Common Stock</w:t>
      </w:r>
    </w:p>
    <w:p>
      <w:pPr>
        <w:spacing w:after="0" w:line="11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7,236,667 Warrants to Purchase Shares of Common Stock</w:t>
      </w:r>
    </w:p>
    <w:p>
      <w:pPr>
        <w:spacing w:after="0" w:line="111"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21,995,000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2923540</wp:posOffset>
            </wp:positionH>
            <wp:positionV relativeFrom="paragraph">
              <wp:posOffset>158115</wp:posOffset>
            </wp:positionV>
            <wp:extent cx="15062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both"/>
        <w:ind w:firstLine="318"/>
        <w:spacing w:after="0" w:line="223" w:lineRule="auto"/>
        <w:rPr>
          <w:sz w:val="20"/>
          <w:szCs w:val="20"/>
          <w:color w:val="auto"/>
        </w:rPr>
      </w:pPr>
      <w:r>
        <w:rPr>
          <w:rFonts w:ascii="Arial" w:cs="Arial" w:eastAsia="Arial" w:hAnsi="Arial"/>
          <w:sz w:val="18"/>
          <w:szCs w:val="18"/>
          <w:color w:val="auto"/>
        </w:rPr>
        <w:t>This prospectus supplement supplements the prospectus dated August 12, 2021 (the “Prospectus”), which forms a part of our registration statement on Form S-1 (No. 333-258467). This prospectus supplement is being filed to update and supplement the information in the Prospectus with the information contained in Item 4.02 in our current report on Form 8-K and annual report on Form 10-K and filed with the Securities and Exchange Commission (the “SEC”) on March 14, 2022 (the “Current Report” and “Annual Report”). Accordingly, we have attached the Item 4.02 of the Current Report and Annual Report to this prospectus supplement.</w:t>
      </w:r>
    </w:p>
    <w:p>
      <w:pPr>
        <w:spacing w:after="0" w:line="138" w:lineRule="exact"/>
        <w:rPr>
          <w:sz w:val="24"/>
          <w:szCs w:val="24"/>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Prospectus and this prospectus supplement relate to the offer and sale from time to time by the selling securityholders named in the Prospectus (the “Selling Securityholders”) of (A) up to 236,223,401 shares of our Class A common stock, par value $0.0001 per share (“Class A common stock” or “common stock”), consisting of (i) up to 35,000,000 shares of our Class A common stock issued in a private placement pursuant to subscription agreements each entered into on February 9, 2021; (ii) up to 11,068,750 shares of our Class A common stock issued in connection with the consummation of the Business Combination (as defined in the Prospectus), in exchange for shares of our Class B common stock originally issued in a private placement to CMLS Holdings LLC (the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Sponsor and certain of the other Initial Stockholders (as defined in the Prospectus).</w:t>
      </w:r>
    </w:p>
    <w:p>
      <w:pPr>
        <w:spacing w:after="0" w:line="376" w:lineRule="exact"/>
        <w:rPr>
          <w:sz w:val="24"/>
          <w:szCs w:val="24"/>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14,758,333 shares of our Class A common stock that are issuable by us upon the exercise of 14,758,333 warrants (the “public warrants”) originally issued in our initial public offering ;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77"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symbols “SMFR” and “SMFRW,” respectively. On March 11, 2022, the last reported sales price of our common stock was $2.84 per share and the last reported sales price of our public warrants was $0.60 per warrant.</w:t>
      </w:r>
    </w:p>
    <w:p>
      <w:pPr>
        <w:spacing w:after="0" w:line="188" w:lineRule="exact"/>
        <w:rPr>
          <w:sz w:val="24"/>
          <w:szCs w:val="24"/>
          <w:color w:val="auto"/>
        </w:rPr>
      </w:pPr>
    </w:p>
    <w:p>
      <w:pPr>
        <w:jc w:val="both"/>
        <w:ind w:firstLine="318"/>
        <w:spacing w:after="0" w:line="252"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91" w:lineRule="exact"/>
        <w:rPr>
          <w:sz w:val="24"/>
          <w:szCs w:val="24"/>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10 of the Prospectus to read about factors you should consider before buying our securities.</w:t>
      </w:r>
    </w:p>
    <w:p>
      <w:pPr>
        <w:spacing w:after="0" w:line="175" w:lineRule="exact"/>
        <w:rPr>
          <w:sz w:val="24"/>
          <w:szCs w:val="24"/>
          <w:color w:val="auto"/>
        </w:rPr>
      </w:pPr>
    </w:p>
    <w:p>
      <w:pPr>
        <w:jc w:val="both"/>
        <w:ind w:firstLine="318"/>
        <w:spacing w:after="0" w:line="271"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supplement or the Prospectus is truthful or complete. Any representation to the contrary is a criminal offense.</w:t>
      </w:r>
    </w:p>
    <w:p>
      <w:pPr>
        <w:spacing w:after="0" w:line="169"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The date of this prospectus supplement is March 14, 2022</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tabs>
          <w:tab w:leader="none" w:pos="1240" w:val="left"/>
        </w:tabs>
        <w:rPr>
          <w:sz w:val="20"/>
          <w:szCs w:val="20"/>
          <w:color w:val="auto"/>
        </w:rPr>
      </w:pPr>
      <w:r>
        <w:rPr>
          <w:rFonts w:ascii="Arial" w:cs="Arial" w:eastAsia="Arial" w:hAnsi="Arial"/>
          <w:sz w:val="19"/>
          <w:szCs w:val="19"/>
          <w:b w:val="1"/>
          <w:bCs w:val="1"/>
          <w:color w:val="auto"/>
        </w:rPr>
        <w:t>Item 4.02</w:t>
      </w:r>
      <w:r>
        <w:rPr>
          <w:sz w:val="20"/>
          <w:szCs w:val="20"/>
          <w:color w:val="auto"/>
        </w:rPr>
        <w:tab/>
      </w:r>
      <w:r>
        <w:rPr>
          <w:rFonts w:ascii="Arial" w:cs="Arial" w:eastAsia="Arial" w:hAnsi="Arial"/>
          <w:sz w:val="17"/>
          <w:szCs w:val="17"/>
          <w:b w:val="1"/>
          <w:bCs w:val="1"/>
          <w:color w:val="auto"/>
        </w:rPr>
        <w:t>Non-Reliance on Previously Issued Financial Statements or a Related Audit Report or Completed Interim Review.</w:t>
      </w:r>
    </w:p>
    <w:p>
      <w:pPr>
        <w:spacing w:after="0" w:line="172" w:lineRule="exact"/>
        <w:rPr>
          <w:sz w:val="24"/>
          <w:szCs w:val="24"/>
          <w:color w:val="auto"/>
        </w:rPr>
      </w:pPr>
    </w:p>
    <w:p>
      <w:pPr>
        <w:jc w:val="both"/>
        <w:ind w:firstLine="318"/>
        <w:spacing w:after="0"/>
        <w:rPr>
          <w:sz w:val="20"/>
          <w:szCs w:val="20"/>
          <w:color w:val="auto"/>
        </w:rPr>
      </w:pPr>
      <w:r>
        <w:rPr>
          <w:rFonts w:ascii="Arial" w:cs="Arial" w:eastAsia="Arial" w:hAnsi="Arial"/>
          <w:sz w:val="19"/>
          <w:szCs w:val="19"/>
          <w:color w:val="auto"/>
        </w:rPr>
        <w:t>In connection with the preparation of the Company’s Annual Report on Form 10-K for the year ended December 31, 2021 (the “2021 10-K”), the Company identified an adjustment to the classification of certain expenses related to the genetic counseling department reported in cost of services that should have been reported in selling and marketing in the Company’s prior period financial statements. Additionally, the Company has identified adjustments generally related to recognition of cost of services out of period in the three month periods ended March 31, 2021, June 30, 2021 and September 30, 2021.</w:t>
      </w:r>
    </w:p>
    <w:p>
      <w:pPr>
        <w:sectPr>
          <w:pgSz w:w="11900" w:h="16838" w:orient="portrait"/>
          <w:cols w:equalWidth="0" w:num="1">
            <w:col w:w="11240"/>
          </w:cols>
          <w:pgMar w:left="320" w:top="233" w:right="339" w:bottom="126" w:gutter="0" w:footer="0" w:header="0"/>
        </w:sectPr>
      </w:pPr>
    </w:p>
    <w:bookmarkStart w:id="1" w:name="page2"/>
    <w:bookmarkEnd w:id="1"/>
    <w:p>
      <w:pPr>
        <w:ind w:firstLine="318"/>
        <w:spacing w:after="0" w:line="255" w:lineRule="auto"/>
        <w:rPr>
          <w:sz w:val="20"/>
          <w:szCs w:val="20"/>
          <w:color w:val="auto"/>
        </w:rPr>
      </w:pPr>
      <w:r>
        <w:rPr>
          <w:rFonts w:ascii="Arial" w:cs="Arial" w:eastAsia="Arial" w:hAnsi="Arial"/>
          <w:sz w:val="18"/>
          <w:szCs w:val="18"/>
          <w:color w:val="auto"/>
        </w:rPr>
        <w:t>On March 10, 2022, after discussion with Ernst &amp; Young LLP, the Company’s independent registered public accounting firm (“EY”), the Company’s management, in consultation with the Audit Committee of the Board of Directors of the Company, concluded that it is appropriate</w:t>
      </w:r>
    </w:p>
    <w:p>
      <w:pPr>
        <w:spacing w:after="0" w:line="1" w:lineRule="exact"/>
        <w:rPr>
          <w:sz w:val="20"/>
          <w:szCs w:val="20"/>
          <w:color w:val="auto"/>
        </w:rPr>
      </w:pPr>
    </w:p>
    <w:p>
      <w:pPr>
        <w:jc w:val="both"/>
        <w:ind w:firstLine="6"/>
        <w:spacing w:after="0" w:line="251" w:lineRule="auto"/>
        <w:tabs>
          <w:tab w:leader="none" w:pos="237"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correct the classification of such expenses in its statement of operations and comprehensive loss in the previously issued audited financial statements for the year ended December 31, 2020 and December 31, 2019, and (ii) to correct the classification of such expenses and the timing of recognition of cost of services in the unaudited financial information for the three months ended March 31, 2021 and 2020, June 30 2021 and 2020 and September 30, 2021 and 2020 (collectively the “Relevant Periods”) by restating such audited and unaudited financial information because the adjustments are material to the financial statements for each of the Relevant Periods. As a result, the audited and unaudited financial statements for the Relevant Periods can no longer be relied on.</w:t>
      </w:r>
    </w:p>
    <w:p>
      <w:pPr>
        <w:spacing w:after="0" w:line="116" w:lineRule="exact"/>
        <w:rPr>
          <w:sz w:val="20"/>
          <w:szCs w:val="20"/>
          <w:color w:val="auto"/>
        </w:rPr>
      </w:pPr>
    </w:p>
    <w:p>
      <w:pPr>
        <w:ind w:firstLine="318"/>
        <w:spacing w:after="0" w:line="264" w:lineRule="auto"/>
        <w:rPr>
          <w:sz w:val="20"/>
          <w:szCs w:val="20"/>
          <w:color w:val="auto"/>
        </w:rPr>
      </w:pPr>
      <w:r>
        <w:rPr>
          <w:rFonts w:ascii="Arial" w:cs="Arial" w:eastAsia="Arial" w:hAnsi="Arial"/>
          <w:sz w:val="19"/>
          <w:szCs w:val="19"/>
          <w:color w:val="auto"/>
        </w:rPr>
        <w:t>The Company will include the restated audited and unaudited financial statements for the Relevant Periods in the 2021 10-K which will be filed on 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386715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412115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0"/>
          <w:szCs w:val="20"/>
          <w:color w:val="auto"/>
        </w:rPr>
      </w:pPr>
    </w:p>
    <w:p>
      <w:pPr>
        <w:ind w:left="1120" w:hanging="1096"/>
        <w:spacing w:after="0"/>
        <w:tabs>
          <w:tab w:leader="none" w:pos="1120" w:val="left"/>
        </w:tabs>
        <w:numPr>
          <w:ilvl w:val="0"/>
          <w:numId w:val="2"/>
        </w:numPr>
        <w:rPr>
          <w:rFonts w:ascii="Arial" w:cs="Arial" w:eastAsia="Arial" w:hAnsi="Arial"/>
          <w:sz w:val="16"/>
          <w:szCs w:val="16"/>
          <w:b w:val="1"/>
          <w:bCs w:val="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30" w:lineRule="exact"/>
        <w:rPr>
          <w:rFonts w:ascii="Arial" w:cs="Arial" w:eastAsia="Arial" w:hAnsi="Arial"/>
          <w:sz w:val="16"/>
          <w:szCs w:val="16"/>
          <w:b w:val="1"/>
          <w:bCs w:val="1"/>
          <w:color w:val="auto"/>
        </w:rPr>
      </w:pPr>
    </w:p>
    <w:p>
      <w:pPr>
        <w:ind w:left="42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fiscal year ended December 31, 2021</w:t>
      </w:r>
    </w:p>
    <w:p>
      <w:pPr>
        <w:spacing w:after="0" w:line="111" w:lineRule="exact"/>
        <w:rPr>
          <w:rFonts w:ascii="Arial" w:cs="Arial" w:eastAsia="Arial" w:hAnsi="Arial"/>
          <w:sz w:val="16"/>
          <w:szCs w:val="16"/>
          <w:b w:val="1"/>
          <w:bCs w:val="1"/>
          <w:color w:val="auto"/>
        </w:rPr>
      </w:pPr>
    </w:p>
    <w:p>
      <w:pPr>
        <w:ind w:left="55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OR</w:t>
      </w:r>
    </w:p>
    <w:p>
      <w:pPr>
        <w:spacing w:after="0" w:line="160" w:lineRule="exact"/>
        <w:rPr>
          <w:sz w:val="20"/>
          <w:szCs w:val="20"/>
          <w:color w:val="auto"/>
        </w:rPr>
      </w:pPr>
    </w:p>
    <w:p>
      <w:pPr>
        <w:ind w:left="920" w:hanging="896"/>
        <w:spacing w:after="0"/>
        <w:tabs>
          <w:tab w:leader="none" w:pos="920" w:val="left"/>
        </w:tabs>
        <w:numPr>
          <w:ilvl w:val="0"/>
          <w:numId w:val="3"/>
        </w:numPr>
        <w:rPr>
          <w:rFonts w:ascii="Arial" w:cs="Arial" w:eastAsia="Arial" w:hAnsi="Arial"/>
          <w:sz w:val="18"/>
          <w:szCs w:val="18"/>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1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 the transition period from __________ to __________</w:t>
      </w:r>
    </w:p>
    <w:p>
      <w:pPr>
        <w:spacing w:after="0" w:line="111" w:lineRule="exact"/>
        <w:rPr>
          <w:rFonts w:ascii="Arial" w:cs="Arial" w:eastAsia="Arial" w:hAnsi="Arial"/>
          <w:sz w:val="18"/>
          <w:szCs w:val="18"/>
          <w:b w:val="1"/>
          <w:bCs w:val="1"/>
          <w:color w:val="auto"/>
        </w:rPr>
      </w:pPr>
    </w:p>
    <w:p>
      <w:pPr>
        <w:ind w:left="43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001-39482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81915</wp:posOffset>
            </wp:positionV>
            <wp:extent cx="1892935" cy="572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293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Sema4 Holdings Corp.</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192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424"/>
        </w:trPr>
        <w:tc>
          <w:tcPr>
            <w:tcW w:w="4580" w:type="dxa"/>
            <w:vAlign w:val="bottom"/>
          </w:tcPr>
          <w:p>
            <w:pPr>
              <w:jc w:val="center"/>
              <w:ind w:left="952"/>
              <w:spacing w:after="0"/>
              <w:rPr>
                <w:sz w:val="20"/>
                <w:szCs w:val="20"/>
                <w:color w:val="auto"/>
              </w:rPr>
            </w:pPr>
            <w:r>
              <w:rPr>
                <w:rFonts w:ascii="Arial" w:cs="Arial" w:eastAsia="Arial" w:hAnsi="Arial"/>
                <w:sz w:val="18"/>
                <w:szCs w:val="18"/>
                <w:b w:val="1"/>
                <w:bCs w:val="1"/>
                <w:color w:val="auto"/>
                <w:w w:val="88"/>
              </w:rPr>
              <w:t>Delaware</w:t>
            </w:r>
          </w:p>
        </w:tc>
        <w:tc>
          <w:tcPr>
            <w:tcW w:w="1920" w:type="dxa"/>
            <w:vAlign w:val="bottom"/>
          </w:tcPr>
          <w:p>
            <w:pPr>
              <w:spacing w:after="0"/>
              <w:rPr>
                <w:sz w:val="24"/>
                <w:szCs w:val="24"/>
                <w:color w:val="auto"/>
              </w:rPr>
            </w:pPr>
          </w:p>
        </w:tc>
        <w:tc>
          <w:tcPr>
            <w:tcW w:w="4740" w:type="dxa"/>
            <w:vAlign w:val="bottom"/>
          </w:tcPr>
          <w:p>
            <w:pPr>
              <w:jc w:val="right"/>
              <w:ind w:right="2392"/>
              <w:spacing w:after="0"/>
              <w:rPr>
                <w:sz w:val="20"/>
                <w:szCs w:val="20"/>
                <w:color w:val="auto"/>
              </w:rPr>
            </w:pPr>
            <w:r>
              <w:rPr>
                <w:rFonts w:ascii="Arial" w:cs="Arial" w:eastAsia="Arial" w:hAnsi="Arial"/>
                <w:sz w:val="18"/>
                <w:szCs w:val="18"/>
                <w:b w:val="1"/>
                <w:bCs w:val="1"/>
                <w:color w:val="auto"/>
              </w:rPr>
              <w:t>85-1966622</w:t>
            </w:r>
          </w:p>
        </w:tc>
      </w:tr>
      <w:tr>
        <w:trPr>
          <w:trHeight w:val="439"/>
        </w:trPr>
        <w:tc>
          <w:tcPr>
            <w:tcW w:w="4580" w:type="dxa"/>
            <w:vAlign w:val="bottom"/>
          </w:tcPr>
          <w:p>
            <w:pPr>
              <w:jc w:val="center"/>
              <w:ind w:left="952"/>
              <w:spacing w:after="0"/>
              <w:rPr>
                <w:sz w:val="20"/>
                <w:szCs w:val="20"/>
                <w:color w:val="auto"/>
              </w:rPr>
            </w:pPr>
            <w:r>
              <w:rPr>
                <w:rFonts w:ascii="Arial" w:cs="Arial" w:eastAsia="Arial" w:hAnsi="Arial"/>
                <w:sz w:val="18"/>
                <w:szCs w:val="18"/>
                <w:color w:val="auto"/>
                <w:w w:val="91"/>
              </w:rPr>
              <w:t>(State or other jurisdiction of</w:t>
            </w:r>
          </w:p>
        </w:tc>
        <w:tc>
          <w:tcPr>
            <w:tcW w:w="1920" w:type="dxa"/>
            <w:vAlign w:val="bottom"/>
          </w:tcPr>
          <w:p>
            <w:pPr>
              <w:spacing w:after="0"/>
              <w:rPr>
                <w:sz w:val="24"/>
                <w:szCs w:val="24"/>
                <w:color w:val="auto"/>
              </w:rPr>
            </w:pPr>
          </w:p>
        </w:tc>
        <w:tc>
          <w:tcPr>
            <w:tcW w:w="4740" w:type="dxa"/>
            <w:vAlign w:val="bottom"/>
          </w:tcPr>
          <w:p>
            <w:pPr>
              <w:jc w:val="center"/>
              <w:ind w:right="912"/>
              <w:spacing w:after="0"/>
              <w:rPr>
                <w:sz w:val="20"/>
                <w:szCs w:val="20"/>
                <w:color w:val="auto"/>
              </w:rPr>
            </w:pPr>
            <w:r>
              <w:rPr>
                <w:rFonts w:ascii="Arial" w:cs="Arial" w:eastAsia="Arial" w:hAnsi="Arial"/>
                <w:sz w:val="18"/>
                <w:szCs w:val="18"/>
                <w:color w:val="auto"/>
                <w:w w:val="92"/>
              </w:rPr>
              <w:t>(I.R.S. Employer</w:t>
            </w:r>
          </w:p>
        </w:tc>
      </w:tr>
      <w:tr>
        <w:trPr>
          <w:trHeight w:val="223"/>
        </w:trPr>
        <w:tc>
          <w:tcPr>
            <w:tcW w:w="4580" w:type="dxa"/>
            <w:vAlign w:val="bottom"/>
          </w:tcPr>
          <w:p>
            <w:pPr>
              <w:jc w:val="center"/>
              <w:ind w:left="952"/>
              <w:spacing w:after="0"/>
              <w:rPr>
                <w:sz w:val="20"/>
                <w:szCs w:val="20"/>
                <w:color w:val="auto"/>
              </w:rPr>
            </w:pPr>
            <w:r>
              <w:rPr>
                <w:rFonts w:ascii="Arial" w:cs="Arial" w:eastAsia="Arial" w:hAnsi="Arial"/>
                <w:sz w:val="18"/>
                <w:szCs w:val="18"/>
                <w:color w:val="auto"/>
                <w:w w:val="91"/>
              </w:rPr>
              <w:t>incorporation or organization)</w:t>
            </w:r>
          </w:p>
        </w:tc>
        <w:tc>
          <w:tcPr>
            <w:tcW w:w="1920" w:type="dxa"/>
            <w:vAlign w:val="bottom"/>
          </w:tcPr>
          <w:p>
            <w:pPr>
              <w:spacing w:after="0"/>
              <w:rPr>
                <w:sz w:val="19"/>
                <w:szCs w:val="19"/>
                <w:color w:val="auto"/>
              </w:rPr>
            </w:pPr>
          </w:p>
        </w:tc>
        <w:tc>
          <w:tcPr>
            <w:tcW w:w="4740" w:type="dxa"/>
            <w:vAlign w:val="bottom"/>
          </w:tcPr>
          <w:p>
            <w:pPr>
              <w:jc w:val="center"/>
              <w:ind w:right="932"/>
              <w:spacing w:after="0"/>
              <w:rPr>
                <w:sz w:val="20"/>
                <w:szCs w:val="20"/>
                <w:color w:val="auto"/>
              </w:rPr>
            </w:pPr>
            <w:r>
              <w:rPr>
                <w:rFonts w:ascii="Arial" w:cs="Arial" w:eastAsia="Arial" w:hAnsi="Arial"/>
                <w:sz w:val="18"/>
                <w:szCs w:val="18"/>
                <w:color w:val="auto"/>
                <w:w w:val="94"/>
              </w:rPr>
              <w:t>Identification No.)</w:t>
            </w:r>
          </w:p>
        </w:tc>
      </w:tr>
      <w:tr>
        <w:trPr>
          <w:trHeight w:val="291"/>
        </w:trPr>
        <w:tc>
          <w:tcPr>
            <w:tcW w:w="6500" w:type="dxa"/>
            <w:vAlign w:val="bottom"/>
            <w:gridSpan w:val="2"/>
          </w:tcPr>
          <w:p>
            <w:pPr>
              <w:jc w:val="center"/>
              <w:ind w:right="792"/>
              <w:spacing w:after="0"/>
              <w:rPr>
                <w:sz w:val="20"/>
                <w:szCs w:val="20"/>
                <w:color w:val="auto"/>
              </w:rPr>
            </w:pPr>
            <w:r>
              <w:rPr>
                <w:rFonts w:ascii="Arial" w:cs="Arial" w:eastAsia="Arial" w:hAnsi="Arial"/>
                <w:sz w:val="18"/>
                <w:szCs w:val="18"/>
                <w:b w:val="1"/>
                <w:bCs w:val="1"/>
                <w:color w:val="auto"/>
                <w:w w:val="89"/>
              </w:rPr>
              <w:t>333 Ludlow Street, North Tower, 8th Floor Stamford, Connecticut</w:t>
            </w:r>
          </w:p>
        </w:tc>
        <w:tc>
          <w:tcPr>
            <w:tcW w:w="4740" w:type="dxa"/>
            <w:vAlign w:val="bottom"/>
          </w:tcPr>
          <w:p>
            <w:pPr>
              <w:jc w:val="center"/>
              <w:ind w:right="932"/>
              <w:spacing w:after="0"/>
              <w:rPr>
                <w:sz w:val="20"/>
                <w:szCs w:val="20"/>
                <w:color w:val="auto"/>
              </w:rPr>
            </w:pPr>
            <w:r>
              <w:rPr>
                <w:rFonts w:ascii="Arial" w:cs="Arial" w:eastAsia="Arial" w:hAnsi="Arial"/>
                <w:sz w:val="18"/>
                <w:szCs w:val="18"/>
                <w:b w:val="1"/>
                <w:bCs w:val="1"/>
                <w:color w:val="auto"/>
                <w:w w:val="87"/>
              </w:rPr>
              <w:t>06902</w:t>
            </w:r>
          </w:p>
        </w:tc>
      </w:tr>
      <w:tr>
        <w:trPr>
          <w:trHeight w:val="238"/>
        </w:trPr>
        <w:tc>
          <w:tcPr>
            <w:tcW w:w="4580" w:type="dxa"/>
            <w:vAlign w:val="bottom"/>
          </w:tcPr>
          <w:p>
            <w:pPr>
              <w:jc w:val="center"/>
              <w:ind w:left="932"/>
              <w:spacing w:after="0"/>
              <w:rPr>
                <w:sz w:val="20"/>
                <w:szCs w:val="20"/>
                <w:color w:val="auto"/>
              </w:rPr>
            </w:pPr>
            <w:r>
              <w:rPr>
                <w:rFonts w:ascii="Arial" w:cs="Arial" w:eastAsia="Arial" w:hAnsi="Arial"/>
                <w:sz w:val="18"/>
                <w:szCs w:val="18"/>
                <w:color w:val="auto"/>
                <w:w w:val="91"/>
              </w:rPr>
              <w:t>(Address of Principal Executive Offices)</w:t>
            </w:r>
          </w:p>
        </w:tc>
        <w:tc>
          <w:tcPr>
            <w:tcW w:w="1920" w:type="dxa"/>
            <w:vAlign w:val="bottom"/>
          </w:tcPr>
          <w:p>
            <w:pPr>
              <w:spacing w:after="0"/>
              <w:rPr>
                <w:sz w:val="20"/>
                <w:szCs w:val="20"/>
                <w:color w:val="auto"/>
              </w:rPr>
            </w:pPr>
          </w:p>
        </w:tc>
        <w:tc>
          <w:tcPr>
            <w:tcW w:w="4740" w:type="dxa"/>
            <w:vAlign w:val="bottom"/>
          </w:tcPr>
          <w:p>
            <w:pPr>
              <w:jc w:val="center"/>
              <w:ind w:right="912"/>
              <w:spacing w:after="0"/>
              <w:rPr>
                <w:sz w:val="20"/>
                <w:szCs w:val="20"/>
                <w:color w:val="auto"/>
              </w:rPr>
            </w:pPr>
            <w:r>
              <w:rPr>
                <w:rFonts w:ascii="Arial" w:cs="Arial" w:eastAsia="Arial" w:hAnsi="Arial"/>
                <w:sz w:val="18"/>
                <w:szCs w:val="18"/>
                <w:color w:val="auto"/>
                <w:w w:val="91"/>
              </w:rPr>
              <w:t>(Zip Code)</w:t>
            </w:r>
          </w:p>
        </w:tc>
      </w:tr>
      <w:tr>
        <w:trPr>
          <w:trHeight w:val="413"/>
        </w:trPr>
        <w:tc>
          <w:tcPr>
            <w:tcW w:w="4580" w:type="dxa"/>
            <w:vAlign w:val="bottom"/>
          </w:tcPr>
          <w:p>
            <w:pPr>
              <w:spacing w:after="0"/>
              <w:rPr>
                <w:sz w:val="24"/>
                <w:szCs w:val="24"/>
                <w:color w:val="auto"/>
              </w:rPr>
            </w:pPr>
          </w:p>
        </w:tc>
        <w:tc>
          <w:tcPr>
            <w:tcW w:w="1920" w:type="dxa"/>
            <w:vAlign w:val="bottom"/>
          </w:tcPr>
          <w:p>
            <w:pPr>
              <w:jc w:val="right"/>
              <w:ind w:right="232"/>
              <w:spacing w:after="0"/>
              <w:rPr>
                <w:sz w:val="20"/>
                <w:szCs w:val="20"/>
                <w:color w:val="auto"/>
              </w:rPr>
            </w:pPr>
            <w:r>
              <w:rPr>
                <w:rFonts w:ascii="Arial" w:cs="Arial" w:eastAsia="Arial" w:hAnsi="Arial"/>
                <w:sz w:val="18"/>
                <w:szCs w:val="18"/>
                <w:b w:val="1"/>
                <w:bCs w:val="1"/>
                <w:color w:val="auto"/>
              </w:rPr>
              <w:t>(800) 298-6470</w:t>
            </w:r>
          </w:p>
        </w:tc>
        <w:tc>
          <w:tcPr>
            <w:tcW w:w="4740" w:type="dxa"/>
            <w:vAlign w:val="bottom"/>
          </w:tcPr>
          <w:p>
            <w:pPr>
              <w:spacing w:after="0"/>
              <w:rPr>
                <w:sz w:val="24"/>
                <w:szCs w:val="24"/>
                <w:color w:val="auto"/>
              </w:rPr>
            </w:pPr>
          </w:p>
        </w:tc>
      </w:tr>
      <w:tr>
        <w:trPr>
          <w:trHeight w:val="223"/>
        </w:trPr>
        <w:tc>
          <w:tcPr>
            <w:tcW w:w="11240" w:type="dxa"/>
            <w:vAlign w:val="bottom"/>
            <w:gridSpan w:val="3"/>
          </w:tcPr>
          <w:p>
            <w:pPr>
              <w:jc w:val="center"/>
              <w:spacing w:after="0"/>
              <w:rPr>
                <w:sz w:val="20"/>
                <w:szCs w:val="20"/>
                <w:color w:val="auto"/>
              </w:rPr>
            </w:pPr>
            <w:r>
              <w:rPr>
                <w:rFonts w:ascii="Arial" w:cs="Arial" w:eastAsia="Arial" w:hAnsi="Arial"/>
                <w:sz w:val="18"/>
                <w:szCs w:val="18"/>
                <w:color w:val="auto"/>
                <w:w w:val="87"/>
              </w:rPr>
              <w:t>Registrant's telephone number, including area code</w:t>
            </w:r>
          </w:p>
        </w:tc>
      </w:tr>
      <w:tr>
        <w:trPr>
          <w:trHeight w:val="424"/>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41"/>
        </w:trPr>
        <w:tc>
          <w:tcPr>
            <w:tcW w:w="45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4740" w:type="dxa"/>
            <w:vAlign w:val="bottom"/>
            <w:tcBorders>
              <w:bottom w:val="single" w:sz="8" w:color="auto"/>
            </w:tcBorders>
          </w:tcPr>
          <w:p>
            <w:pPr>
              <w:spacing w:after="0"/>
              <w:rPr>
                <w:sz w:val="3"/>
                <w:szCs w:val="3"/>
                <w:color w:val="auto"/>
              </w:rPr>
            </w:pPr>
          </w:p>
        </w:tc>
      </w:tr>
      <w:tr>
        <w:trPr>
          <w:trHeight w:val="218"/>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9"/>
        </w:trPr>
        <w:tc>
          <w:tcPr>
            <w:tcW w:w="45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Class A common stock, par value $0.0001 per share</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SMFR</w:t>
            </w:r>
          </w:p>
        </w:tc>
        <w:tc>
          <w:tcPr>
            <w:tcW w:w="4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The Nasdaq Global Select Market</w:t>
            </w:r>
          </w:p>
        </w:tc>
      </w:tr>
      <w:tr>
        <w:trPr>
          <w:trHeight w:val="165"/>
        </w:trPr>
        <w:tc>
          <w:tcPr>
            <w:tcW w:w="4580" w:type="dxa"/>
            <w:vAlign w:val="bottom"/>
            <w:tcBorders>
              <w:left w:val="single" w:sz="8" w:color="auto"/>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86"/>
              </w:rPr>
              <w:t>Warrants to purchase one share of Class A common stock,</w:t>
            </w:r>
          </w:p>
        </w:tc>
        <w:tc>
          <w:tcPr>
            <w:tcW w:w="19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99"/>
              </w:rPr>
              <w:t>SMFRW</w:t>
            </w:r>
          </w:p>
        </w:tc>
        <w:tc>
          <w:tcPr>
            <w:tcW w:w="47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8"/>
                <w:szCs w:val="18"/>
                <w:b w:val="1"/>
                <w:bCs w:val="1"/>
                <w:color w:val="auto"/>
                <w:w w:val="90"/>
              </w:rPr>
              <w:t>The Nasdaq Global Select Market</w:t>
            </w:r>
          </w:p>
        </w:tc>
      </w:tr>
      <w:tr>
        <w:trPr>
          <w:trHeight w:val="225"/>
        </w:trPr>
        <w:tc>
          <w:tcPr>
            <w:tcW w:w="4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each at an exercise price of $11.50 per share</w:t>
            </w:r>
          </w:p>
        </w:tc>
        <w:tc>
          <w:tcPr>
            <w:tcW w:w="192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right w:val="single" w:sz="8" w:color="auto"/>
            </w:tcBorders>
          </w:tcPr>
          <w:p>
            <w:pPr>
              <w:spacing w:after="0"/>
              <w:rPr>
                <w:sz w:val="19"/>
                <w:szCs w:val="19"/>
                <w:color w:val="auto"/>
              </w:rPr>
            </w:pPr>
          </w:p>
        </w:tc>
      </w:tr>
    </w:tbl>
    <w:p>
      <w:pPr>
        <w:spacing w:after="0" w:line="16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o No x</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o No x</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be submitted and posted pursuant to Rule 405 of Regulation S-T (§232.405 of this chapter) during the preceding 12 months (or for such shorter period that the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registrant was required to submit and post such files).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Yes x No o</w:t>
      </w:r>
    </w:p>
    <w:p>
      <w:pPr>
        <w:spacing w:after="0" w:line="153"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121" w:right="339" w:bottom="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20" w:type="dxa"/>
            <w:vAlign w:val="bottom"/>
          </w:tcPr>
          <w:p>
            <w:pPr>
              <w:ind w:left="1680"/>
              <w:spacing w:after="0"/>
              <w:rPr>
                <w:sz w:val="20"/>
                <w:szCs w:val="20"/>
                <w:color w:val="auto"/>
              </w:rPr>
            </w:pPr>
            <w:r>
              <w:rPr>
                <w:rFonts w:ascii="Arial" w:cs="Arial" w:eastAsia="Arial" w:hAnsi="Arial"/>
                <w:sz w:val="18"/>
                <w:szCs w:val="18"/>
                <w:color w:val="auto"/>
              </w:rPr>
              <w:t>o</w:t>
            </w:r>
          </w:p>
        </w:tc>
        <w:tc>
          <w:tcPr>
            <w:tcW w:w="3700" w:type="dxa"/>
            <w:vAlign w:val="bottom"/>
          </w:tcPr>
          <w:p>
            <w:pPr>
              <w:ind w:left="26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520"/>
              <w:spacing w:after="0"/>
              <w:rPr>
                <w:sz w:val="20"/>
                <w:szCs w:val="20"/>
                <w:color w:val="auto"/>
              </w:rPr>
            </w:pPr>
            <w:r>
              <w:rPr>
                <w:rFonts w:ascii="Arial" w:cs="Arial" w:eastAsia="Arial" w:hAnsi="Arial"/>
                <w:sz w:val="18"/>
                <w:szCs w:val="18"/>
                <w:color w:val="auto"/>
                <w:w w:val="79"/>
              </w:rPr>
              <w:t>o</w:t>
            </w:r>
          </w:p>
        </w:tc>
      </w:tr>
      <w:tr>
        <w:trPr>
          <w:trHeight w:val="265"/>
        </w:trPr>
        <w:tc>
          <w:tcPr>
            <w:tcW w:w="3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020" w:type="dxa"/>
            <w:vAlign w:val="bottom"/>
          </w:tcPr>
          <w:p>
            <w:pPr>
              <w:ind w:left="1680"/>
              <w:spacing w:after="0"/>
              <w:rPr>
                <w:sz w:val="20"/>
                <w:szCs w:val="20"/>
                <w:color w:val="auto"/>
              </w:rPr>
            </w:pPr>
            <w:r>
              <w:rPr>
                <w:rFonts w:ascii="Arial" w:cs="Arial" w:eastAsia="Arial" w:hAnsi="Arial"/>
                <w:sz w:val="16"/>
                <w:szCs w:val="16"/>
                <w:color w:val="auto"/>
              </w:rPr>
              <w:t>x</w:t>
            </w:r>
          </w:p>
        </w:tc>
        <w:tc>
          <w:tcPr>
            <w:tcW w:w="3700" w:type="dxa"/>
            <w:vAlign w:val="bottom"/>
          </w:tcPr>
          <w:p>
            <w:pPr>
              <w:ind w:left="26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520"/>
              <w:spacing w:after="0"/>
              <w:rPr>
                <w:sz w:val="20"/>
                <w:szCs w:val="20"/>
                <w:color w:val="auto"/>
              </w:rPr>
            </w:pPr>
            <w:r>
              <w:rPr>
                <w:rFonts w:ascii="Arial" w:cs="Arial" w:eastAsia="Arial" w:hAnsi="Arial"/>
                <w:sz w:val="16"/>
                <w:szCs w:val="16"/>
                <w:color w:val="auto"/>
                <w:w w:val="99"/>
              </w:rPr>
              <w:t>x</w:t>
            </w:r>
          </w:p>
        </w:tc>
      </w:tr>
      <w:tr>
        <w:trPr>
          <w:trHeight w:val="265"/>
        </w:trPr>
        <w:tc>
          <w:tcPr>
            <w:tcW w:w="328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520"/>
              <w:spacing w:after="0"/>
              <w:rPr>
                <w:sz w:val="20"/>
                <w:szCs w:val="20"/>
                <w:color w:val="auto"/>
              </w:rPr>
            </w:pPr>
            <w:r>
              <w:rPr>
                <w:rFonts w:ascii="Arial" w:cs="Arial" w:eastAsia="Arial" w:hAnsi="Arial"/>
                <w:sz w:val="16"/>
                <w:szCs w:val="16"/>
                <w:color w:val="auto"/>
                <w:w w:val="99"/>
              </w:rPr>
              <w:t>x</w:t>
            </w: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7252(b)) by the registered public accounting firm that prepared or issued its audit report. o</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market value of voting common stock held by non-affiliates of the registrant (assuming for purposes of this calculation, without conceding, that all executive officers and directors are “affiliates”) was approximately $515 million as of June 30, 2021, based on the closing sale price of such stock as reported on the Nasdaq Global Select Market.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244,959,781 shares of Class A common stock as of March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322580</wp:posOffset>
            </wp:positionV>
            <wp:extent cx="7059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592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347345</wp:posOffset>
            </wp:positionV>
            <wp:extent cx="7059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59295" cy="825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60" w:type="dxa"/>
            <w:vAlign w:val="bottom"/>
            <w:gridSpan w:val="11"/>
          </w:tcPr>
          <w:p>
            <w:pPr>
              <w:ind w:left="440"/>
              <w:spacing w:after="0"/>
              <w:rPr>
                <w:sz w:val="20"/>
                <w:szCs w:val="20"/>
                <w:color w:val="auto"/>
              </w:rPr>
            </w:pPr>
            <w:r>
              <w:rPr>
                <w:rFonts w:ascii="Arial" w:cs="Arial" w:eastAsia="Arial" w:hAnsi="Arial"/>
                <w:sz w:val="18"/>
                <w:szCs w:val="18"/>
                <w:b w:val="1"/>
                <w:bCs w:val="1"/>
                <w:color w:val="auto"/>
              </w:rPr>
              <w:t>TABLE OF CONTENTS</w:t>
            </w:r>
          </w:p>
        </w:tc>
        <w:tc>
          <w:tcPr>
            <w:tcW w:w="1300" w:type="dxa"/>
            <w:vAlign w:val="bottom"/>
          </w:tcPr>
          <w:p>
            <w:pPr>
              <w:spacing w:after="0"/>
              <w:rPr>
                <w:sz w:val="19"/>
                <w:szCs w:val="19"/>
                <w:color w:val="auto"/>
              </w:rPr>
            </w:pPr>
          </w:p>
        </w:tc>
      </w:tr>
      <w:tr>
        <w:trPr>
          <w:trHeight w:val="41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b w:val="1"/>
                <w:bCs w:val="1"/>
                <w:color w:val="auto"/>
                <w:w w:val="78"/>
              </w:rPr>
              <w:t>Page</w:t>
            </w:r>
          </w:p>
        </w:tc>
      </w:tr>
      <w:tr>
        <w:trPr>
          <w:trHeight w:val="187"/>
        </w:trPr>
        <w:tc>
          <w:tcPr>
            <w:tcW w:w="1260" w:type="dxa"/>
            <w:vAlign w:val="bottom"/>
            <w:tcBorders>
              <w:bottom w:val="single" w:sz="8" w:color="0000FF"/>
            </w:tcBorders>
            <w:gridSpan w:val="4"/>
          </w:tcPr>
          <w:p>
            <w:pPr>
              <w:spacing w:after="0" w:line="187"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Explanatory Note</w:t>
              </w:r>
            </w:hyperlink>
          </w:p>
        </w:tc>
        <w:tc>
          <w:tcPr>
            <w:tcW w:w="8520" w:type="dxa"/>
            <w:vAlign w:val="bottom"/>
            <w:gridSpan w:val="28"/>
          </w:tcPr>
          <w:p>
            <w:pPr>
              <w:spacing w:after="0"/>
              <w:rPr>
                <w:sz w:val="16"/>
                <w:szCs w:val="16"/>
                <w:color w:val="auto"/>
              </w:rPr>
            </w:pPr>
          </w:p>
        </w:tc>
        <w:tc>
          <w:tcPr>
            <w:tcW w:w="1300" w:type="dxa"/>
            <w:vAlign w:val="bottom"/>
          </w:tcPr>
          <w:p>
            <w:pPr>
              <w:jc w:val="center"/>
              <w:ind w:left="852"/>
              <w:spacing w:after="0" w:line="187"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205"/>
        </w:trPr>
        <w:tc>
          <w:tcPr>
            <w:tcW w:w="4060" w:type="dxa"/>
            <w:vAlign w:val="bottom"/>
            <w:tcBorders>
              <w:bottom w:val="single" w:sz="8" w:color="0000FF"/>
            </w:tcBorders>
            <w:gridSpan w:val="20"/>
          </w:tcPr>
          <w:p>
            <w:pPr>
              <w:spacing w:after="0" w:line="205"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Cautionary Note Regarding Forward Looking Statements</w:t>
              </w:r>
            </w:hyperlink>
          </w:p>
        </w:tc>
        <w:tc>
          <w:tcPr>
            <w:tcW w:w="5720" w:type="dxa"/>
            <w:vAlign w:val="bottom"/>
            <w:gridSpan w:val="12"/>
          </w:tcPr>
          <w:p>
            <w:pPr>
              <w:spacing w:after="0"/>
              <w:rPr>
                <w:sz w:val="17"/>
                <w:szCs w:val="17"/>
                <w:color w:val="auto"/>
              </w:rPr>
            </w:pPr>
          </w:p>
        </w:tc>
        <w:tc>
          <w:tcPr>
            <w:tcW w:w="1300" w:type="dxa"/>
            <w:vAlign w:val="bottom"/>
          </w:tcPr>
          <w:p>
            <w:pPr>
              <w:jc w:val="center"/>
              <w:ind w:left="852"/>
              <w:spacing w:after="0" w:line="205" w:lineRule="exact"/>
              <w:rPr>
                <w:rFonts w:ascii="Arial" w:cs="Arial" w:eastAsia="Arial" w:hAnsi="Arial"/>
                <w:sz w:val="18"/>
                <w:szCs w:val="18"/>
                <w:color w:val="auto"/>
                <w:w w:val="79"/>
              </w:rPr>
            </w:pPr>
            <w:hyperlink w:anchor="page5">
              <w:r>
                <w:rPr>
                  <w:rFonts w:ascii="Arial" w:cs="Arial" w:eastAsia="Arial" w:hAnsi="Arial"/>
                  <w:sz w:val="18"/>
                  <w:szCs w:val="18"/>
                  <w:color w:val="auto"/>
                  <w:w w:val="79"/>
                </w:rPr>
                <w:t>3</w:t>
              </w:r>
            </w:hyperlink>
          </w:p>
        </w:tc>
      </w:tr>
      <w:tr>
        <w:trPr>
          <w:trHeight w:val="496"/>
        </w:trPr>
        <w:tc>
          <w:tcPr>
            <w:tcW w:w="9780" w:type="dxa"/>
            <w:vAlign w:val="bottom"/>
            <w:gridSpan w:val="32"/>
          </w:tcPr>
          <w:p>
            <w:pPr>
              <w:spacing w:after="0"/>
              <w:rPr>
                <w:rFonts w:ascii="Arial" w:cs="Arial" w:eastAsia="Arial" w:hAnsi="Arial"/>
                <w:sz w:val="18"/>
                <w:szCs w:val="18"/>
                <w:b w:val="1"/>
                <w:bCs w:val="1"/>
                <w:color w:val="auto"/>
              </w:rPr>
            </w:pPr>
            <w:hyperlink w:anchor="page6">
              <w:r>
                <w:rPr>
                  <w:rFonts w:ascii="Arial" w:cs="Arial" w:eastAsia="Arial" w:hAnsi="Arial"/>
                  <w:sz w:val="18"/>
                  <w:szCs w:val="18"/>
                  <w:b w:val="1"/>
                  <w:bCs w:val="1"/>
                  <w:color w:val="auto"/>
                </w:rPr>
                <w:t>PART I</w:t>
              </w:r>
            </w:hyperlink>
          </w:p>
        </w:tc>
        <w:tc>
          <w:tcPr>
            <w:tcW w:w="1300" w:type="dxa"/>
            <w:vAlign w:val="bottom"/>
          </w:tcPr>
          <w:p>
            <w:pPr>
              <w:spacing w:after="0"/>
              <w:rPr>
                <w:sz w:val="24"/>
                <w:szCs w:val="24"/>
                <w:color w:val="auto"/>
              </w:rPr>
            </w:pPr>
          </w:p>
        </w:tc>
      </w:tr>
      <w:tr>
        <w:trPr>
          <w:trHeight w:val="187"/>
        </w:trPr>
        <w:tc>
          <w:tcPr>
            <w:tcW w:w="400" w:type="dxa"/>
            <w:vAlign w:val="bottom"/>
          </w:tcPr>
          <w:p>
            <w:pPr>
              <w:spacing w:after="0"/>
              <w:rPr>
                <w:sz w:val="16"/>
                <w:szCs w:val="16"/>
                <w:color w:val="auto"/>
              </w:rPr>
            </w:pPr>
          </w:p>
        </w:tc>
        <w:tc>
          <w:tcPr>
            <w:tcW w:w="1180" w:type="dxa"/>
            <w:vAlign w:val="bottom"/>
            <w:tcBorders>
              <w:bottom w:val="single" w:sz="8" w:color="0000FF"/>
            </w:tcBorders>
            <w:gridSpan w:val="4"/>
          </w:tcPr>
          <w:p>
            <w:pPr>
              <w:spacing w:after="0" w:line="167"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Item 1. Business</w:t>
              </w:r>
            </w:hyperlink>
          </w:p>
        </w:tc>
        <w:tc>
          <w:tcPr>
            <w:tcW w:w="8200" w:type="dxa"/>
            <w:vAlign w:val="bottom"/>
            <w:gridSpan w:val="27"/>
          </w:tcPr>
          <w:p>
            <w:pPr>
              <w:spacing w:after="0"/>
              <w:rPr>
                <w:sz w:val="16"/>
                <w:szCs w:val="16"/>
                <w:color w:val="auto"/>
              </w:rPr>
            </w:pPr>
          </w:p>
        </w:tc>
        <w:tc>
          <w:tcPr>
            <w:tcW w:w="1300" w:type="dxa"/>
            <w:vAlign w:val="bottom"/>
          </w:tcPr>
          <w:p>
            <w:pPr>
              <w:jc w:val="center"/>
              <w:ind w:left="852"/>
              <w:spacing w:after="0" w:line="167" w:lineRule="exact"/>
              <w:rPr>
                <w:rFonts w:ascii="Arial" w:cs="Arial" w:eastAsia="Arial" w:hAnsi="Arial"/>
                <w:sz w:val="18"/>
                <w:szCs w:val="18"/>
                <w:color w:val="auto"/>
                <w:w w:val="79"/>
              </w:rPr>
            </w:pPr>
            <w:hyperlink w:anchor="page7">
              <w:r>
                <w:rPr>
                  <w:rFonts w:ascii="Arial" w:cs="Arial" w:eastAsia="Arial" w:hAnsi="Arial"/>
                  <w:sz w:val="18"/>
                  <w:szCs w:val="18"/>
                  <w:color w:val="auto"/>
                  <w:w w:val="79"/>
                </w:rPr>
                <w:t>5</w:t>
              </w:r>
            </w:hyperlink>
          </w:p>
        </w:tc>
      </w:tr>
      <w:tr>
        <w:trPr>
          <w:trHeight w:val="218"/>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Item 1A. Risk Factors</w:t>
              </w:r>
            </w:hyperlink>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32">
              <w:r>
                <w:rPr>
                  <w:rFonts w:ascii="Arial" w:cs="Arial" w:eastAsia="Arial" w:hAnsi="Arial"/>
                  <w:sz w:val="18"/>
                  <w:szCs w:val="18"/>
                  <w:color w:val="auto"/>
                  <w:w w:val="89"/>
                </w:rPr>
                <w:t>30</w:t>
              </w:r>
            </w:hyperlink>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400" w:type="dxa"/>
            <w:vAlign w:val="bottom"/>
          </w:tcPr>
          <w:p>
            <w:pPr>
              <w:spacing w:after="0"/>
              <w:rPr>
                <w:sz w:val="19"/>
                <w:szCs w:val="19"/>
                <w:color w:val="auto"/>
              </w:rPr>
            </w:pPr>
          </w:p>
        </w:tc>
        <w:tc>
          <w:tcPr>
            <w:tcW w:w="2680" w:type="dxa"/>
            <w:vAlign w:val="bottom"/>
            <w:tcBorders>
              <w:bottom w:val="single" w:sz="8" w:color="0000FF"/>
            </w:tcBorders>
            <w:gridSpan w:val="14"/>
          </w:tcPr>
          <w:p>
            <w:pPr>
              <w:spacing w:after="0" w:line="205"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Item 1B. Unresolved Staff Comments</w:t>
              </w:r>
            </w:hyperlink>
          </w:p>
        </w:tc>
        <w:tc>
          <w:tcPr>
            <w:tcW w:w="6700" w:type="dxa"/>
            <w:vAlign w:val="bottom"/>
            <w:gridSpan w:val="17"/>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82">
              <w:r>
                <w:rPr>
                  <w:rFonts w:ascii="Arial" w:cs="Arial" w:eastAsia="Arial" w:hAnsi="Arial"/>
                  <w:sz w:val="18"/>
                  <w:szCs w:val="18"/>
                  <w:color w:val="auto"/>
                  <w:w w:val="89"/>
                </w:rPr>
                <w:t>80</w:t>
              </w:r>
            </w:hyperlink>
          </w:p>
        </w:tc>
      </w:tr>
      <w:tr>
        <w:trPr>
          <w:trHeight w:val="219"/>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2">
              <w:r>
                <w:rPr>
                  <w:rFonts w:ascii="Arial" w:cs="Arial" w:eastAsia="Arial" w:hAnsi="Arial"/>
                  <w:sz w:val="18"/>
                  <w:szCs w:val="18"/>
                  <w:color w:val="0000FF"/>
                </w:rPr>
                <w:t>Item 2. Properties</w:t>
              </w:r>
            </w:hyperlink>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82">
              <w:r>
                <w:rPr>
                  <w:rFonts w:ascii="Arial" w:cs="Arial" w:eastAsia="Arial" w:hAnsi="Arial"/>
                  <w:sz w:val="18"/>
                  <w:szCs w:val="18"/>
                  <w:color w:val="auto"/>
                  <w:w w:val="89"/>
                </w:rPr>
                <w:t>80</w:t>
              </w:r>
            </w:hyperlink>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8"/>
        </w:trPr>
        <w:tc>
          <w:tcPr>
            <w:tcW w:w="400" w:type="dxa"/>
            <w:vAlign w:val="bottom"/>
          </w:tcPr>
          <w:p>
            <w:pPr>
              <w:spacing w:after="0"/>
              <w:rPr>
                <w:sz w:val="19"/>
                <w:szCs w:val="19"/>
                <w:color w:val="auto"/>
              </w:rPr>
            </w:pPr>
          </w:p>
        </w:tc>
        <w:tc>
          <w:tcPr>
            <w:tcW w:w="1860" w:type="dxa"/>
            <w:vAlign w:val="bottom"/>
            <w:tcBorders>
              <w:bottom w:val="single" w:sz="8" w:color="0000FF"/>
            </w:tcBorders>
            <w:gridSpan w:val="7"/>
          </w:tcPr>
          <w:p>
            <w:pPr>
              <w:spacing w:after="0" w:line="205" w:lineRule="exact"/>
              <w:rPr>
                <w:rFonts w:ascii="Arial" w:cs="Arial" w:eastAsia="Arial" w:hAnsi="Arial"/>
                <w:sz w:val="18"/>
                <w:szCs w:val="18"/>
                <w:color w:val="0000FF"/>
                <w:w w:val="87"/>
              </w:rPr>
            </w:pPr>
            <w:hyperlink w:anchor="page83">
              <w:r>
                <w:rPr>
                  <w:rFonts w:ascii="Arial" w:cs="Arial" w:eastAsia="Arial" w:hAnsi="Arial"/>
                  <w:sz w:val="18"/>
                  <w:szCs w:val="18"/>
                  <w:color w:val="0000FF"/>
                  <w:w w:val="87"/>
                </w:rPr>
                <w:t>Item 3. Legal Proceedings</w:t>
              </w:r>
            </w:hyperlink>
          </w:p>
        </w:tc>
        <w:tc>
          <w:tcPr>
            <w:tcW w:w="7520" w:type="dxa"/>
            <w:vAlign w:val="bottom"/>
            <w:gridSpan w:val="24"/>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83">
              <w:r>
                <w:rPr>
                  <w:rFonts w:ascii="Arial" w:cs="Arial" w:eastAsia="Arial" w:hAnsi="Arial"/>
                  <w:sz w:val="18"/>
                  <w:szCs w:val="18"/>
                  <w:color w:val="auto"/>
                  <w:w w:val="89"/>
                </w:rPr>
                <w:t>81</w:t>
              </w:r>
            </w:hyperlink>
          </w:p>
        </w:tc>
      </w:tr>
      <w:tr>
        <w:trPr>
          <w:trHeight w:val="218"/>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3">
              <w:r>
                <w:rPr>
                  <w:rFonts w:ascii="Arial" w:cs="Arial" w:eastAsia="Arial" w:hAnsi="Arial"/>
                  <w:sz w:val="18"/>
                  <w:szCs w:val="18"/>
                  <w:color w:val="0000FF"/>
                </w:rPr>
                <w:t>Item 4. Mine Safety Disclosures</w:t>
              </w:r>
            </w:hyperlink>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83">
              <w:r>
                <w:rPr>
                  <w:rFonts w:ascii="Arial" w:cs="Arial" w:eastAsia="Arial" w:hAnsi="Arial"/>
                  <w:sz w:val="18"/>
                  <w:szCs w:val="18"/>
                  <w:color w:val="auto"/>
                  <w:w w:val="89"/>
                </w:rPr>
                <w:t>81</w:t>
              </w:r>
            </w:hyperlink>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20" w:type="dxa"/>
            <w:vAlign w:val="bottom"/>
            <w:gridSpan w:val="6"/>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09"/>
        </w:trPr>
        <w:tc>
          <w:tcPr>
            <w:tcW w:w="9780" w:type="dxa"/>
            <w:vAlign w:val="bottom"/>
            <w:gridSpan w:val="32"/>
          </w:tcPr>
          <w:p>
            <w:pPr>
              <w:spacing w:after="0"/>
              <w:rPr>
                <w:rFonts w:ascii="Arial" w:cs="Arial" w:eastAsia="Arial" w:hAnsi="Arial"/>
                <w:sz w:val="18"/>
                <w:szCs w:val="18"/>
                <w:b w:val="1"/>
                <w:bCs w:val="1"/>
                <w:color w:val="auto"/>
              </w:rPr>
            </w:pPr>
            <w:hyperlink w:anchor="page83">
              <w:r>
                <w:rPr>
                  <w:rFonts w:ascii="Arial" w:cs="Arial" w:eastAsia="Arial" w:hAnsi="Arial"/>
                  <w:sz w:val="18"/>
                  <w:szCs w:val="18"/>
                  <w:b w:val="1"/>
                  <w:bCs w:val="1"/>
                  <w:color w:val="auto"/>
                </w:rPr>
                <w:t>PART II</w:t>
              </w:r>
            </w:hyperlink>
          </w:p>
        </w:tc>
        <w:tc>
          <w:tcPr>
            <w:tcW w:w="1300" w:type="dxa"/>
            <w:vAlign w:val="bottom"/>
          </w:tcPr>
          <w:p>
            <w:pPr>
              <w:spacing w:after="0"/>
              <w:rPr>
                <w:sz w:val="24"/>
                <w:szCs w:val="24"/>
                <w:color w:val="auto"/>
              </w:rPr>
            </w:pPr>
          </w:p>
        </w:tc>
      </w:tr>
      <w:tr>
        <w:trPr>
          <w:trHeight w:val="187"/>
        </w:trPr>
        <w:tc>
          <w:tcPr>
            <w:tcW w:w="400" w:type="dxa"/>
            <w:vAlign w:val="bottom"/>
          </w:tcPr>
          <w:p>
            <w:pPr>
              <w:spacing w:after="0"/>
              <w:rPr>
                <w:sz w:val="16"/>
                <w:szCs w:val="16"/>
                <w:color w:val="auto"/>
              </w:rPr>
            </w:pPr>
          </w:p>
        </w:tc>
        <w:tc>
          <w:tcPr>
            <w:tcW w:w="8460" w:type="dxa"/>
            <w:vAlign w:val="bottom"/>
            <w:tcBorders>
              <w:bottom w:val="single" w:sz="8" w:color="0000FF"/>
            </w:tcBorders>
            <w:gridSpan w:val="30"/>
          </w:tcPr>
          <w:p>
            <w:pPr>
              <w:spacing w:after="0" w:line="167" w:lineRule="exact"/>
              <w:rPr>
                <w:rFonts w:ascii="Arial" w:cs="Arial" w:eastAsia="Arial" w:hAnsi="Arial"/>
                <w:sz w:val="18"/>
                <w:szCs w:val="18"/>
                <w:color w:val="0000FF"/>
                <w:w w:val="88"/>
              </w:rPr>
            </w:pPr>
            <w:hyperlink w:anchor="page84">
              <w:r>
                <w:rPr>
                  <w:rFonts w:ascii="Arial" w:cs="Arial" w:eastAsia="Arial" w:hAnsi="Arial"/>
                  <w:sz w:val="18"/>
                  <w:szCs w:val="18"/>
                  <w:color w:val="0000FF"/>
                  <w:w w:val="88"/>
                </w:rPr>
                <w:t>Item 5. Market for Registrant's Common Equity, Related Stockholder Matters and Issuer Purchases of Equity Securities</w:t>
              </w:r>
            </w:hyperlink>
          </w:p>
        </w:tc>
        <w:tc>
          <w:tcPr>
            <w:tcW w:w="920" w:type="dxa"/>
            <w:vAlign w:val="bottom"/>
          </w:tcPr>
          <w:p>
            <w:pPr>
              <w:spacing w:after="0"/>
              <w:rPr>
                <w:sz w:val="16"/>
                <w:szCs w:val="16"/>
                <w:color w:val="auto"/>
              </w:rPr>
            </w:pPr>
          </w:p>
        </w:tc>
        <w:tc>
          <w:tcPr>
            <w:tcW w:w="1300" w:type="dxa"/>
            <w:vAlign w:val="bottom"/>
          </w:tcPr>
          <w:p>
            <w:pPr>
              <w:jc w:val="center"/>
              <w:ind w:left="872"/>
              <w:spacing w:after="0" w:line="167" w:lineRule="exact"/>
              <w:rPr>
                <w:rFonts w:ascii="Arial" w:cs="Arial" w:eastAsia="Arial" w:hAnsi="Arial"/>
                <w:sz w:val="18"/>
                <w:szCs w:val="18"/>
                <w:color w:val="auto"/>
                <w:w w:val="89"/>
              </w:rPr>
            </w:pPr>
            <w:hyperlink w:anchor="page84">
              <w:r>
                <w:rPr>
                  <w:rFonts w:ascii="Arial" w:cs="Arial" w:eastAsia="Arial" w:hAnsi="Arial"/>
                  <w:sz w:val="18"/>
                  <w:szCs w:val="18"/>
                  <w:color w:val="auto"/>
                  <w:w w:val="89"/>
                </w:rPr>
                <w:t>82</w:t>
              </w:r>
            </w:hyperlink>
          </w:p>
        </w:tc>
      </w:tr>
      <w:tr>
        <w:trPr>
          <w:trHeight w:val="219"/>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84">
              <w:r>
                <w:rPr>
                  <w:rFonts w:ascii="Arial" w:cs="Arial" w:eastAsia="Arial" w:hAnsi="Arial"/>
                  <w:sz w:val="18"/>
                  <w:szCs w:val="18"/>
                  <w:color w:val="0000FF"/>
                </w:rPr>
                <w:t>Item 7. Management's Discussion and Analysis of Financial Condition and Results of Operations</w:t>
              </w:r>
            </w:hyperlink>
          </w:p>
        </w:tc>
        <w:tc>
          <w:tcPr>
            <w:tcW w:w="1300" w:type="dxa"/>
            <w:vAlign w:val="bottom"/>
          </w:tcPr>
          <w:p>
            <w:pPr>
              <w:jc w:val="center"/>
              <w:ind w:left="872"/>
              <w:spacing w:after="0" w:line="205" w:lineRule="exact"/>
              <w:rPr>
                <w:rFonts w:ascii="Arial" w:cs="Arial" w:eastAsia="Arial" w:hAnsi="Arial"/>
                <w:sz w:val="18"/>
                <w:szCs w:val="18"/>
                <w:color w:val="auto"/>
                <w:w w:val="89"/>
              </w:rPr>
            </w:pPr>
            <w:hyperlink w:anchor="page84">
              <w:r>
                <w:rPr>
                  <w:rFonts w:ascii="Arial" w:cs="Arial" w:eastAsia="Arial" w:hAnsi="Arial"/>
                  <w:sz w:val="18"/>
                  <w:szCs w:val="18"/>
                  <w:color w:val="auto"/>
                  <w:w w:val="89"/>
                </w:rPr>
                <w:t>82</w:t>
              </w:r>
            </w:hyperlink>
          </w:p>
        </w:tc>
      </w:tr>
      <w:tr>
        <w:trPr>
          <w:trHeight w:val="218"/>
        </w:trPr>
        <w:tc>
          <w:tcPr>
            <w:tcW w:w="400" w:type="dxa"/>
            <w:vAlign w:val="bottom"/>
          </w:tcPr>
          <w:p>
            <w:pPr>
              <w:spacing w:after="0"/>
              <w:rPr>
                <w:sz w:val="19"/>
                <w:szCs w:val="19"/>
                <w:color w:val="auto"/>
              </w:rPr>
            </w:pPr>
          </w:p>
        </w:tc>
        <w:tc>
          <w:tcPr>
            <w:tcW w:w="6860" w:type="dxa"/>
            <w:vAlign w:val="bottom"/>
            <w:tcBorders>
              <w:top w:val="single" w:sz="8" w:color="0000FF"/>
            </w:tcBorders>
            <w:gridSpan w:val="26"/>
          </w:tcPr>
          <w:p>
            <w:pPr>
              <w:spacing w:after="0" w:line="205" w:lineRule="exact"/>
              <w:rPr>
                <w:rFonts w:ascii="Arial" w:cs="Arial" w:eastAsia="Arial" w:hAnsi="Arial"/>
                <w:sz w:val="18"/>
                <w:szCs w:val="18"/>
                <w:color w:val="0000FF"/>
              </w:rPr>
            </w:pPr>
            <w:hyperlink w:anchor="page108">
              <w:r>
                <w:rPr>
                  <w:rFonts w:ascii="Arial" w:cs="Arial" w:eastAsia="Arial" w:hAnsi="Arial"/>
                  <w:sz w:val="18"/>
                  <w:szCs w:val="18"/>
                  <w:color w:val="0000FF"/>
                </w:rPr>
                <w:t>Item 7A. Quantitative and Qualitative Disclosures About Market Risk</w:t>
              </w:r>
            </w:hyperlink>
          </w:p>
        </w:tc>
        <w:tc>
          <w:tcPr>
            <w:tcW w:w="2520" w:type="dxa"/>
            <w:vAlign w:val="bottom"/>
            <w:gridSpan w:val="5"/>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08">
              <w:r>
                <w:rPr>
                  <w:rFonts w:ascii="Arial" w:cs="Arial" w:eastAsia="Arial" w:hAnsi="Arial"/>
                  <w:sz w:val="18"/>
                  <w:szCs w:val="18"/>
                  <w:color w:val="auto"/>
                  <w:w w:val="86"/>
                </w:rPr>
                <w:t>106</w:t>
              </w:r>
            </w:hyperlink>
          </w:p>
        </w:tc>
      </w:tr>
      <w:tr>
        <w:trPr>
          <w:trHeight w:val="218"/>
        </w:trPr>
        <w:tc>
          <w:tcPr>
            <w:tcW w:w="400" w:type="dxa"/>
            <w:vAlign w:val="bottom"/>
          </w:tcPr>
          <w:p>
            <w:pPr>
              <w:spacing w:after="0"/>
              <w:rPr>
                <w:sz w:val="19"/>
                <w:szCs w:val="19"/>
                <w:color w:val="auto"/>
              </w:rPr>
            </w:pPr>
          </w:p>
        </w:tc>
        <w:tc>
          <w:tcPr>
            <w:tcW w:w="3820" w:type="dxa"/>
            <w:vAlign w:val="bottom"/>
            <w:tcBorders>
              <w:top w:val="single" w:sz="8" w:color="0000FF"/>
              <w:bottom w:val="single" w:sz="8" w:color="0000FF"/>
            </w:tcBorders>
            <w:gridSpan w:val="20"/>
          </w:tcPr>
          <w:p>
            <w:pPr>
              <w:spacing w:after="0" w:line="205" w:lineRule="exact"/>
              <w:rPr>
                <w:rFonts w:ascii="Arial" w:cs="Arial" w:eastAsia="Arial" w:hAnsi="Arial"/>
                <w:sz w:val="18"/>
                <w:szCs w:val="18"/>
                <w:color w:val="0000FF"/>
                <w:w w:val="87"/>
              </w:rPr>
            </w:pPr>
            <w:hyperlink w:anchor="page108">
              <w:r>
                <w:rPr>
                  <w:rFonts w:ascii="Arial" w:cs="Arial" w:eastAsia="Arial" w:hAnsi="Arial"/>
                  <w:sz w:val="18"/>
                  <w:szCs w:val="18"/>
                  <w:color w:val="0000FF"/>
                  <w:w w:val="87"/>
                </w:rPr>
                <w:t>Item 8. Financial Statements and Supplementary Data</w:t>
              </w:r>
            </w:hyperlink>
          </w:p>
        </w:tc>
        <w:tc>
          <w:tcPr>
            <w:tcW w:w="1120" w:type="dxa"/>
            <w:vAlign w:val="bottom"/>
            <w:tcBorders>
              <w:top w:val="single" w:sz="8" w:color="0000FF"/>
            </w:tcBorders>
            <w:gridSpan w:val="3"/>
          </w:tcPr>
          <w:p>
            <w:pPr>
              <w:spacing w:after="0"/>
              <w:rPr>
                <w:sz w:val="19"/>
                <w:szCs w:val="19"/>
                <w:color w:val="auto"/>
              </w:rPr>
            </w:pPr>
          </w:p>
        </w:tc>
        <w:tc>
          <w:tcPr>
            <w:tcW w:w="4440" w:type="dxa"/>
            <w:vAlign w:val="bottom"/>
            <w:gridSpan w:val="8"/>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08">
              <w:r>
                <w:rPr>
                  <w:rFonts w:ascii="Arial" w:cs="Arial" w:eastAsia="Arial" w:hAnsi="Arial"/>
                  <w:sz w:val="18"/>
                  <w:szCs w:val="18"/>
                  <w:color w:val="auto"/>
                  <w:w w:val="86"/>
                </w:rPr>
                <w:t>107</w:t>
              </w:r>
            </w:hyperlink>
          </w:p>
        </w:tc>
      </w:tr>
      <w:tr>
        <w:trPr>
          <w:trHeight w:val="21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Borders>
              <w:bottom w:val="single" w:sz="8" w:color="0000FF"/>
            </w:tcBorders>
            <w:gridSpan w:val="8"/>
          </w:tcPr>
          <w:p>
            <w:pPr>
              <w:spacing w:after="0" w:line="205" w:lineRule="exact"/>
              <w:rPr>
                <w:rFonts w:ascii="Arial" w:cs="Arial" w:eastAsia="Arial" w:hAnsi="Arial"/>
                <w:sz w:val="18"/>
                <w:szCs w:val="18"/>
                <w:color w:val="0000FF"/>
                <w:w w:val="86"/>
              </w:rPr>
            </w:pPr>
            <w:hyperlink w:anchor="page110">
              <w:r>
                <w:rPr>
                  <w:rFonts w:ascii="Arial" w:cs="Arial" w:eastAsia="Arial" w:hAnsi="Arial"/>
                  <w:sz w:val="18"/>
                  <w:szCs w:val="18"/>
                  <w:color w:val="0000FF"/>
                  <w:w w:val="86"/>
                </w:rPr>
                <w:t>Consolidated Balance Sheets</w:t>
              </w:r>
            </w:hyperlink>
          </w:p>
        </w:tc>
        <w:tc>
          <w:tcPr>
            <w:tcW w:w="7240" w:type="dxa"/>
            <w:vAlign w:val="bottom"/>
            <w:gridSpan w:val="22"/>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10">
              <w:r>
                <w:rPr>
                  <w:rFonts w:ascii="Arial" w:cs="Arial" w:eastAsia="Arial" w:hAnsi="Arial"/>
                  <w:sz w:val="18"/>
                  <w:szCs w:val="18"/>
                  <w:color w:val="auto"/>
                  <w:w w:val="86"/>
                </w:rPr>
                <w:t>109</w:t>
              </w:r>
            </w:hyperlink>
          </w:p>
        </w:tc>
      </w:tr>
      <w:tr>
        <w:trPr>
          <w:trHeight w:val="21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0" w:type="dxa"/>
            <w:vAlign w:val="bottom"/>
            <w:tcBorders>
              <w:bottom w:val="single" w:sz="8" w:color="0000FF"/>
            </w:tcBorders>
            <w:gridSpan w:val="21"/>
          </w:tcPr>
          <w:p>
            <w:pPr>
              <w:spacing w:after="0" w:line="205" w:lineRule="exact"/>
              <w:rPr>
                <w:rFonts w:ascii="Arial" w:cs="Arial" w:eastAsia="Arial" w:hAnsi="Arial"/>
                <w:sz w:val="18"/>
                <w:szCs w:val="18"/>
                <w:color w:val="0000FF"/>
                <w:w w:val="87"/>
              </w:rPr>
            </w:pPr>
            <w:hyperlink w:anchor="page112">
              <w:r>
                <w:rPr>
                  <w:rFonts w:ascii="Arial" w:cs="Arial" w:eastAsia="Arial" w:hAnsi="Arial"/>
                  <w:sz w:val="18"/>
                  <w:szCs w:val="18"/>
                  <w:color w:val="0000FF"/>
                  <w:w w:val="87"/>
                </w:rPr>
                <w:t>Consolidated Statements of Operations and Comprehensive Loss</w:t>
              </w:r>
            </w:hyperlink>
          </w:p>
        </w:tc>
        <w:tc>
          <w:tcPr>
            <w:tcW w:w="4700" w:type="dxa"/>
            <w:vAlign w:val="bottom"/>
            <w:gridSpan w:val="9"/>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12">
              <w:r>
                <w:rPr>
                  <w:rFonts w:ascii="Arial" w:cs="Arial" w:eastAsia="Arial" w:hAnsi="Arial"/>
                  <w:sz w:val="18"/>
                  <w:szCs w:val="18"/>
                  <w:color w:val="auto"/>
                  <w:w w:val="86"/>
                </w:rPr>
                <w:t>111</w:t>
              </w:r>
            </w:hyperlink>
          </w:p>
        </w:tc>
      </w:tr>
      <w:tr>
        <w:trPr>
          <w:trHeight w:val="219"/>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300" w:type="dxa"/>
            <w:vAlign w:val="bottom"/>
            <w:gridSpan w:val="30"/>
          </w:tcPr>
          <w:p>
            <w:pPr>
              <w:spacing w:after="0"/>
              <w:rPr>
                <w:rFonts w:ascii="Arial" w:cs="Arial" w:eastAsia="Arial" w:hAnsi="Arial"/>
                <w:sz w:val="18"/>
                <w:szCs w:val="18"/>
                <w:color w:val="0000FF"/>
              </w:rPr>
            </w:pPr>
            <w:hyperlink w:anchor="page113">
              <w:r>
                <w:rPr>
                  <w:rFonts w:ascii="Arial" w:cs="Arial" w:eastAsia="Arial" w:hAnsi="Arial"/>
                  <w:sz w:val="18"/>
                  <w:szCs w:val="18"/>
                  <w:color w:val="0000FF"/>
                </w:rPr>
                <w:t>Consolidated Statement of Redeemable Convertible Preferred Stock and Stockholders' Equity (Deficit</w:t>
              </w:r>
            </w:hyperlink>
            <w:r>
              <w:rPr>
                <w:rFonts w:ascii="Arial" w:cs="Arial" w:eastAsia="Arial" w:hAnsi="Arial"/>
                <w:sz w:val="18"/>
                <w:szCs w:val="18"/>
                <w:color w:val="000000"/>
              </w:rPr>
              <w:t>)</w:t>
            </w:r>
          </w:p>
        </w:tc>
        <w:tc>
          <w:tcPr>
            <w:tcW w:w="1300" w:type="dxa"/>
            <w:vAlign w:val="bottom"/>
          </w:tcPr>
          <w:p>
            <w:pPr>
              <w:jc w:val="center"/>
              <w:ind w:left="872"/>
              <w:spacing w:after="0"/>
              <w:rPr>
                <w:rFonts w:ascii="Arial" w:cs="Arial" w:eastAsia="Arial" w:hAnsi="Arial"/>
                <w:sz w:val="18"/>
                <w:szCs w:val="18"/>
                <w:color w:val="auto"/>
                <w:w w:val="86"/>
              </w:rPr>
            </w:pPr>
            <w:hyperlink w:anchor="page113">
              <w:r>
                <w:rPr>
                  <w:rFonts w:ascii="Arial" w:cs="Arial" w:eastAsia="Arial" w:hAnsi="Arial"/>
                  <w:sz w:val="18"/>
                  <w:szCs w:val="18"/>
                  <w:color w:val="auto"/>
                  <w:w w:val="86"/>
                </w:rPr>
                <w:t>112</w:t>
              </w:r>
            </w:hyperlink>
          </w:p>
        </w:tc>
      </w:tr>
      <w:tr>
        <w:trPr>
          <w:trHeight w:val="218"/>
        </w:trPr>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tcBorders>
              <w:top w:val="single" w:sz="8" w:color="0000FF"/>
              <w:bottom w:val="single" w:sz="8" w:color="0000FF"/>
            </w:tcBorders>
            <w:gridSpan w:val="14"/>
          </w:tcPr>
          <w:p>
            <w:pPr>
              <w:spacing w:after="0" w:line="205" w:lineRule="exact"/>
              <w:rPr>
                <w:rFonts w:ascii="Arial" w:cs="Arial" w:eastAsia="Arial" w:hAnsi="Arial"/>
                <w:sz w:val="18"/>
                <w:szCs w:val="18"/>
                <w:color w:val="0000FF"/>
                <w:w w:val="87"/>
              </w:rPr>
            </w:pPr>
            <w:hyperlink w:anchor="page114">
              <w:r>
                <w:rPr>
                  <w:rFonts w:ascii="Arial" w:cs="Arial" w:eastAsia="Arial" w:hAnsi="Arial"/>
                  <w:sz w:val="18"/>
                  <w:szCs w:val="18"/>
                  <w:color w:val="0000FF"/>
                  <w:w w:val="87"/>
                </w:rPr>
                <w:t>Consolidated Statements of Cash Flows</w:t>
              </w:r>
            </w:hyperlink>
          </w:p>
        </w:tc>
        <w:tc>
          <w:tcPr>
            <w:tcW w:w="4400" w:type="dxa"/>
            <w:vAlign w:val="bottom"/>
            <w:tcBorders>
              <w:top w:val="single" w:sz="8" w:color="0000FF"/>
            </w:tcBorders>
            <w:gridSpan w:val="13"/>
          </w:tcPr>
          <w:p>
            <w:pPr>
              <w:spacing w:after="0"/>
              <w:rPr>
                <w:sz w:val="19"/>
                <w:szCs w:val="19"/>
                <w:color w:val="auto"/>
              </w:rPr>
            </w:pPr>
          </w:p>
        </w:tc>
        <w:tc>
          <w:tcPr>
            <w:tcW w:w="2080" w:type="dxa"/>
            <w:vAlign w:val="bottom"/>
            <w:gridSpan w:val="3"/>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14">
              <w:r>
                <w:rPr>
                  <w:rFonts w:ascii="Arial" w:cs="Arial" w:eastAsia="Arial" w:hAnsi="Arial"/>
                  <w:sz w:val="18"/>
                  <w:szCs w:val="18"/>
                  <w:color w:val="auto"/>
                  <w:w w:val="86"/>
                </w:rPr>
                <w:t>113</w:t>
              </w:r>
            </w:hyperlink>
          </w:p>
        </w:tc>
      </w:tr>
      <w:tr>
        <w:trPr>
          <w:trHeight w:val="391"/>
        </w:trPr>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00" w:type="dxa"/>
            <w:vAlign w:val="bottom"/>
            <w:tcBorders>
              <w:bottom w:val="single" w:sz="8" w:color="0000FF"/>
            </w:tcBorders>
            <w:gridSpan w:val="15"/>
          </w:tcPr>
          <w:p>
            <w:pPr>
              <w:spacing w:after="0"/>
              <w:rPr>
                <w:rFonts w:ascii="Arial" w:cs="Arial" w:eastAsia="Arial" w:hAnsi="Arial"/>
                <w:sz w:val="18"/>
                <w:szCs w:val="18"/>
                <w:color w:val="0000FF"/>
                <w:w w:val="87"/>
              </w:rPr>
            </w:pPr>
            <w:hyperlink w:anchor="page116">
              <w:r>
                <w:rPr>
                  <w:rFonts w:ascii="Arial" w:cs="Arial" w:eastAsia="Arial" w:hAnsi="Arial"/>
                  <w:sz w:val="18"/>
                  <w:szCs w:val="18"/>
                  <w:color w:val="0000FF"/>
                  <w:w w:val="87"/>
                </w:rPr>
                <w:t>Notes to Consolidated Financial Statements</w:t>
              </w:r>
            </w:hyperlink>
          </w:p>
        </w:tc>
        <w:tc>
          <w:tcPr>
            <w:tcW w:w="6200" w:type="dxa"/>
            <w:vAlign w:val="bottom"/>
            <w:gridSpan w:val="15"/>
          </w:tcPr>
          <w:p>
            <w:pPr>
              <w:spacing w:after="0"/>
              <w:rPr>
                <w:sz w:val="24"/>
                <w:szCs w:val="24"/>
                <w:color w:val="auto"/>
              </w:rPr>
            </w:pPr>
          </w:p>
        </w:tc>
        <w:tc>
          <w:tcPr>
            <w:tcW w:w="1300" w:type="dxa"/>
            <w:vAlign w:val="bottom"/>
          </w:tcPr>
          <w:p>
            <w:pPr>
              <w:jc w:val="center"/>
              <w:ind w:left="872"/>
              <w:spacing w:after="0"/>
              <w:rPr>
                <w:rFonts w:ascii="Arial" w:cs="Arial" w:eastAsia="Arial" w:hAnsi="Arial"/>
                <w:sz w:val="18"/>
                <w:szCs w:val="18"/>
                <w:color w:val="auto"/>
                <w:w w:val="86"/>
              </w:rPr>
            </w:pPr>
            <w:hyperlink w:anchor="page116">
              <w:r>
                <w:rPr>
                  <w:rFonts w:ascii="Arial" w:cs="Arial" w:eastAsia="Arial" w:hAnsi="Arial"/>
                  <w:sz w:val="18"/>
                  <w:szCs w:val="18"/>
                  <w:color w:val="auto"/>
                  <w:w w:val="86"/>
                </w:rPr>
                <w:t>115</w:t>
              </w:r>
            </w:hyperlink>
          </w:p>
        </w:tc>
      </w:tr>
      <w:tr>
        <w:trPr>
          <w:trHeight w:val="218"/>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47">
              <w:r>
                <w:rPr>
                  <w:rFonts w:ascii="Arial" w:cs="Arial" w:eastAsia="Arial" w:hAnsi="Arial"/>
                  <w:sz w:val="18"/>
                  <w:szCs w:val="18"/>
                  <w:color w:val="0000FF"/>
                </w:rPr>
                <w:t>Item 9. Changes in and Disagreements With Accountants on Accounting and Financial Disclosures</w:t>
              </w:r>
            </w:hyperlink>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47">
              <w:r>
                <w:rPr>
                  <w:rFonts w:ascii="Arial" w:cs="Arial" w:eastAsia="Arial" w:hAnsi="Arial"/>
                  <w:sz w:val="18"/>
                  <w:szCs w:val="18"/>
                  <w:color w:val="auto"/>
                  <w:w w:val="86"/>
                </w:rPr>
                <w:t>146</w:t>
              </w:r>
            </w:hyperlink>
          </w:p>
        </w:tc>
      </w:tr>
      <w:tr>
        <w:trPr>
          <w:trHeight w:val="219"/>
        </w:trPr>
        <w:tc>
          <w:tcPr>
            <w:tcW w:w="400" w:type="dxa"/>
            <w:vAlign w:val="bottom"/>
          </w:tcPr>
          <w:p>
            <w:pPr>
              <w:spacing w:after="0"/>
              <w:rPr>
                <w:sz w:val="19"/>
                <w:szCs w:val="19"/>
                <w:color w:val="auto"/>
              </w:rPr>
            </w:pPr>
          </w:p>
        </w:tc>
        <w:tc>
          <w:tcPr>
            <w:tcW w:w="2420" w:type="dxa"/>
            <w:vAlign w:val="bottom"/>
            <w:tcBorders>
              <w:top w:val="single" w:sz="8" w:color="0000FF"/>
              <w:bottom w:val="single" w:sz="8" w:color="0000FF"/>
            </w:tcBorders>
            <w:gridSpan w:val="13"/>
          </w:tcPr>
          <w:p>
            <w:pPr>
              <w:spacing w:after="0" w:line="205" w:lineRule="exact"/>
              <w:rPr>
                <w:rFonts w:ascii="Arial" w:cs="Arial" w:eastAsia="Arial" w:hAnsi="Arial"/>
                <w:sz w:val="18"/>
                <w:szCs w:val="18"/>
                <w:color w:val="0000FF"/>
                <w:w w:val="88"/>
              </w:rPr>
            </w:pPr>
            <w:hyperlink w:anchor="page148">
              <w:r>
                <w:rPr>
                  <w:rFonts w:ascii="Arial" w:cs="Arial" w:eastAsia="Arial" w:hAnsi="Arial"/>
                  <w:sz w:val="18"/>
                  <w:szCs w:val="18"/>
                  <w:color w:val="0000FF"/>
                  <w:w w:val="88"/>
                </w:rPr>
                <w:t>Item 9A. Controls and Procedures</w:t>
              </w:r>
            </w:hyperlink>
          </w:p>
        </w:tc>
        <w:tc>
          <w:tcPr>
            <w:tcW w:w="4580" w:type="dxa"/>
            <w:vAlign w:val="bottom"/>
            <w:tcBorders>
              <w:top w:val="single" w:sz="8" w:color="0000FF"/>
            </w:tcBorders>
            <w:gridSpan w:val="14"/>
          </w:tcPr>
          <w:p>
            <w:pPr>
              <w:spacing w:after="0"/>
              <w:rPr>
                <w:sz w:val="19"/>
                <w:szCs w:val="19"/>
                <w:color w:val="auto"/>
              </w:rPr>
            </w:pPr>
          </w:p>
        </w:tc>
        <w:tc>
          <w:tcPr>
            <w:tcW w:w="2380" w:type="dxa"/>
            <w:vAlign w:val="bottom"/>
            <w:gridSpan w:val="4"/>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48">
              <w:r>
                <w:rPr>
                  <w:rFonts w:ascii="Arial" w:cs="Arial" w:eastAsia="Arial" w:hAnsi="Arial"/>
                  <w:sz w:val="18"/>
                  <w:szCs w:val="18"/>
                  <w:color w:val="auto"/>
                  <w:w w:val="86"/>
                </w:rPr>
                <w:t>146</w:t>
              </w:r>
            </w:hyperlink>
          </w:p>
        </w:tc>
      </w:tr>
      <w:tr>
        <w:trPr>
          <w:trHeight w:val="218"/>
        </w:trPr>
        <w:tc>
          <w:tcPr>
            <w:tcW w:w="400" w:type="dxa"/>
            <w:vAlign w:val="bottom"/>
          </w:tcPr>
          <w:p>
            <w:pPr>
              <w:spacing w:after="0"/>
              <w:rPr>
                <w:sz w:val="19"/>
                <w:szCs w:val="19"/>
                <w:color w:val="auto"/>
              </w:rPr>
            </w:pPr>
          </w:p>
        </w:tc>
        <w:tc>
          <w:tcPr>
            <w:tcW w:w="1960" w:type="dxa"/>
            <w:vAlign w:val="bottom"/>
            <w:tcBorders>
              <w:bottom w:val="single" w:sz="8" w:color="0000FF"/>
            </w:tcBorders>
            <w:gridSpan w:val="8"/>
          </w:tcPr>
          <w:p>
            <w:pPr>
              <w:spacing w:after="0" w:line="205" w:lineRule="exact"/>
              <w:rPr>
                <w:rFonts w:ascii="Arial" w:cs="Arial" w:eastAsia="Arial" w:hAnsi="Arial"/>
                <w:sz w:val="18"/>
                <w:szCs w:val="18"/>
                <w:color w:val="0000FF"/>
                <w:w w:val="91"/>
              </w:rPr>
            </w:pPr>
            <w:hyperlink w:anchor="page151">
              <w:r>
                <w:rPr>
                  <w:rFonts w:ascii="Arial" w:cs="Arial" w:eastAsia="Arial" w:hAnsi="Arial"/>
                  <w:sz w:val="18"/>
                  <w:szCs w:val="18"/>
                  <w:color w:val="0000FF"/>
                  <w:w w:val="91"/>
                </w:rPr>
                <w:t>Item 9B. Other Information</w:t>
              </w:r>
            </w:hyperlink>
          </w:p>
        </w:tc>
        <w:tc>
          <w:tcPr>
            <w:tcW w:w="7420" w:type="dxa"/>
            <w:vAlign w:val="bottom"/>
            <w:gridSpan w:val="23"/>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51">
              <w:r>
                <w:rPr>
                  <w:rFonts w:ascii="Arial" w:cs="Arial" w:eastAsia="Arial" w:hAnsi="Arial"/>
                  <w:sz w:val="18"/>
                  <w:szCs w:val="18"/>
                  <w:color w:val="auto"/>
                  <w:w w:val="86"/>
                </w:rPr>
                <w:t>149</w:t>
              </w:r>
            </w:hyperlink>
          </w:p>
        </w:tc>
      </w:tr>
      <w:tr>
        <w:trPr>
          <w:trHeight w:val="219"/>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51">
              <w:r>
                <w:rPr>
                  <w:rFonts w:ascii="Arial" w:cs="Arial" w:eastAsia="Arial" w:hAnsi="Arial"/>
                  <w:sz w:val="18"/>
                  <w:szCs w:val="18"/>
                  <w:color w:val="0000FF"/>
                </w:rPr>
                <w:t>Item 9C. Disclosure Regarding Foreign Jurisdictions that Prevent Inspections</w:t>
              </w:r>
            </w:hyperlink>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51">
              <w:r>
                <w:rPr>
                  <w:rFonts w:ascii="Arial" w:cs="Arial" w:eastAsia="Arial" w:hAnsi="Arial"/>
                  <w:sz w:val="18"/>
                  <w:szCs w:val="18"/>
                  <w:color w:val="auto"/>
                  <w:w w:val="86"/>
                </w:rPr>
                <w:t>149</w:t>
              </w:r>
            </w:hyperlink>
          </w:p>
        </w:tc>
      </w:tr>
      <w:tr>
        <w:trPr>
          <w:trHeight w:val="20"/>
        </w:trPr>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09"/>
        </w:trPr>
        <w:tc>
          <w:tcPr>
            <w:tcW w:w="9780" w:type="dxa"/>
            <w:vAlign w:val="bottom"/>
            <w:gridSpan w:val="32"/>
          </w:tcPr>
          <w:p>
            <w:pPr>
              <w:spacing w:after="0"/>
              <w:rPr>
                <w:sz w:val="20"/>
                <w:szCs w:val="20"/>
                <w:color w:val="auto"/>
              </w:rPr>
            </w:pPr>
            <w:r>
              <w:rPr>
                <w:rFonts w:ascii="Arial" w:cs="Arial" w:eastAsia="Arial" w:hAnsi="Arial"/>
                <w:sz w:val="18"/>
                <w:szCs w:val="18"/>
                <w:b w:val="1"/>
                <w:bCs w:val="1"/>
                <w:color w:val="auto"/>
              </w:rPr>
              <w:t>PART III</w:t>
            </w:r>
          </w:p>
        </w:tc>
        <w:tc>
          <w:tcPr>
            <w:tcW w:w="1300" w:type="dxa"/>
            <w:vAlign w:val="bottom"/>
          </w:tcPr>
          <w:p>
            <w:pPr>
              <w:spacing w:after="0"/>
              <w:rPr>
                <w:sz w:val="24"/>
                <w:szCs w:val="24"/>
                <w:color w:val="auto"/>
              </w:rPr>
            </w:pPr>
          </w:p>
        </w:tc>
      </w:tr>
      <w:tr>
        <w:trPr>
          <w:trHeight w:val="187"/>
        </w:trPr>
        <w:tc>
          <w:tcPr>
            <w:tcW w:w="400" w:type="dxa"/>
            <w:vAlign w:val="bottom"/>
          </w:tcPr>
          <w:p>
            <w:pPr>
              <w:spacing w:after="0"/>
              <w:rPr>
                <w:sz w:val="16"/>
                <w:szCs w:val="16"/>
                <w:color w:val="auto"/>
              </w:rPr>
            </w:pPr>
          </w:p>
        </w:tc>
        <w:tc>
          <w:tcPr>
            <w:tcW w:w="4660" w:type="dxa"/>
            <w:vAlign w:val="bottom"/>
            <w:tcBorders>
              <w:bottom w:val="single" w:sz="8" w:color="0000FF"/>
            </w:tcBorders>
            <w:gridSpan w:val="21"/>
          </w:tcPr>
          <w:p>
            <w:pPr>
              <w:spacing w:after="0" w:line="167" w:lineRule="exact"/>
              <w:rPr>
                <w:sz w:val="20"/>
                <w:szCs w:val="20"/>
                <w:color w:val="auto"/>
              </w:rPr>
            </w:pPr>
            <w:r>
              <w:rPr>
                <w:rFonts w:ascii="Arial" w:cs="Arial" w:eastAsia="Arial" w:hAnsi="Arial"/>
                <w:sz w:val="18"/>
                <w:szCs w:val="18"/>
                <w:color w:val="0000FF"/>
                <w:w w:val="89"/>
              </w:rPr>
              <w:t>Item 10. Directors, Executive Officers and Corporate Governance</w:t>
            </w:r>
          </w:p>
        </w:tc>
        <w:tc>
          <w:tcPr>
            <w:tcW w:w="4720" w:type="dxa"/>
            <w:vAlign w:val="bottom"/>
            <w:gridSpan w:val="10"/>
          </w:tcPr>
          <w:p>
            <w:pPr>
              <w:spacing w:after="0"/>
              <w:rPr>
                <w:sz w:val="16"/>
                <w:szCs w:val="16"/>
                <w:color w:val="auto"/>
              </w:rPr>
            </w:pPr>
          </w:p>
        </w:tc>
        <w:tc>
          <w:tcPr>
            <w:tcW w:w="1300" w:type="dxa"/>
            <w:vAlign w:val="bottom"/>
          </w:tcPr>
          <w:p>
            <w:pPr>
              <w:jc w:val="center"/>
              <w:ind w:left="872"/>
              <w:spacing w:after="0" w:line="167" w:lineRule="exact"/>
              <w:rPr>
                <w:rFonts w:ascii="Arial" w:cs="Arial" w:eastAsia="Arial" w:hAnsi="Arial"/>
                <w:sz w:val="18"/>
                <w:szCs w:val="18"/>
                <w:color w:val="auto"/>
                <w:w w:val="86"/>
              </w:rPr>
            </w:pPr>
            <w:hyperlink w:anchor="page152">
              <w:r>
                <w:rPr>
                  <w:rFonts w:ascii="Arial" w:cs="Arial" w:eastAsia="Arial" w:hAnsi="Arial"/>
                  <w:sz w:val="18"/>
                  <w:szCs w:val="18"/>
                  <w:color w:val="auto"/>
                  <w:w w:val="86"/>
                </w:rPr>
                <w:t>150</w:t>
              </w:r>
            </w:hyperlink>
          </w:p>
        </w:tc>
      </w:tr>
      <w:tr>
        <w:trPr>
          <w:trHeight w:val="218"/>
        </w:trPr>
        <w:tc>
          <w:tcPr>
            <w:tcW w:w="400" w:type="dxa"/>
            <w:vAlign w:val="bottom"/>
          </w:tcPr>
          <w:p>
            <w:pPr>
              <w:spacing w:after="0"/>
              <w:rPr>
                <w:sz w:val="19"/>
                <w:szCs w:val="19"/>
                <w:color w:val="auto"/>
              </w:rPr>
            </w:pPr>
          </w:p>
        </w:tc>
        <w:tc>
          <w:tcPr>
            <w:tcW w:w="2400" w:type="dxa"/>
            <w:vAlign w:val="bottom"/>
            <w:tcBorders>
              <w:bottom w:val="single" w:sz="8" w:color="0000FF"/>
            </w:tcBorders>
            <w:gridSpan w:val="12"/>
          </w:tcPr>
          <w:p>
            <w:pPr>
              <w:spacing w:after="0" w:line="205" w:lineRule="exact"/>
              <w:rPr>
                <w:sz w:val="20"/>
                <w:szCs w:val="20"/>
                <w:color w:val="auto"/>
              </w:rPr>
            </w:pPr>
            <w:r>
              <w:rPr>
                <w:rFonts w:ascii="Arial" w:cs="Arial" w:eastAsia="Arial" w:hAnsi="Arial"/>
                <w:sz w:val="18"/>
                <w:szCs w:val="18"/>
                <w:color w:val="0000FF"/>
                <w:w w:val="88"/>
              </w:rPr>
              <w:t>Item 11. Executive Compensation</w:t>
            </w:r>
          </w:p>
        </w:tc>
        <w:tc>
          <w:tcPr>
            <w:tcW w:w="6980" w:type="dxa"/>
            <w:vAlign w:val="bottom"/>
            <w:gridSpan w:val="19"/>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60">
              <w:r>
                <w:rPr>
                  <w:rFonts w:ascii="Arial" w:cs="Arial" w:eastAsia="Arial" w:hAnsi="Arial"/>
                  <w:sz w:val="18"/>
                  <w:szCs w:val="18"/>
                  <w:color w:val="auto"/>
                  <w:w w:val="86"/>
                </w:rPr>
                <w:t>158</w:t>
              </w:r>
            </w:hyperlink>
          </w:p>
        </w:tc>
      </w:tr>
      <w:tr>
        <w:trPr>
          <w:trHeight w:val="218"/>
        </w:trPr>
        <w:tc>
          <w:tcPr>
            <w:tcW w:w="400" w:type="dxa"/>
            <w:vAlign w:val="bottom"/>
          </w:tcPr>
          <w:p>
            <w:pPr>
              <w:spacing w:after="0"/>
              <w:rPr>
                <w:sz w:val="19"/>
                <w:szCs w:val="19"/>
                <w:color w:val="auto"/>
              </w:rPr>
            </w:pPr>
          </w:p>
        </w:tc>
        <w:tc>
          <w:tcPr>
            <w:tcW w:w="7720" w:type="dxa"/>
            <w:vAlign w:val="bottom"/>
            <w:tcBorders>
              <w:bottom w:val="single" w:sz="8" w:color="0000FF"/>
            </w:tcBorders>
            <w:gridSpan w:val="29"/>
          </w:tcPr>
          <w:p>
            <w:pPr>
              <w:spacing w:after="0" w:line="205" w:lineRule="exact"/>
              <w:rPr>
                <w:sz w:val="20"/>
                <w:szCs w:val="20"/>
                <w:color w:val="auto"/>
              </w:rPr>
            </w:pPr>
            <w:r>
              <w:rPr>
                <w:rFonts w:ascii="Arial" w:cs="Arial" w:eastAsia="Arial" w:hAnsi="Arial"/>
                <w:sz w:val="18"/>
                <w:szCs w:val="18"/>
                <w:color w:val="0000FF"/>
                <w:w w:val="89"/>
              </w:rPr>
              <w:t>Item 12. Security Ownership of Certain Beneficial Owner and Management and Related Stockholder Matters</w:t>
            </w:r>
          </w:p>
        </w:tc>
        <w:tc>
          <w:tcPr>
            <w:tcW w:w="1660" w:type="dxa"/>
            <w:vAlign w:val="bottom"/>
            <w:gridSpan w:val="2"/>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70">
              <w:r>
                <w:rPr>
                  <w:rFonts w:ascii="Arial" w:cs="Arial" w:eastAsia="Arial" w:hAnsi="Arial"/>
                  <w:sz w:val="18"/>
                  <w:szCs w:val="18"/>
                  <w:color w:val="auto"/>
                  <w:w w:val="86"/>
                </w:rPr>
                <w:t>169</w:t>
              </w:r>
            </w:hyperlink>
          </w:p>
        </w:tc>
      </w:tr>
      <w:tr>
        <w:trPr>
          <w:trHeight w:val="219"/>
        </w:trPr>
        <w:tc>
          <w:tcPr>
            <w:tcW w:w="400" w:type="dxa"/>
            <w:vAlign w:val="bottom"/>
          </w:tcPr>
          <w:p>
            <w:pPr>
              <w:spacing w:after="0"/>
              <w:rPr>
                <w:sz w:val="19"/>
                <w:szCs w:val="19"/>
                <w:color w:val="auto"/>
              </w:rPr>
            </w:pPr>
          </w:p>
        </w:tc>
        <w:tc>
          <w:tcPr>
            <w:tcW w:w="9380" w:type="dxa"/>
            <w:vAlign w:val="bottom"/>
            <w:gridSpan w:val="31"/>
          </w:tcPr>
          <w:p>
            <w:pPr>
              <w:spacing w:after="0" w:line="205"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73">
              <w:r>
                <w:rPr>
                  <w:rFonts w:ascii="Arial" w:cs="Arial" w:eastAsia="Arial" w:hAnsi="Arial"/>
                  <w:sz w:val="18"/>
                  <w:szCs w:val="18"/>
                  <w:color w:val="auto"/>
                  <w:w w:val="86"/>
                </w:rPr>
                <w:t>171</w:t>
              </w:r>
            </w:hyperlink>
          </w:p>
        </w:tc>
      </w:tr>
      <w:tr>
        <w:trPr>
          <w:trHeight w:val="218"/>
        </w:trPr>
        <w:tc>
          <w:tcPr>
            <w:tcW w:w="400" w:type="dxa"/>
            <w:vAlign w:val="bottom"/>
          </w:tcPr>
          <w:p>
            <w:pPr>
              <w:spacing w:after="0"/>
              <w:rPr>
                <w:sz w:val="19"/>
                <w:szCs w:val="19"/>
                <w:color w:val="auto"/>
              </w:rPr>
            </w:pPr>
          </w:p>
        </w:tc>
        <w:tc>
          <w:tcPr>
            <w:tcW w:w="5980" w:type="dxa"/>
            <w:vAlign w:val="bottom"/>
            <w:tcBorders>
              <w:top w:val="single" w:sz="8" w:color="0000FF"/>
            </w:tcBorders>
            <w:gridSpan w:val="25"/>
          </w:tcPr>
          <w:p>
            <w:pPr>
              <w:spacing w:after="0" w:line="205" w:lineRule="exact"/>
              <w:rPr>
                <w:sz w:val="20"/>
                <w:szCs w:val="20"/>
                <w:color w:val="auto"/>
              </w:rPr>
            </w:pPr>
            <w:r>
              <w:rPr>
                <w:rFonts w:ascii="Arial" w:cs="Arial" w:eastAsia="Arial" w:hAnsi="Arial"/>
                <w:sz w:val="18"/>
                <w:szCs w:val="18"/>
                <w:color w:val="0000FF"/>
              </w:rPr>
              <w:t>Item 14. Principal Accounting Fees and Services</w:t>
            </w:r>
          </w:p>
        </w:tc>
        <w:tc>
          <w:tcPr>
            <w:tcW w:w="3400" w:type="dxa"/>
            <w:vAlign w:val="bottom"/>
            <w:gridSpan w:val="6"/>
          </w:tcPr>
          <w:p>
            <w:pPr>
              <w:spacing w:after="0"/>
              <w:rPr>
                <w:sz w:val="19"/>
                <w:szCs w:val="19"/>
                <w:color w:val="auto"/>
              </w:rPr>
            </w:pPr>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79">
              <w:r>
                <w:rPr>
                  <w:rFonts w:ascii="Arial" w:cs="Arial" w:eastAsia="Arial" w:hAnsi="Arial"/>
                  <w:sz w:val="18"/>
                  <w:szCs w:val="18"/>
                  <w:color w:val="auto"/>
                  <w:w w:val="86"/>
                </w:rPr>
                <w:t>177</w:t>
              </w:r>
            </w:hyperlink>
          </w:p>
        </w:tc>
      </w:tr>
      <w:tr>
        <w:trPr>
          <w:trHeight w:val="20"/>
        </w:trPr>
        <w:tc>
          <w:tcPr>
            <w:tcW w:w="4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20" w:type="dxa"/>
            <w:vAlign w:val="bottom"/>
            <w:gridSpan w:val="8"/>
            <w:shd w:val="clear" w:color="auto" w:fill="0000FF"/>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900" w:type="dxa"/>
            <w:vAlign w:val="bottom"/>
            <w:gridSpan w:val="1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509"/>
        </w:trPr>
        <w:tc>
          <w:tcPr>
            <w:tcW w:w="9780" w:type="dxa"/>
            <w:vAlign w:val="bottom"/>
            <w:gridSpan w:val="32"/>
          </w:tcPr>
          <w:p>
            <w:pPr>
              <w:spacing w:after="0"/>
              <w:rPr>
                <w:rFonts w:ascii="Arial" w:cs="Arial" w:eastAsia="Arial" w:hAnsi="Arial"/>
                <w:sz w:val="18"/>
                <w:szCs w:val="18"/>
                <w:b w:val="1"/>
                <w:bCs w:val="1"/>
                <w:color w:val="auto"/>
              </w:rPr>
            </w:pPr>
            <w:hyperlink w:anchor="page180">
              <w:r>
                <w:rPr>
                  <w:rFonts w:ascii="Arial" w:cs="Arial" w:eastAsia="Arial" w:hAnsi="Arial"/>
                  <w:sz w:val="18"/>
                  <w:szCs w:val="18"/>
                  <w:b w:val="1"/>
                  <w:bCs w:val="1"/>
                  <w:color w:val="auto"/>
                </w:rPr>
                <w:t>PART IV</w:t>
              </w:r>
            </w:hyperlink>
          </w:p>
        </w:tc>
        <w:tc>
          <w:tcPr>
            <w:tcW w:w="1300" w:type="dxa"/>
            <w:vAlign w:val="bottom"/>
          </w:tcPr>
          <w:p>
            <w:pPr>
              <w:spacing w:after="0"/>
              <w:rPr>
                <w:sz w:val="24"/>
                <w:szCs w:val="24"/>
                <w:color w:val="auto"/>
              </w:rPr>
            </w:pPr>
          </w:p>
        </w:tc>
      </w:tr>
      <w:tr>
        <w:trPr>
          <w:trHeight w:val="187"/>
        </w:trPr>
        <w:tc>
          <w:tcPr>
            <w:tcW w:w="400" w:type="dxa"/>
            <w:vAlign w:val="bottom"/>
          </w:tcPr>
          <w:p>
            <w:pPr>
              <w:spacing w:after="0"/>
              <w:rPr>
                <w:sz w:val="16"/>
                <w:szCs w:val="16"/>
                <w:color w:val="auto"/>
              </w:rPr>
            </w:pPr>
          </w:p>
        </w:tc>
        <w:tc>
          <w:tcPr>
            <w:tcW w:w="3480" w:type="dxa"/>
            <w:vAlign w:val="bottom"/>
            <w:tcBorders>
              <w:bottom w:val="single" w:sz="8" w:color="0000FF"/>
            </w:tcBorders>
            <w:gridSpan w:val="18"/>
          </w:tcPr>
          <w:p>
            <w:pPr>
              <w:spacing w:after="0" w:line="187" w:lineRule="exact"/>
              <w:rPr>
                <w:rFonts w:ascii="Arial" w:cs="Arial" w:eastAsia="Arial" w:hAnsi="Arial"/>
                <w:sz w:val="18"/>
                <w:szCs w:val="18"/>
                <w:color w:val="0000FF"/>
                <w:w w:val="88"/>
              </w:rPr>
            </w:pPr>
            <w:hyperlink w:anchor="page181">
              <w:r>
                <w:rPr>
                  <w:rFonts w:ascii="Arial" w:cs="Arial" w:eastAsia="Arial" w:hAnsi="Arial"/>
                  <w:sz w:val="18"/>
                  <w:szCs w:val="18"/>
                  <w:color w:val="0000FF"/>
                  <w:w w:val="88"/>
                </w:rPr>
                <w:t>Item 15. Exhibits, Financial Statement Schedules</w:t>
              </w:r>
            </w:hyperlink>
          </w:p>
        </w:tc>
        <w:tc>
          <w:tcPr>
            <w:tcW w:w="5900" w:type="dxa"/>
            <w:vAlign w:val="bottom"/>
            <w:gridSpan w:val="13"/>
          </w:tcPr>
          <w:p>
            <w:pPr>
              <w:spacing w:after="0"/>
              <w:rPr>
                <w:sz w:val="16"/>
                <w:szCs w:val="16"/>
                <w:color w:val="auto"/>
              </w:rPr>
            </w:pPr>
          </w:p>
        </w:tc>
        <w:tc>
          <w:tcPr>
            <w:tcW w:w="1300" w:type="dxa"/>
            <w:vAlign w:val="bottom"/>
          </w:tcPr>
          <w:p>
            <w:pPr>
              <w:jc w:val="center"/>
              <w:ind w:left="872"/>
              <w:spacing w:after="0" w:line="187" w:lineRule="exact"/>
              <w:rPr>
                <w:rFonts w:ascii="Arial" w:cs="Arial" w:eastAsia="Arial" w:hAnsi="Arial"/>
                <w:sz w:val="18"/>
                <w:szCs w:val="18"/>
                <w:color w:val="auto"/>
                <w:w w:val="86"/>
              </w:rPr>
            </w:pPr>
            <w:hyperlink w:anchor="page181">
              <w:r>
                <w:rPr>
                  <w:rFonts w:ascii="Arial" w:cs="Arial" w:eastAsia="Arial" w:hAnsi="Arial"/>
                  <w:sz w:val="18"/>
                  <w:szCs w:val="18"/>
                  <w:color w:val="auto"/>
                  <w:w w:val="86"/>
                </w:rPr>
                <w:t>179</w:t>
              </w:r>
            </w:hyperlink>
          </w:p>
        </w:tc>
      </w:tr>
      <w:tr>
        <w:trPr>
          <w:trHeight w:val="218"/>
        </w:trPr>
        <w:tc>
          <w:tcPr>
            <w:tcW w:w="400" w:type="dxa"/>
            <w:vAlign w:val="bottom"/>
          </w:tcPr>
          <w:p>
            <w:pPr>
              <w:spacing w:after="0"/>
              <w:rPr>
                <w:sz w:val="19"/>
                <w:szCs w:val="19"/>
                <w:color w:val="auto"/>
              </w:rPr>
            </w:pPr>
          </w:p>
        </w:tc>
        <w:tc>
          <w:tcPr>
            <w:tcW w:w="21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84">
              <w:r>
                <w:rPr>
                  <w:rFonts w:ascii="Arial" w:cs="Arial" w:eastAsia="Arial" w:hAnsi="Arial"/>
                  <w:sz w:val="18"/>
                  <w:szCs w:val="18"/>
                  <w:color w:val="0000FF"/>
                  <w:w w:val="90"/>
                </w:rPr>
                <w:t>Item 16. Form 10-K Summary</w:t>
              </w:r>
            </w:hyperlink>
          </w:p>
        </w:tc>
        <w:tc>
          <w:tcPr>
            <w:tcW w:w="7220" w:type="dxa"/>
            <w:vAlign w:val="bottom"/>
            <w:gridSpan w:val="21"/>
          </w:tcPr>
          <w:p>
            <w:pPr>
              <w:spacing w:after="0"/>
              <w:rPr>
                <w:sz w:val="19"/>
                <w:szCs w:val="19"/>
                <w:color w:val="auto"/>
              </w:rPr>
            </w:pPr>
          </w:p>
        </w:tc>
        <w:tc>
          <w:tcPr>
            <w:tcW w:w="1300" w:type="dxa"/>
            <w:vAlign w:val="bottom"/>
          </w:tcPr>
          <w:p>
            <w:pPr>
              <w:jc w:val="center"/>
              <w:ind w:left="872"/>
              <w:spacing w:after="0"/>
              <w:rPr>
                <w:rFonts w:ascii="Arial" w:cs="Arial" w:eastAsia="Arial" w:hAnsi="Arial"/>
                <w:sz w:val="18"/>
                <w:szCs w:val="18"/>
                <w:color w:val="auto"/>
                <w:w w:val="86"/>
              </w:rPr>
            </w:pPr>
            <w:hyperlink w:anchor="page184">
              <w:r>
                <w:rPr>
                  <w:rFonts w:ascii="Arial" w:cs="Arial" w:eastAsia="Arial" w:hAnsi="Arial"/>
                  <w:sz w:val="18"/>
                  <w:szCs w:val="18"/>
                  <w:color w:val="auto"/>
                  <w:w w:val="86"/>
                </w:rPr>
                <w:t>182</w:t>
              </w:r>
            </w:hyperlink>
          </w:p>
        </w:tc>
      </w:tr>
      <w:tr>
        <w:trPr>
          <w:trHeight w:val="218"/>
        </w:trPr>
        <w:tc>
          <w:tcPr>
            <w:tcW w:w="400" w:type="dxa"/>
            <w:vAlign w:val="bottom"/>
          </w:tcPr>
          <w:p>
            <w:pPr>
              <w:spacing w:after="0"/>
              <w:rPr>
                <w:sz w:val="19"/>
                <w:szCs w:val="19"/>
                <w:color w:val="auto"/>
              </w:rPr>
            </w:pPr>
          </w:p>
        </w:tc>
        <w:tc>
          <w:tcPr>
            <w:tcW w:w="9380" w:type="dxa"/>
            <w:vAlign w:val="bottom"/>
            <w:gridSpan w:val="31"/>
          </w:tcPr>
          <w:p>
            <w:pPr>
              <w:spacing w:after="0" w:line="205" w:lineRule="exact"/>
              <w:rPr>
                <w:rFonts w:ascii="Arial" w:cs="Arial" w:eastAsia="Arial" w:hAnsi="Arial"/>
                <w:sz w:val="18"/>
                <w:szCs w:val="18"/>
                <w:color w:val="0000FF"/>
              </w:rPr>
            </w:pPr>
            <w:hyperlink w:anchor="page184">
              <w:r>
                <w:rPr>
                  <w:rFonts w:ascii="Arial" w:cs="Arial" w:eastAsia="Arial" w:hAnsi="Arial"/>
                  <w:sz w:val="18"/>
                  <w:szCs w:val="18"/>
                  <w:color w:val="0000FF"/>
                </w:rPr>
                <w:t>Signatures</w:t>
              </w:r>
            </w:hyperlink>
          </w:p>
        </w:tc>
        <w:tc>
          <w:tcPr>
            <w:tcW w:w="1300" w:type="dxa"/>
            <w:vAlign w:val="bottom"/>
          </w:tcPr>
          <w:p>
            <w:pPr>
              <w:jc w:val="center"/>
              <w:ind w:left="872"/>
              <w:spacing w:after="0" w:line="205" w:lineRule="exact"/>
              <w:rPr>
                <w:rFonts w:ascii="Arial" w:cs="Arial" w:eastAsia="Arial" w:hAnsi="Arial"/>
                <w:sz w:val="18"/>
                <w:szCs w:val="18"/>
                <w:color w:val="auto"/>
                <w:w w:val="86"/>
              </w:rPr>
            </w:pPr>
            <w:hyperlink w:anchor="page184">
              <w:r>
                <w:rPr>
                  <w:rFonts w:ascii="Arial" w:cs="Arial" w:eastAsia="Arial" w:hAnsi="Arial"/>
                  <w:sz w:val="18"/>
                  <w:szCs w:val="18"/>
                  <w:color w:val="auto"/>
                  <w:w w:val="86"/>
                </w:rPr>
                <w:t>183</w:t>
              </w:r>
            </w:hyperlink>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ectPr>
          <w:pgSz w:w="11900" w:h="16838" w:orient="portrait"/>
          <w:cols w:equalWidth="0" w:num="1">
            <w:col w:w="11100"/>
          </w:cols>
          <w:pgMar w:left="320" w:top="127" w:right="47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EXPLANATORY NOTE</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Unless otherwise stated in this report or the context otherwise requires, references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150"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5"/>
          <w:szCs w:val="15"/>
          <w:color w:val="auto"/>
        </w:rPr>
        <w:t>In addition, as described in more detail elsewhere in this report, on January 14, 2022, we and our subsidiaries, Orion Merger Sub I, Inc., or Merger Sub I, and Orion Merger Sub II, LLC, or Merger Sub II entered into an Agreement and Plan of Merger and Reorganization, or the Merger Agreement, with GeneDx, Inc., or GeneDx, a New Jersey corporation and a wholly-owned subsidiary of OPKO Health, Inc., GeneDx Holding 2, Inc., or Holdco, and OPKO, pursuant to which we will acquire 100% of GeneDx from OPKO, which we refer to herein as the “Acquisition”. In connection with the Acquisition, we entered into certain related agreements, including subscription agreements with certain institutional investors that provide for a $200 million private placement of shares of our Class A common stock, which we refer to herein as the Acquisition PIPE Investment. Unless stated otherwise in this report, all forward-looking information contained in this report does not take into account or give any effect to the impact of the Acquisition or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35" w:lineRule="exact"/>
        <w:rPr>
          <w:sz w:val="20"/>
          <w:szCs w:val="20"/>
          <w:color w:val="auto"/>
        </w:rPr>
      </w:pPr>
    </w:p>
    <w:p>
      <w:pPr>
        <w:ind w:left="1280" w:hanging="638"/>
        <w:spacing w:after="0" w:line="26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losses;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circumstances or other disruptions to normal business operations, including supply chain interruptions and manufacturing constraints, arising from or related to COVID-19;</w:t>
      </w:r>
    </w:p>
    <w:p>
      <w:pPr>
        <w:spacing w:after="0" w:line="21"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consummate the Acquisition and the other transactions contemplated by the Merger Agreement and the related Acquisition PIPE Investment;</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enter into service, collaboration and other partnership agreements;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scale market and sell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or authorizations by the U.S. Food and Drug Administration or, the FDA, or other regulatory authorities;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governmental regulation and other legal obligations, including privacy, data protection, information security, consumer protection, and anti-corruption and anti-bribery;</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against existing and emerging technologies;</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payor reimbursement and coverage decisions;</w:t>
      </w:r>
    </w:p>
    <w:p>
      <w:pPr>
        <w:spacing w:after="0" w:line="58" w:lineRule="exact"/>
        <w:rPr>
          <w:rFonts w:ascii="Arial" w:cs="Arial" w:eastAsia="Arial" w:hAnsi="Arial"/>
          <w:sz w:val="18"/>
          <w:szCs w:val="18"/>
          <w:color w:val="auto"/>
        </w:rPr>
      </w:pPr>
    </w:p>
    <w:p>
      <w:pPr>
        <w:ind w:left="1280" w:hanging="638"/>
        <w:spacing w:after="0" w:line="264" w:lineRule="auto"/>
        <w:tabs>
          <w:tab w:leader="none" w:pos="1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third-party laboratories and service providers for our test volume in connection with our diagnostic solutions and data programs;</w:t>
      </w:r>
    </w:p>
    <w:p>
      <w:pPr>
        <w:spacing w:after="0" w:line="21"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spacing w:after="0" w:line="58" w:lineRule="exact"/>
        <w:rPr>
          <w:rFonts w:ascii="Arial" w:cs="Arial" w:eastAsia="Arial" w:hAnsi="Arial"/>
          <w:sz w:val="18"/>
          <w:szCs w:val="18"/>
          <w:color w:val="auto"/>
        </w:rPr>
      </w:pPr>
    </w:p>
    <w:p>
      <w:pPr>
        <w:ind w:left="1280" w:hanging="638"/>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our business strategy.</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28"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We Are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3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World Class Team and Unique Origins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26"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Purpose-Built, Flexible Platforms Address Immediate and Untapped Market Opportunities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Building Richer Longitudinal Data Through Deeper Patient and Provider Engagement</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Established Diagnostic Solutions Are Scaling Rapidly</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Embedding Our Solutions Through Innovative, Deep Relationships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Centrellis: Our Health Information Platform Solution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18" w:lineRule="exact"/>
        <w:rPr>
          <w:sz w:val="20"/>
          <w:szCs w:val="20"/>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technologies aimed at patient and provider engagement,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generation, aggregation and standardization of multi-dimensional data,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modeling and generation of differentiated, domain-specific insights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Driven by the virtuous cycle and interconnection of our clinical diagnostics products, rich data assets, database engineering and data science applications, we continue to evolve and deploy our platform to facilitate a better understanding of disease and wellness and improve the standard of care through information driven knowledge and understanding.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Provider Engagement Technologies: Our Next Generation Tools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35" w:lineRule="exact"/>
        <w:rPr>
          <w:sz w:val="20"/>
          <w:szCs w:val="20"/>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and on-boarding for health systems and practices that connects data from EMRs and disparate and varied databases,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Searching and analyzing cohorts of patients, allowing an assessment of their patient populations and quality of care in real-time,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Enabling clinical decision support and personalized and actionable treatment insights into clinical reports,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Identifying patients who are candidates for certain clinical genomic analyses,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Managing the clinical analysis ordered for their patients, from ordering, tracking, resulting, and reanalyzing based on new findings,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clinical care and research by matching patients to available clinical trials based on highly personalized inclusion and exclusion metrics,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Informing on administrative decisions including as they relate to patient growth, total cost of care, and risk identification and mitigation.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Patient Engagement Technologies: Building Trust and Providing Value Through Clinical Partnership</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Activating Data Through Generation, Curation and Engineering</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 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0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Advanced Domain-Specific AI Informatics for Insight Generation</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2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0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7"/>
          <w:szCs w:val="17"/>
          <w:b w:val="1"/>
          <w:bCs w:val="1"/>
          <w:u w:val="single" w:color="auto"/>
          <w:color w:val="auto"/>
        </w:rPr>
        <w:t>Traversa: Our Genomics Platform for Optimizing Screening and Diagnostic Genomics Products and Population Health Initiatives</w:t>
      </w:r>
    </w:p>
    <w:p>
      <w:pPr>
        <w:spacing w:after="0" w:line="1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 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We Collect and Manage Rich, Longitudinal Data Built from Diverse Sources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8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Arial" w:cs="Arial" w:eastAsia="Arial" w:hAnsi="Arial"/>
          <w:sz w:val="15"/>
          <w:szCs w:val="15"/>
          <w:i w:val="1"/>
          <w:iCs w:val="1"/>
          <w:color w:val="auto"/>
        </w:rPr>
        <w:t>Certain Relationships and Related Party Transactions—Related Party Transactions—Sema4</w:t>
      </w:r>
      <w:r>
        <w:rPr>
          <w:rFonts w:ascii="Arial" w:cs="Arial" w:eastAsia="Arial" w:hAnsi="Arial"/>
          <w:sz w:val="15"/>
          <w:szCs w:val="15"/>
          <w:color w:val="auto"/>
        </w:rPr>
        <w:t>”.</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Established Diagnostics Solutions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Elements Women’s Health Solutions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 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Carrier Screening: Deriving population-health insights from genomic data to differentiate our industry-leading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Non-invasive Prenatal Testing Solutions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3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Natalis Newborn Screening Solutions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Signal Precision Oncology Solutions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Sema4 Signal Hereditary Cancer Solution</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1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Signal Whole Exome and Transcriptome Solution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2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updated regularly with recent medical literature and prioritizes clinically-significant variants, enabling providers to quickly review and leverage actionable insights.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Sema4 Signal Informatics Solutions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Payer Relations Strategy</w:t>
      </w:r>
    </w:p>
    <w:p>
      <w:pPr>
        <w:spacing w:after="0" w:line="24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COVID-19 Testing Initiative</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Solution for Health Systems and Providers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Health System Engagement Model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 experience in their system. In addition to our deep relationship with Mount Sinai, we have contracted to deploy Centrellis in additional health systems, which we expect will expand our impact and reach.</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84" w:lineRule="exact"/>
        <w:rPr>
          <w:sz w:val="20"/>
          <w:szCs w:val="20"/>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2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population health programs where health system patients are invited to broad population genetic screening,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mutually beneficial research collaboration programs that leverage the strengths of our and our health system partners.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Solutions Create Mutually Beneficially Value for Us and Our Health System Partners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Act as a Broker and Catalyst for Commercial Engagement Between Health System and Biopharma Companies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Our Biopharma Solutions Engage and Enable Our Partners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 health system relationships and information-driven diagnostics solutions, combined with our powerful analytics capabilities and software solutions.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Strive for Interconnected Strategic Relationships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serve our Biopharma customers through a unique combination of clinical testing services, clinical and research study design and execution, and advanced data and analytics capabilities.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9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8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Sema4’s Solutions for BioPharma Customers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general, our Biopharma strategy focuses on three main offering areas:</w:t>
      </w:r>
    </w:p>
    <w:p>
      <w:pPr>
        <w:spacing w:after="0" w:line="164" w:lineRule="exact"/>
        <w:rPr>
          <w:sz w:val="20"/>
          <w:szCs w:val="20"/>
          <w:color w:val="auto"/>
        </w:rPr>
      </w:pPr>
    </w:p>
    <w:p>
      <w:pPr>
        <w:jc w:val="both"/>
        <w:ind w:left="640" w:hanging="316"/>
        <w:spacing w:after="0" w:line="268"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7" w:lineRule="exact"/>
        <w:rPr>
          <w:rFonts w:ascii="Arial" w:cs="Arial" w:eastAsia="Arial" w:hAnsi="Arial"/>
          <w:sz w:val="17"/>
          <w:szCs w:val="17"/>
          <w:color w:val="auto"/>
        </w:rPr>
      </w:pPr>
    </w:p>
    <w:p>
      <w:pPr>
        <w:jc w:val="both"/>
        <w:ind w:left="640" w:hanging="316"/>
        <w:spacing w:after="0" w:line="306" w:lineRule="auto"/>
        <w:tabs>
          <w:tab w:leader="none" w:pos="6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03" w:lineRule="exact"/>
        <w:rPr>
          <w:rFonts w:ascii="Arial" w:cs="Arial" w:eastAsia="Arial" w:hAnsi="Arial"/>
          <w:sz w:val="15"/>
          <w:szCs w:val="15"/>
          <w:color w:val="auto"/>
        </w:rPr>
      </w:pPr>
    </w:p>
    <w:p>
      <w:pPr>
        <w:jc w:val="both"/>
        <w:ind w:left="640" w:hanging="316"/>
        <w:spacing w:after="0" w:line="264"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invested a substantial amount of time and expense into research and development for our technology and test offerings, which requires the continuous improvement of software capabilities to analyze data and process customer orders. Our research and development efforts focus on several key areas, including multiscale biotechnology, assay development across sequencing technologies, data science and engineering, and the development of network-based models. We expect our research and development activities to increase as we innovate and expand the application of our current and future platforms including Traversa and Centrellis.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internationally recognized research team includes leaders in data science, network modeling, multiscale biotechnology and genomics. As noted above, our CEO, Eric Schadt, is a world-renowned expert on constructing predictive models of disease that link molecular biology to physiology to enable clinical medicine. He has published more than 450 peer-reviewed papers in leading scientific journals, with a public citation or “h-” index of 137, and has contributed to discoveries relating to the genetic basis of common human diseases such as cancer, diabetes,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obesity, and Alzheimer’s disease. Under the leadership of our CEO, our research team comprises more than 160 Ph.D.-level scientists, complemented by additional physician scientists and certified technicians as of December 31, 2021. Ongoing collaborations with scientists and clinicians at the Mount Sinai and other healthcare systems allows our research to remain patient-centered and clinically relevant.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intellectual property rights pertaining to all elements of our platforms and solutions. Our success and ability to compete depend in part on securing and preserving enforceable patent, trade secret, trademark and other intellectual property rights; operating without having competitors infringe, misappropriate or otherwise circumvent these rights; operating without infringing the proprietary rights of others; and obtaining and maintaining licenses for technology development or product commercialization.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fields of genomic and health information analysis present limited opportunities for patent protection, based on well-known legal precedents. As result, our patent protection strategy is to protect our non-gene specific technology and our specific biomarkers. In this regard, as of December 31, 2021, we have four pending utility patent applications and one provisional patent application. The pending utility patent applications include a U.S. patent application related to a genome annotation software platform for annotating genomic intervals that are clinically relevant for analysis, a U.S. patent application related to a genetic carrier screening process, and U.S. and European patent applications related to therapeutic treatment for subjects having certain polymorphic markers associated with specific human leukocyte antigen alleles. If patents are issued from the currently pending applications, the earliest patents will begin expiring in 2040, subject to potential extensions of the patent term that will be calculated based on the length of the patent examination process.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a trade secrecy program to prevent disclosure of our trade secrets to others, except under stringent conditions of confidentiality when disclosure is critical to our business.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will be our exclusive property. In addition, we take other appropriate precautions, such as physical and technological security measures, to guard against misappropriation of our proprietary information by third parties.</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Accordingly, we may not be able to meaningfully protect our trade secrets. For more information regarding the risks related to our intellectual property, see the section entitled “</w:t>
      </w:r>
      <w:r>
        <w:rPr>
          <w:rFonts w:ascii="Arial" w:cs="Arial" w:eastAsia="Arial" w:hAnsi="Arial"/>
          <w:sz w:val="17"/>
          <w:szCs w:val="17"/>
          <w:i w:val="1"/>
          <w:iCs w:val="1"/>
          <w:color w:val="auto"/>
        </w:rPr>
        <w:t>Risk Factors — Risks Related to Our Intellectual Property</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own various trademarks, applications and unregistered trademarks in the U.S and other commercially important markets, including our company name, product and service names and other trade or service marks. Our trademark portfolio is designed to protect the brands for our products and services, both current and in the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Patients who have diagnostic tests ordered or are prescribed treatments by providers performing the prescribed services, generally rely on third-party payors to reimburse all or part of the associated healthcare costs. Sales of our products and services will therefore depend substantially on the extent to which the costs of our products and services will be paid by third-party payors, including health maintenance, managed care and similar healthcare management organizations, or reimbursed by government health administration authorities, such as Medicare and Medicaid and private health insurers.</w:t>
      </w:r>
    </w:p>
    <w:p>
      <w:pPr>
        <w:spacing w:after="0" w:line="9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United States, our ability to commercialize and the commercial success of our product and service offerings will depend in part on the extent to which governmental payor programs at the federal and state levels, including Medicare and Medicaid, private health insurers and other third-party payors provide coverage for and establish adequate reimbursement levels for these offerings. Government authorities, private health insurers and other organizations generally decide which devices they will pay for and establish reimbursement levels for healthcare. Medicare is a federally funded program for the elderly and disabled managed by Centers for Medicare &amp; Medicaid Services, or CMS, through local contractors that administer coverage and reimbursement for certain healthcare items and services. Medicaid is an insurance program for certain categories of patients whose income and assets fall below state defined levels, and is funded jointly by federal and state governments and managed by each state. Similarly, the federal government manages other healthcare programs, including the Veterans Health Administration, the Indian Health Service, and Tricare, the healthcare program for military personnel, retirees, and related beneficiaries. Many states have also created pharmacy assistance programs for individuals who do not qualify for federal programs. In the U.S., private health insurers and other third-party payors often provide reimbursement for products and services based in part on the coverage and payment rates set by the Medicare or Medicaid programs.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Federal programs in the U.S. also sometimes impose price controls through mandatory ceiling prices on purchases by federal agencies and federally funded hospitals and clinics and mandatory rebates on retail pharmacy prescriptions paid by Medicaid and Tricare. These restrictions and limitations influence the purchase of healthcare services and products. Legislative proposals to reform healthcare or reduce costs under government programs may result in lower reimbursement for our products and services or exclusion of our products and services from coverage. In addition, government programs like Medicaid include what are in effect substantial penalties for increasing commercial prices of certain products over the rate of inflation which can affect realization and return on investment.</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Increasing efforts by governmental and third-party payors to cap or reduce healthcare costs may cause such organizations to limit both coverage and level of reimbursement for newly approved healthcare products. At the state level, legislatures are increasingly passing legislation and implementing regulations designed to control pharmaceutical and biological program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a result of the above trends, we may need to conduct expensive studies in order to demonstrate the medical necessity and cost effectiveness of our products and services, in addition to the costs required to obtain FDA approvals. Our products and services may not be considered medically necessary or cost effective, or the discount percentages required to secure coverage may not yield an adequate margin over cost.</w:t>
      </w:r>
    </w:p>
    <w:p>
      <w:pPr>
        <w:spacing w:after="0" w:line="11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Many hospitals implement a controlled and defined process for covering and approving diagnostic tests and medical devices. Any marketing efforts that are determined to have violated such policies could result in the denial or removal of our products from that hospital’s list of approved products.</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Moreover, a payor’s decision to provide coverage for a diagnostic product does not imply that an adequate reimbursement rate will be approved. Adequate third-party reimbursement may not be available to enable us to maintain price levels sufficient to realize an appropriate return on our investment in device development. Legislative proposals to reform healthcare or reduce costs under government insurance programs may result in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reimbursement for our products and services or exclusion of our products and services from coverage. The cost containment measures that healthcare payor and providers are instituting and any healthcare reform could significantly reduce our revenue from the sale of any approved products and services. We cannot provide any assurances that we will be able to obtain and maintain third-party coverage or adequate reimbursement for our products and services in whole or in part.</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amendments to the False Claims Act impose severe penalties for the knowing and improper retention of overpayments collected from governmental payors. Within 60 days of identifying and quantifying an overpayment, a provider is required to notify CMS or the Medicare contractor of the overpayment and the reason for it and return the overpayment. These amendments could subject our procedures for identifying and processing payments to greater scrutiny. Overpayments may occur from time to time in the healthcare industry without any fraudulent intent. For example, overpayments may result from mistakes in reimbursement claim forms or from improper processing by governmental payor. We maintain protocols intended to identify any overpayments. From time to time, we may identify overpayments and be required to refund those amounts to governmental payors.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Laboratory Improvement Act</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clinical reference laboratories in Connecticut are required to hold certain federal certificates to conduct our business. Under the Clinical Laboratory Improvement Act of 1988, or CLIA, we are required to hold a certificate applicable to the type of laboratory examinations we perform and to comply with standards covering personnel, facilities administration, inspections, quality control, quality assurance and proficiency testing.</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2021, we have a current certificate under CLIA to perform testing at our laboratory locations in Stamford and Branford, Connecticut. To renew this CLIA certificate, we are subject to survey and inspection every two years to assess compliance with program standards. Moreover, CLIA inspectors may make random inspections of our clinical reference laboratories. The regulatory and compliance standards applicable to the testing we perform may change over time, and any such changes could have a material effect on our business.</w:t>
      </w:r>
    </w:p>
    <w:p>
      <w:pPr>
        <w:spacing w:after="0" w:line="12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If our clinical reference laboratory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be eligible to bill for diagnostic services provided to Medicare and Medicaid beneficiaries. If we were to be found out of compliance with CLIA requirements and subjected to sanction, our business could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Laboratory Testing</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is required to maintain a license to conduct testing in Connecticut. Connecticut laws establish standards for day-to-day operations of our laboratories in Stamford and Branford, Connecticut. If our clinical reference laboratories are out of compliance with Connecticut standards, the Connecticut Department of Health Services, or CDHS, may suspend, restrict or revoke our license to operate our clinical reference laboratories, assess substantial civil money penalties, or impose specific corrective action plans. Any such actions could materially affect our business. As of December 31, 2021, we maintain a current license in good standing with CDHS. However, we cannot provide assurance that CDHS will at all times in the future find us to be in compliance with all such laws.</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require the licensure of out-of-state laboratories that accept specimens from those states. For example, New York requires a laboratory to hold a permit which is issued after an on-site inspection and approval of testing methodology and has various requirements over and above CLIA and the College of American Pathologists, or CAP, Laboratory Accreditation Program, including those for personnel qualifications, proficiency testing, physical facility, equipment, and quality control standards. Our laboratory holds the required licenses for California, New York, Maryland, Pennsylvania, and Rhode Island.</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Each of our clinical reference laboratories in Connecticut is required to be licensed on a test-specific basis by New York State as an out of state laboratory and our products, as laboratory-developed tests, or LDTs, must be approved by the New York State Department of Health, or NYDOH, before they are performed on samples from New York. Each Sema4 laboratory is licensed by New York, and we are currently approved for testing samples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We are subject to periodic inspection by the NYDOH and we are required to demonstrate ongoing compliance with NYDOH regulations and standards.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states may adopt similar licensure requirements in the future, which may require us to modify, delay or stop our operations in such jurisdictions. Complying with licensure requirements in new jurisdictions may be expensive, time-consuming, and subject us to significant and unanticipated delays. If we identify any other state with such requirements, or if we are contacted by any other state advising us of such requirements, we intend to follow instructions from the state regulators as to how we should comply with such requirements.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Drug Administration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Laboratory Developed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provide our tests as LDTs. CMS and certain state agencies regulate the performance of LDTs (as authorized by CLIA and state law, respectively). Historically, the FDA, has exercised enforcement discretion with respect to most LDTs and has not required laboratories that furnish LDTs to comply with the agency's requirements for medical devices (e.g., establishment registration, device listing, quality systems regulations, premarket clearance or premarket approval, and post-market controls). Nevertheless, the FDA may decide to regulate certain LDTs on a case-by-case basis at any time.</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Legislative proposals addressing the FDA's oversight of LDTs have been introduced in previous Congresses, and we expect that new legislative proposals will be introduced from time-to-time. The likelihood that Congress will pass such legislation and the extent to which such legislation may affect the FDA's plans to regulate certain LDTs as medical devices is difficult to predict at this time.</w:t>
      </w:r>
    </w:p>
    <w:p>
      <w:pPr>
        <w:spacing w:after="0" w:line="13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If the FDA ultimately regulates certain LDTs as medical devices, whether via final guidance, final regulation, or as instructed by Congress, our tests may be subject to certain additional regulatory requirements. Complying with the FDA's requirements for medical devices can be expensive, time-consuming, and subject us to significant or unanticipated delays. Insofar as we may be required to obtain premarket clearance or approval to perform or continue performing an LDT, we cannot assure you that we will be able to obtain such authorization. Even if we obtain regulatory clearance or approval where required, such authorization may not be for the intended uses that we believe are commercially attractive or are critical to the commercial success of our tests. As a result, the application of the FDA's medical device requirements to our tests could materially and adversely affect our business, financial condition, and results of operations.</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Failure to comply with applicable FDA regulatory requirements may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Approval</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obtain FDA premarket approval, or PMA, for some of our tests including its matched whole exome sequencing, or WES, and whole transcriptome sequencing, or WTS, tests. Devices subject to FDA regulation must undergo premarket review prior to commercialization unless the device is exempt from such review, and we expect that we will be required to perform non-inferiority studies showing comparable results between the Sema4 Signal WES/WTS LDT and third party, FDA-approved tests with regard to certain therapeutic drugs prescribed to ovarian cancer patients, colorectal cancer patients, and non-small cell lung cancer patients. We are currently evaluating an updated pre-submission letter to the FDA with regard to the studies necessary for ovarian cancer and is working to secure access to the subjects necessary to perform this study. With regard to the studies necessary for colorectal cancer patients and non-small cell lung cancer patients, we submitted our pre-submission package and held a pre-submission meeting with the FDA in 2020, and are working to secure access to the subjects necessary to perform this study. Further, the regulations governing the approvals place substantial restrictions on how the tests will be marketed and sold, specifically, by prescription only. In addition, as a condition of Sema4’s FDA approval, we may be required to conduct post-approval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Additionally, manufacturers of medical devices must comply with various regulatory requirements under the Food, Drug, and Cosmetic Act, or FDCA, and regulations thereunder, including, but not limited to, quality system regulations, unless they are exempt, facility registration, product listing, labeling requirements, and certain post-market surveillance requirements. Entities that fail to comply with FDA requirements can be liable for criminal or civil penalties, such as recalls, detentions, orders to cease manufacturing, and restrictions on labeling and promotion, among other potential sanctions.</w:t>
      </w:r>
    </w:p>
    <w:p>
      <w:pPr>
        <w:spacing w:after="0" w:line="9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may develop new diagnostic products and services that are regulated by the FDA as medical devices. The regulatory review and approval process for medical devices can be costly, timely, and uncertain. This process may involve, among other things, successfully completing additional clinical trials and submitting a premarket clearance notice or filing a premarket approval application with the FDA. If premarket review is required by the FDA, there can be no assurance that our tests will be cleared or approved on a timely basis, if at all. In addition, there can be no assurance that the labeling claims cleared or approved by the FDA will be consistent with our current claims or adequate to support continued adoption of and reimbursement for our products. Ongoing compliance with FDA regulations could increase the cost of conducting our business, subject us to FDA inspections and other regulatory actions, and potentially subject us to penalties in the event we fail to comply with such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HIPAA and HITECH</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Under the administrative simplification provisions of the Health Insurance Portability and Accountability Act of 1996, or HIPAA, as amended by the Health Information Technology for Economic and Clinical Health Act, or HITECH, the U.S. Department of Health and Human Services issued regulations that establish uniform standards governing the conduct of certain electronic healthcare transactions and protecting the privacy and security of protected health information used or disclosed by most healthcare providers and other covered entities and their business associates, including the business associates' subcontractors. We perform activities that may implicate HIPAA, such as providing clinical laboratory testing services and entering into specific kinds of relationships with covered entities and business associates of covered entities. As a covered entity and as a business associate of other covered entities (with whom we have entered into business associate agreements), we are required to comply with the four principal regulations with which have been issued in final form under HIPAA and HITECH: privacy regulations, security regulations, the breach notification rule, and standards for electronic transactions, which establish standards for common healthcare transactions.</w:t>
      </w:r>
    </w:p>
    <w:p>
      <w:pPr>
        <w:spacing w:after="0" w:line="119" w:lineRule="exact"/>
        <w:rPr>
          <w:sz w:val="20"/>
          <w:szCs w:val="20"/>
          <w:color w:val="auto"/>
        </w:rPr>
      </w:pPr>
    </w:p>
    <w:p>
      <w:pPr>
        <w:jc w:val="both"/>
        <w:ind w:firstLine="318"/>
        <w:spacing w:after="0" w:line="222" w:lineRule="auto"/>
        <w:rPr>
          <w:sz w:val="20"/>
          <w:szCs w:val="20"/>
          <w:color w:val="auto"/>
        </w:rPr>
      </w:pPr>
      <w:r>
        <w:rPr>
          <w:rFonts w:ascii="Arial" w:cs="Arial" w:eastAsia="Arial" w:hAnsi="Arial"/>
          <w:sz w:val="18"/>
          <w:szCs w:val="18"/>
          <w:color w:val="auto"/>
        </w:rPr>
        <w:t>The HITRUST CSF was developed to address the multitude of security, privacy, and regulatory challenges facing organizations. By including federal and state regulations, standards, frameworks, and incorporating a risk-based approach, the HITRUST CSF helps organizations address these challenges through a comprehensive and flexible framework of prescriptive and scalable security and privacy controls. The HITRUST CSF Includes, harmonizes, and cross-references existing, globally recognized standards, regulations, and business requirements, including ISO, EU GDPR, NIST, and PCI. On December 10, 2021, we met the HITRUST Assurance Program requirements for the CSF v9.4 Risk-based, 2-year (r2) certification criteria for our Centrellis Platform, for hosting and curating Patient data.</w:t>
      </w:r>
    </w:p>
    <w:p>
      <w:pPr>
        <w:spacing w:after="0" w:line="21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privacy regulations cover the use and disclosure of protected health information by covered entities as well as business associates, which are defined to include subcontractors that create, receive, maintain, or transmit protected health information on behalf of a business associate. They also set forth certain rights that an individual has with respect to his or her protected health information maintained by a covered entity, including the right to access or amend certain records containing protected health information, or to request restrictions on the use or disclosure of protected health information. The security regulations establish requirements for safeguarding the confidentiality, integrity, and availability of protected health information that is electronically transmitted or electronically stored. HITECH, among other things, established certain health information security breach notification requirements. A covered entity must notify any individual whose protected health information is breached according to the specifications set forth in the breach notification rule. The HIPAA privacy and security regulations establish a uniform federal "floor" and do not supersede state laws that are more stringent or provide individuals with greater rights with respect to the privacy or security of, and access to, their records containing protected health information or insofar as such state laws apply to personal information that is broader in scope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protected health information as defined under HIPAA. Massachusetts, for example, has a state law that protects the privacy and security of personal information of Massachusetts residents.</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There are significant civil and criminal fines and other penalties that may be imposed for violating HIPAA. A covered entity or business associate is also liable for civil money penalties for a violation that is based on an act or omission of any of its agents, including a downstream business associate, as determined according to the federal common law of agency. Additionally, to the extent that we submit electronic healthcare claims and payment transactions that do not comply with the electronic data transmission standards established under HIPAA and HITECH, payments to us may be delayed or denied.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Laws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the U.S., there are various fraud and abuse laws with which we must comply, and we are potentially subject to regulation by various federal, state and local authorities, including CMS, other divisions of the U.S. Department of Health and Human Services including the Office of Inspector General, the U.S. Department of Justice, and individual U.S. Attorney offices within the Department of Justice, and state and local governments.</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the U.S., the federal Anti-Kickback Statute prohibits, among other things, knowingly and willfully offering, paying, soliciting or receiving remuneration, directly or indirectly, overtly, covertly, in cash or in kind to induce or in return for the furnishing, arranging for the furnishing of, purchasing, leasing, ordering or arranging for or recommending purchasing, leasing or ordering of any good, facility, service or item for which payment may be made in whole or in part by a federal healthcare program. Courts have stated that a financial arrangement may violate the Anti-Kickback Statute if any one purpose of the arrangement is to encourage patient referrals or other federal healthcare program business, regardless of whether there are other legitimate purposes for the arrangement. The definition of "remuneration" has been broadly interpreted to include anything of value, including gifts, discounts, credit arrangements, payments of cash, consulting fees, waivers of co-payments, ownership interests, and providing anything at less than its fair market value.</w:t>
      </w:r>
    </w:p>
    <w:p>
      <w:pPr>
        <w:spacing w:after="0" w:line="10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Anti-Kickback Statute contains several exceptions, it is broad and may technically prohibit many innocuous or beneficial arrangements within the healthcare industry. Further, the U.S. Department of Health and Human Services issued a series of regulatory "safe harbors." These safe harbor regulations set forth certain provisions, which, if met, will assure healthcare providers and other parties that they will not be prosecuted under the federal Anti-Kickback Statute. Although full compliance with the statutory exceptions or regulatory safe harbors ensures against prosecution under the federal Anti-Kickback Statute, the failure of a transaction or arrangement to fit within a specific statutory exception or regulatory safe harbor does not necessarily mean that the transaction or arrangement is illegal or that prosecution under the federal Anti-Kickback Statute will be pursued. Penalties for federal anti-kickback violations are severe, and include imprisonment, criminal fines, civil money penalties, and exclusion from participation in federal healthcare programs. Many states also have anti-kickback statutes, some of which may apply to items or services reimbursed by any third-party payor, including commercial insurers.</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also federal laws related to healthcare fraud and false statements, among others,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governmental payor programs such as the Medicare and Medicaid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imprisonment, or exclusion from governmental payor programs.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Another development affecting the healthcare industry is the increased enforcement of the federal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governmental payor program. The qui tam provisions of the False Claims Act allow a private individual to bring actions on behalf of the federal government alleging that the defendant has defrauded the federal government by submitting a false claim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government and permit such individuals to share in any amounts paid by the entity to the government in fines or settlement. When an entity is determined to have violated the False Claims Act, it may be required to pay up to three times the actual damages sustained by the government, plus civil penalties ranging from $5,500 to $11,000 for each false claim.</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various states have enacted false claim laws analogous to the federal False Claims Act, although many of these state laws apply where a claim is submitted to any third-party payor and not merely a governmental payor program.</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for a claim that is false or fraudulent. This law also prohibits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October 25, 2018, the Substance Use-Disorder Prevention that Promoted Opioid Recovery and Treatment for Patients and Communities Act of 2018, or the SUPPORT Act, was enacted. The SUPPORT Act included the Eliminating Kickbacks in Recovery Act of 2018, or EKRA, which establishes an all-payor anti-kickback prohibition that extends to arrangements with recovery homes, clinical laboratories and clinical treatment facilities. EKRA includes a number of statutory exceptions, and directs agencies to develop further exceptions. Current exceptions in some cases reference and in others differ from the Anti-Kickback Statute safe harbors. Significantly, the prohibitions apply with respect to the soliciting or receipt of remuneration for any referrals to recovery homes, clinical treatment facilities, or clinical laboratories, whether or not related to treating substance use disorders. Further, the prohibitions cover the payment or offer of remuneration to induce a referral to, or in exchange for, an individual using the services of, such providers. This law creates additional risk that relationships with referral sources could be problematic.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Physician Referral Prohibitions</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Under a federal law directed at "self-referral," commonly known as the "Stark Law," there are prohibitions, with certain exceptions, on referrals for certain designated health services, including laboratory services, that are covered by the Medicare program by physicians who personally, or through an immediate family member, have a financial relationship with the entity to which the referrals for designated health services are made. The prohibition also extends to payment for any testing referred in violation of the Stark Law. A person who engages in a scheme to circumvent the Stark Law's referral prohibition may be fined up to $100,000 for each such arrangement or scheme.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healthcare programs. In addition, any person who presents or causes to be presented a claim to the Medicare program in violation of the Stark Law is subject to civil monetary penalties of up to $15,000 per service, an assessment of up to three times the amount claimed, and possible exclusion from participation in federal or state health care programs. Bills submitted in violation of the Stark Law may not be paid by Medicare, and any person collecting any amounts with respect to any such prohibited bill is obligated to refund such amounts. Many states have comparable laws that are not limited to Medicare referrals. The Stark Law also prohibits state receipt of Federal Medicaid matching funds for prohibited referrals, but this provision of the Stark Law has not been implemented by regulations. In addition, some courts have held that the submission of claims to Medicaid that would be prohibited as self-referrals under the Stark Law for Medicare could implicate the False Claims 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Numerous states have enacted laws prohibiting business corporations, such as Sema4, from practicing medicine and employing or engaging physicians to practice medicine, generally referred to as the prohibition against the corporate practice of medicine. These laws are designed to prevent interference in the medical decision-making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process by anyone who is not a licensed physician. For example, California's Medical Board has indicated that determining what diagnostic tests are appropriate for a particular condition and taking responsibility for the ultimate overall care of the patient, including providing treatment options available to the patient, would constitute the unlicensed practice of medicine if performed by an unlicensed person. Violation of these corporate practice of medicine laws may result in civil or criminal fines, as well as sanctions imposed against us and/or the professional through licensure proceedings. Typically, such laws are only applicable to entities that have a physical presence in the state.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Genetic Privacy and Testing Laws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subject to myriad laws designed to establish safeguards regarding the conduct of genomic testing and analysis and to protect against the misuse of genetic information and human biological specimens, collectively, “samples”, from which genetic information can be derived. These laws vary in their scope and in the nature of their requirements and restrictions. For example, certain genetic privacy laws prohibit the retention of samples after performing a genomic analysis in addition to prohibiting the use or disclosure of genetic information for certain purposes, such as research, without appropriate informed consent from the individual or without sufficient anonymization. The applicability of such informed consent requirements may also depend on the identifiability of the genetic information or sample and the purposes of which it is used. Other laws may impose additional requirements, including requirements regarding institutional review board review and approval for certain research uses of genetic information or samples requirements to implement certain security controls in connection with the transfer of genetic information. We must comply with such genetic privacy and testing laws in our collection, use, disclosure, and retention of genetic information and samples.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 and Medical Regulations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federal physician payment transparency requirements, or Physician Payments Sunshine Act, and its implementing regulations, which requires applicable manufacturers of covered drugs, devices, biologics and medical supplies for which payment is available under Medicare, Medicaid or the State Children’s Health Insurance Program, with certain exceptions, to annually report to HHS information related to certain payments or other transfers of value made or distributed to physicians, defined to include doctors, dentists, optometrists, podiatrists and chiropractors, and teaching hospitals, or to entities or individuals at the request of, or designated on behalf of, the physicians and teaching hospitals, as well as ownership and investment interests held by physicians and their immediate family members. The SUPPORT Act, under a provision entitled “Fighting the Opioid Epidemic with Sunshine,” extends the Physician Payments Sunshine Act to payments and transfers of value to physician assistants, nurse practitioners and other mid-level healthcare providers, with reporting requirements going into effect in 2022 for payments and transfers of value made to these practitioners in 2021.</w:t>
      </w:r>
    </w:p>
    <w:p>
      <w:pPr>
        <w:spacing w:after="0" w:line="10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addition to its comprehensive regulation of health and safety in the workplace in general, the Occupational Safety and Health Administration has established extensive requirements aimed specifically at laboratories and other healthcare-related facilities. In addition, because our operations require employees to use certain hazardous chemicals, we also must comply with regulations on hazard communication and hazardous chemicals in laboratories. These regulations require us, among other things, to develop written programs and plans, which must address methods for preventing and mitigating employee exposure, the use of personal protective equipment, and training.</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commercialization activities subject us to regulations of the Department of Transportation, the U.S. Postal Service, and the Centers for Disease Control and Prevention that apply to the surface and air transportation of clinical laboratory specimens.</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also subject to applicable state billing laws. Some states require that payment be made only to the person or entity who performed or supervised the service, while other states have passed anti-mark up and disclosure laws, an alternative but less enforceable approach to direct billing. Under these laws the non-performing person or entity is allowed to bill the client, but is prohibited from marking up the service, and required to disclose each charge to the patient, or patient’s insurer. Additionally, some states have strictly passed disclosure laws that require the non-performing person or entity to disclose to patients or the patient’s insurer the actual charges for all laboratory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Protection Laws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There are a growing number of jurisdictions all over the world that have privacy and data protection laws. These laws are typically triggered by a company’s establishment or physical location in the jurisdiction, data processing activities that take place in the jurisdiction, and/or the processing of personal information about individuals located in that jurisdiction. Certain international privacy and data protection laws, such as those in the European Union, can be more restrictive and prescriptive than those in the U.S., while other jurisdictions can have laws less restrictive or prescriptive than those in the U.S. Enforcement of these laws vary from jurisdiction to jurisdiction, with a variety of civil or criminal penalties, or private rights of action.</w:t>
      </w:r>
    </w:p>
    <w:p>
      <w:pPr>
        <w:spacing w:after="0" w:line="9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European Union’s General Data Protection Regulation, or GDPR, took effect on May 25, 2018. The GDPR extraterritorially applies to a business outside the European Union that offers goods or services to, or monitors the behavior of individuals who are located in the European Union. The GDPR imposes strict requirements on controllers and processors of personal data, including enhanced protections for “special categories” of personal data, which includes sensitive information such as health and genetic information of data subjects in the European Union.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European Union, which may deviate from or be more restrictive than the GDPR, may result in significant administrative fines issued by European Union regulators.</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of December 31, 2020, The United Kingdom of Great Britain and Northern Ireland, or UK, are no longer subject to EU law. Therefore, the GDPR will be brought into UK law as the ‘UK GDPR’ via a statutory instrument which will make technical amendments to the GDPR so that it works in a UK-only context. In Europe, there are also national laws that provide additional controls around the processing of health data.</w:t>
      </w:r>
    </w:p>
    <w:p>
      <w:pPr>
        <w:spacing w:after="0" w:line="11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Payment Card Industry Data Security Standard, or PCI DSS, was issued by the Payment Card Industry Security Standards Council and establishes industry standards for the processing of payment card information. While the PCI DSS requirements do not have the force of law, the penalties for noncompliance could include exclusion from payment card systems. To the extent that we collect payment card information when receiving payments of insurance premiums or payments for our products or services, we comply with PCI DSS as applicable to our payment environment and PCI DSS merchant level, which is determined by our volume of payment card transactions per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FTC Act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As an entity regulated by the Federal Trade Commission, or FTC, we are subject to the FTC’s enforcement power under Section 5 of the Federal Trade Commission Act, or FTC Act. The FTC has policed privacy and data security through its broad power under Section 5 of the FTC Act. Under Section 5, “unfair or deceptive acts or practices in or affecting commerce, are hereby declared unlawful.” Deceptive trade practices are defined by the FTC as material representations, omissions or practices that are likely to mislead a consumer acting reasonably in the circumstances to the consumer’s detriment. The FTC defines an “unfair” trade practice as one that “causes or is likely to cause substantial injury to consumers which is not reasonably avoidable by consumers themselves and is not outweighed by countervailing benefits to consumers or competition.”</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FTC has refrained from providing a checklist of uniformly acceptable data security practices or focusing on one single practice as actionable. Instead, the FTC has taken a holistic approach and relied on industry standards and other norms to identify a particular set of practices that, taken together, constitute adequate security practices for companies collecting personal information. In evaluating whether a data security practice is unfair, the FTC focuses largely on “substantial injury to consumers.” The harm need not be monetary or physical, though such injuries are commonly considered “substantial.” Further, the harm can consist of a risk rather than an actual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CAN-SPAM Act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Controlling the Assault of Non-Solicited Pornography and Marketing Act of 2003, or CAN-SPAM Act, establishes rules for commercial electronic mail messages, gives recipients the right to opt out of certain messages, and establishes penalties for violations. We comply with the CAN-SPAM Act in connection with our transmittal of commercial electronic mail messages, or Commercial Email Messages. Commercial Email Messages do not include emails that are informational or are transactional or relationship messages.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TCPA</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Telephone Consumer Protection Act of 1991, or TCPA, restricts the making of telemarketing calls and the use of automatic telephone dialing systems, artificial or prerecorded voice messages, SMS text messages, and facsimile transmissions. It also specifies several technical requirements for fax machines, autodialers, and voice messaging systems, principally with provisions requiring identification and contact information of the entity using the device to be contained in the message. We comply with TCPA in connection with our transmittal of automated, artificial, or prerecorded phone calls, SMS text messages, facsimile transmissions, and push notifications.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Consumer Privacy Act</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California Consumer Privacy Act, or CCPA, is a comprehensive consumer privacy law that took effect on January 1, 2020, and regulates how certain for-profit businesses that do business in California collect, use, and disclose the personal information of consumers who reside in California. Among other things, the CCPA confers to California consumers the right to receive notice of the categories of personal information to be collected by a business, how the business will use and share the personal information, and the third parties who will receive the personal information; the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CCPA does not apply to personal information that is Protected Health Information under HIPAA. The CCPA also does not apply to a HIPAA Covered Entity to the extent that the Covered Entity maintains patient information in the same manner as Protected Health Information. We are subject to the CCPA with respect to personal information we collect from California consumers that is neither PHI under HIPAA nor patient information that we maintain in the same manner as Protected Health Information.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California Attorney General has authority to enforce the CCPA and its implementing regulations against covered businesses beginning on July 1, 2020. The CCPA provides for civil penalties for violations, as well as private right of action for data breaches that result from a business’ failure to implement reasonable security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competitors include companies that offer molecular genetic testing and other clinical diagnostic, life science research, drug discovery services, data services and healthcare analytics, and consumer genetics products. Principal competitors include companies such as Myriad Genetics, Inc., Ambry Genetics Corporation, Color Genomics, Inc., Invitae Corporation, Natera, Inc., Tempus Labs, Inc., Quest Diagnostics, Inc., Laboratory Corporation of America Holdings (or LabCorp), Exact Sciences Corp., 10x Genomics, Inc., Guardant Health, Inc., and Adaptive Biotechnologies, Twist Biosciences Corp., and Schrödinger, Inc., as well as other commercial and academic diagnostic and analytic service providers. In addition to the companies that currently offer traditional genetic testing services and research centers, other established and emerging healthcare, information technology and service companies may commercialize competitive products including informatics, analysis, integrated genetic tools and services for health and wellness.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competitive factors in our market are:</w:t>
      </w:r>
    </w:p>
    <w:p>
      <w:pPr>
        <w:spacing w:after="0" w:line="164" w:lineRule="exact"/>
        <w:rPr>
          <w:sz w:val="20"/>
          <w:szCs w:val="20"/>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Patient-centric approach;</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depth, and quality of data assets;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quality of tests;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Turnaround time of testing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Coverage and reimbursement arrangements with third-party payors;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Depth and clinical applicability of interpretive insights;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Degree of utility of patient and provider facing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Breadth of interpretive insights beyond just one episode of care;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of testing;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Brand recognition of test provider;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value-added services and informatics tools;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Accessibility of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Client service;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of website content;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Reliability</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believe that we compare favorably with our competitors on the basis of these factors. However, many of our competitors and potential competitors have longer operating histories, larger customer bases, greater brand recognition and market penetration, substantially greater financial, technological and research and development resources and selling and marketing capabilities, more experience dealing with third-party payors. As a result, they may be able to respond more quickly to changes in customer requirements, devote greater resources to the development, promotion and sale of their tests than Sema4 does, or sell their tests at prices designed to win significant levels of market share. We may not be able to compete effectively against these organizations.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Sema4’s operations require the use of hazardous materials (including biological materials) that subject it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our partners’, business operations should contamination of the environment or individual exposure to hazardous substances occur. We cannot predict how changes in laws or new regulations will affect our business operations or the cost of compliance.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Raw Materials and Suppliers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rely on a limited number of suppliers, or, in some cases, sole suppliers, including Agilent Technologies, Inc., Illumina, Inc., Life Technologies Corporation, Agena Biosciences, Inc., MRC-Holland, Asuragen Inc., PerkinElmer Health Sciences, Inc., Fisher Scientific, Integra Biosciences Corporation, Thomas Scientific, Qiagen Inc., USA Scientific, Inc., Promega Corporation, Integrated DNA Technologies Incorporated, and Kapa Biosystems Inc., for certain laboratory reagents, as well as sequencers and other equipment and materials which we use in our laboratory operations. Our laboratory operations could be interrupted if we encounter delays or difficulties in securing these reagents, sequencers or other equipment or materials, and if we cannot obtain an acceptable substitute. Any such interruption could significantly affect our business, financial condition,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and reputation. We believe that there are only a few other manufacturers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 consuming and expensive, may result in interruptions in our laboratory operations, could affect the performance specifications of its laboratory operations or could require that we revalidate our tests. We cannot assure you that we would be able to secure alternative equipment, reagents, and other materials, or bring such equipment, reagents, and materials online and revalidate them without experiencing interruptions in our workflow. If we encounter delays or difficulties in securing, reconfiguring, or revalidating the equipment and reagents we require for our tests, our business and reputation could be adversely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our health information products and services to a broad range of customers, including health plans (including managed care organizations and other health insurance providers); clinicians; hospitals; employers; patients; federally qualified health centers; and Biopharma companies. In addition, during 2020 and 2021, the customers for our COVID-19 tests included state governments.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Depending on the billing arrangement and applicable law, the clinician or healthcare entity that orders our products or services may not be responsible for paying for the products or services ordered for their patients. In certain circumstances, the patient may be responsible for payment, and in others we seek payment from third party payers, such as a commercial health insurance company, Medicare or a Medicaid program, pursuant to contracts established between us and such third parties.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2021, reimbursement from health plans represented 79% and 76% of our diagnostic test revenue and total revenue, respectively. In 2021, two health plans each represented 10% or more of our consolidated total revenue, and no other health plans or other customers represented 10% or more of our consolidated total revenue.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Human Capital</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Sema4 is mission driven. Our employees are passionate about changing healthcare and impacting lives. We attract entrepreneurs who are comfortable with ambiguity and thrive on innovation and thoughtful discourse. We empower our employees to iterate and rapidly execute on ideas.</w:t>
      </w:r>
    </w:p>
    <w:p>
      <w:pPr>
        <w:spacing w:after="0" w:line="18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It is our People Team’s mission to connect people to purpose. We achieve this through enablement of excellence across the employment journey, through stewardship of an engaged and inclusive culture, by growing individual, team and organizational capability, in delivering simplification and innovation, and by sharing data-driven people insights that transform our organization. All of this is in service of driving our business forward and optimizing patient health outcomes.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delivering a competitive package of compensation and benefits that aims to attract and retain strong talent, in a very competitive talent marketplace. As of December 31, 2021, we had approximately 1,200 employees, of which 54% are women and 46% are men. Our headcount grew by approximately 33% in 2021, and we hired approximately 500 employees in that timeframe, as a part of scaling our operations in connection with our transition to a public company and meeting our strategic priorities.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Diversity and Inclusion Council seeks to improve diversity, inclusion, equality, and global understanding by promoting dialogue, encouraging respectful understanding, providing information, participating in policy development, overseeing diversity education and training, and helping to foster respect for all employees. In 2022, we will be hosting our inaugural BIPOC Initiative Genomics Symposium, inviting select Ph.D. students and post doctorates for a two-day research symposium to strengthen our diverse hiring practices. Each attendee will present their original research, and will learn about science and career opportunities at Sema4.</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that our corporate culture fosters innovation, creativity, and teamwork. In this past year, we launched several programs and processes, which intend to help build a driven culture of alignment, development, compliance, and respect. We are in our second year of formal performance management processes, which are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drive organizational alignment and includes tracking top-down business priorities and people development goals. The launch of two promotion cycles focus and enable employee career growth and mobility. We also implemented formal people manager learning, in order to build stronger people management skills for our leaders. We have optimized processes and transformed our people management solution in order to have greater systems capability, access to robust reporting, and to strengthen our analytical horsepower.</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implemented a comprehensive compliance infrastructure, which advises Sema4 individuals and business affiliates on how to prevent, detect, report, and resolve matters of fraud, waste, threats, and abuse related to institutional policies and federal, state, and local laws and regulations. We have implemented various committees, councils and boards such as the Diversity &amp; Inclusion Council, Data Governance Board, and IRB Review Board. These groups provide guidance for our employees, to empower them to perform according to our legal and ethical standards. We observe legal, regulatory, and industry trends and comprehensively adapt internal policies and practices as needed. We educate our Board members, executives, and other key employees about conflicts of interest and advise how to prevent and detect potential or actual conflicts of interest to safeguard from inappropriate external influence or impropriety.</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look to further strengthen our people infrastructure in 2022 through enhanced engagement surveys, values and behaviors programming, and formal talent reviews, with development planning.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make our annual reports on Form 10-K, quarterly reports on Form 10-Q, current reports on Form 8-K and amendments to these reports, as well as our other SEC filings, available on our website, free of charge, as soon as reasonably practicable after they are electronically filed with or furnished to the SEC. Our website address is www.sema4.com. The information contained on our website is not incorporated by reference in this document.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You should carefully review and consider the following risk factors and the other information contained in this Annual Report on Form 10-K as well as in our other filings with the SEC as well as in our other filings with the SEC before deciding whether to invest in our securities. We cannot assure you that any of the events discussed below will 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securities could decline, and you could lose all or part of your investment. This discussion does not address all of the risks that we face and we may face additional risks and uncertainties that are not presently known to us, or that we currently deem immaterial, which may also impair our business or financial condition. The following discussion should be read in conjunction with the consolidated financial statements and notes thereto included herein.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70" w:lineRule="exact"/>
        <w:rPr>
          <w:sz w:val="20"/>
          <w:szCs w:val="20"/>
          <w:color w:val="auto"/>
        </w:rPr>
      </w:pPr>
    </w:p>
    <w:p>
      <w:pPr>
        <w:ind w:right="400" w:firstLine="318"/>
        <w:spacing w:after="0" w:line="237" w:lineRule="auto"/>
        <w:rPr>
          <w:sz w:val="20"/>
          <w:szCs w:val="20"/>
          <w:color w:val="auto"/>
        </w:rPr>
      </w:pPr>
      <w:r>
        <w:rPr>
          <w:rFonts w:ascii="Arial" w:cs="Arial" w:eastAsia="Arial" w:hAnsi="Arial"/>
          <w:sz w:val="18"/>
          <w:szCs w:val="18"/>
          <w:color w:val="auto"/>
        </w:rPr>
        <w:t>Our business is subject to a number of risks and uncertainties, including those risks discussed at length below. These risks include, among others, the following:</w:t>
      </w:r>
    </w:p>
    <w:p>
      <w:pPr>
        <w:spacing w:after="0" w:line="95"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further materially and adversely affect our business and financial results.</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8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95"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We have limited experience with the development and commercialization of our databases and our health information and genomic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comply with federal and state laboratory licensing requirements or standards, we could lose the ability to perform our tests or experience disruptions to our business.</w:t>
      </w:r>
    </w:p>
    <w:p>
      <w:pPr>
        <w:spacing w:after="0" w:line="10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9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95"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in the development and commercialization of our enhanced or new tests or services could materially adversely affect our business, financial condition and results of operations.</w:t>
      </w:r>
    </w:p>
    <w:p>
      <w:pPr>
        <w:spacing w:after="0" w:line="10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9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results could be subject to significant fluctuation, which could increase the volatility of our stock and warrant prices and cause losses to our stockholders.</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01"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expect to make significant investments in our continued research and development of new products and services, which may not be successful.</w:t>
      </w:r>
    </w:p>
    <w:p>
      <w:pPr>
        <w:spacing w:after="0" w:line="158" w:lineRule="exact"/>
        <w:rPr>
          <w:rFonts w:ascii="Arial" w:cs="Arial" w:eastAsia="Arial" w:hAnsi="Arial"/>
          <w:sz w:val="15"/>
          <w:szCs w:val="15"/>
          <w:color w:val="auto"/>
        </w:rPr>
      </w:pPr>
    </w:p>
    <w:p>
      <w:pPr>
        <w:jc w:val="both"/>
        <w:ind w:left="640" w:hanging="316"/>
        <w:spacing w:after="0" w:line="252"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9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rely on third-party laboratories to perform certain elements of our service offerings.</w:t>
      </w:r>
    </w:p>
    <w:p>
      <w:pPr>
        <w:spacing w:after="0" w:line="13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Future changes in FDA enforcement discretion for LDTs could subject our operations to much more significant regulatory requirements.</w:t>
      </w:r>
    </w:p>
    <w:p>
      <w:pPr>
        <w:spacing w:after="0" w:line="135"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95"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the HIPAA security, privacy and breach notification regulations may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face uncertainty related to healthcare reform, pricing, coverage and reimbursement, which could reduce our revenue.</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effectively protect our proprietary products, processes, and technologies, including the confidentiality of our trade secrets, could harm our competitive position.</w:t>
      </w:r>
    </w:p>
    <w:p>
      <w:pPr>
        <w:spacing w:after="0" w:line="87"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incur increased costs and demands on management as a result of compliance with laws and regulations applicable to public companies, which could harm our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Industry and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ongoing COVID-19 pandemic has affected and may further materially and adversely affect our business and financial results.</w:t>
      </w:r>
    </w:p>
    <w:p>
      <w:pPr>
        <w:spacing w:after="0" w:line="389" w:lineRule="exact"/>
        <w:rPr>
          <w:sz w:val="20"/>
          <w:szCs w:val="20"/>
          <w:color w:val="auto"/>
        </w:rPr>
      </w:pPr>
    </w:p>
    <w:p>
      <w:pPr>
        <w:jc w:val="both"/>
        <w:ind w:firstLine="318"/>
        <w:spacing w:after="0" w:line="232" w:lineRule="auto"/>
        <w:rPr>
          <w:sz w:val="20"/>
          <w:szCs w:val="20"/>
          <w:color w:val="auto"/>
        </w:rPr>
      </w:pPr>
      <w:r>
        <w:rPr>
          <w:rFonts w:ascii="Arial" w:cs="Arial" w:eastAsia="Arial" w:hAnsi="Arial"/>
          <w:sz w:val="17"/>
          <w:szCs w:val="17"/>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20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Restrictions on travel, commerce and shipping may prevent patients and pathologists from shipping samples to our clinical laboratories;</w:t>
      </w:r>
    </w:p>
    <w:p>
      <w:pPr>
        <w:spacing w:after="0" w:line="18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15"/>
        </w:numPr>
        <w:rPr>
          <w:rFonts w:ascii="Arial" w:cs="Arial" w:eastAsia="Arial" w:hAnsi="Arial"/>
          <w:sz w:val="15"/>
          <w:szCs w:val="15"/>
          <w:color w:val="auto"/>
        </w:rPr>
      </w:pPr>
      <w:r>
        <w:rPr>
          <w:rFonts w:ascii="Arial" w:cs="Arial" w:eastAsia="Arial" w:hAnsi="Arial"/>
          <w:sz w:val="15"/>
          <w:szCs w:val="15"/>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84"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line="365"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and our partners have postponed or cancelled clinical studies, which may delay or prevent our launch of future products and services;</w:t>
      </w:r>
    </w:p>
    <w:p>
      <w:pPr>
        <w:spacing w:after="0" w:line="18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Some or all of our workforce, much of which continues to work remotely in an effort to reduce the spread of COVID-19, may be infected by the virus or otherwise distracted;</w:t>
      </w:r>
    </w:p>
    <w:p>
      <w:pPr>
        <w:spacing w:after="0" w:line="140"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5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5"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7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2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2020, we received $5.4 million as part of the stimulus, comprised of $2.6 million received under the Provider Relief Fund, or PRF, distribution and $2.8 million received under the Employee Retention Credit, or ERC, distribution. In 2021, we received an additional $5.6 million under the PRF distribution. PRF distributions to healthcare providers are not loans and will not be required to be repaid; however, as a condition to receiving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w:t>
      </w:r>
    </w:p>
    <w:p>
      <w:pPr>
        <w:spacing w:after="0" w:line="1" w:lineRule="exact"/>
        <w:rPr>
          <w:sz w:val="20"/>
          <w:szCs w:val="20"/>
          <w:color w:val="auto"/>
        </w:rPr>
      </w:pPr>
    </w:p>
    <w:p>
      <w:pPr>
        <w:jc w:val="both"/>
        <w:ind w:firstLine="6"/>
        <w:spacing w:after="0" w:line="308" w:lineRule="auto"/>
        <w:tabs>
          <w:tab w:leader="none" w:pos="262" w:val="left"/>
        </w:tabs>
        <w:numPr>
          <w:ilvl w:val="0"/>
          <w:numId w:val="17"/>
        </w:numPr>
        <w:rPr>
          <w:rFonts w:ascii="Arial" w:cs="Arial" w:eastAsia="Arial" w:hAnsi="Arial"/>
          <w:sz w:val="15"/>
          <w:szCs w:val="15"/>
          <w:color w:val="auto"/>
        </w:rPr>
      </w:pPr>
      <w:r>
        <w:rPr>
          <w:rFonts w:ascii="Arial" w:cs="Arial" w:eastAsia="Arial" w:hAnsi="Arial"/>
          <w:sz w:val="15"/>
          <w:szCs w:val="15"/>
          <w:color w:val="auto"/>
        </w:rPr>
        <w:t>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2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companies or institutions may develop and market novel or improved technologies, which may make our technologies less competitive or obsolete.</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72" w:lineRule="exact"/>
        <w:rPr>
          <w:sz w:val="20"/>
          <w:szCs w:val="20"/>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academic and scientific institutions;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governmental agencies;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public and private research organizations.</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color w:val="auto"/>
        </w:rPr>
        <w:t>acceptance for and sales of our tests and services, which could prevent us from increasing or sustaining our revenues or achieving sustained profitability.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on GeneDx discussed herein), joint ventures and partnerships, in order to enhance our current diagnostics and health information and data science technologies, and existing and new products and services based off these technologies.</w:t>
      </w:r>
    </w:p>
    <w:p>
      <w:pPr>
        <w:spacing w:after="0" w:line="1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7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6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6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5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limited experience with the development and commercialization of our databases and our health information and genomic platforms.</w:t>
      </w:r>
    </w:p>
    <w:p>
      <w:pPr>
        <w:spacing w:after="0" w:line="21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Ethical, legal and social concerns related to the use of genomic medicine and health information analysis could reduce demand for our tests.</w:t>
      </w:r>
    </w:p>
    <w:p>
      <w:pPr>
        <w:spacing w:after="0" w:line="2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5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5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performance, including our research and development programs and laboratory operations, largely depends on our continuing ability to identify, hire, develop, motivate and retain highly skilled personnel for all areas of our 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member or change in structure of our senior management team could adversely affect our business.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founder and CEO, Eric Schadt, and certain other of our employees have performed, and will continue to perform, duties for or on behalf of Mount Sinai.</w:t>
      </w:r>
    </w:p>
    <w:p>
      <w:pPr>
        <w:spacing w:after="0" w:line="15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broad range of business processes and functional areas. The time and resources required to implement these new systems is uncertain, and failure to complete these activities in a timely and efficient manner could adversely affect 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4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51" w:lineRule="exact"/>
        <w:rPr>
          <w:sz w:val="20"/>
          <w:szCs w:val="20"/>
          <w:color w:val="auto"/>
        </w:rPr>
      </w:pPr>
    </w:p>
    <w:p>
      <w:pPr>
        <w:jc w:val="both"/>
        <w:ind w:left="640" w:hanging="316"/>
        <w:spacing w:after="0" w:line="255"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48"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approvals, permits and licenses;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by us, our collaborators or our distributors to obtain regulatory clearance, authorization or approval for the use of our products and services in various countries;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and enforcing our intellectual property;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including repatriating foreign earned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payer reimbursement regimes, government payers or patient self-pay systems;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negotiating favorable reimbursement negotiations with governmental authorities;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samples, including infrastructure conditions and transportation delays;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 if we are not able to conduct our clinical diagnostic services locally;</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and outbreak of disease;</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boycotts, curtailment of trade and other business restrictions; and</w:t>
      </w:r>
    </w:p>
    <w:p>
      <w:pPr>
        <w:spacing w:after="0" w:line="17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significantly harm our future international expansion and operations and, consequently, our revenue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U.S. or global economic conditions could adversely affect our business, financial condition or results of operations.</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5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11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5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and future products and services may never achieve significant commercial market acceptance.</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and our collaborators may not succeed in achieving significant commercial market acceptance for our current or future products and services due to a number of factors, including:</w:t>
      </w:r>
    </w:p>
    <w:p>
      <w:pPr>
        <w:spacing w:after="0" w:line="154" w:lineRule="exact"/>
        <w:rPr>
          <w:sz w:val="20"/>
          <w:szCs w:val="20"/>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48"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17" w:lineRule="exact"/>
        <w:rPr>
          <w:rFonts w:ascii="Arial" w:cs="Arial" w:eastAsia="Arial" w:hAnsi="Arial"/>
          <w:sz w:val="17"/>
          <w:szCs w:val="17"/>
          <w:color w:val="auto"/>
        </w:rPr>
      </w:pPr>
    </w:p>
    <w:p>
      <w:pPr>
        <w:ind w:left="640" w:hanging="316"/>
        <w:spacing w:after="0" w:line="294"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30"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adoption of our platforms and related products and services by academic institutions, clinicians, patients, key opinion leaders, advocacy groups and Biopharma companies; and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our investments in product and services, and technological innovation and commercial growth.</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62"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 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estimated the sizes of the markets for our current and future products and services, and these markets may be smaller than we estimate.</w:t>
      </w:r>
    </w:p>
    <w:p>
      <w:pPr>
        <w:spacing w:after="0" w:line="212"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3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have relatively limited experience developing and commercializing products and services outside of the fields of women’s health and oncology diagnostics, and we may not be successful in our current or future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 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5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3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4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resources to conduct our health information services, data analysis, life sciences research, clinical diagnostics and drug discovery operations and have not yet fully established infrastructure for sales, 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5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and services do not perform as expected, we may not realize the expected benefits of such products and services.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9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6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 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3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353" w:lineRule="exact"/>
        <w:rPr>
          <w:sz w:val="20"/>
          <w:szCs w:val="20"/>
          <w:color w:val="auto"/>
        </w:rPr>
      </w:pPr>
    </w:p>
    <w:p>
      <w:pPr>
        <w:jc w:val="both"/>
        <w:spacing w:after="0" w:line="328"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8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217"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example, we are exposed to these and other risks in connection with the pending Acquisition of GeneDx. See “—Risks Related to the Acquisition”.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integrate any acquired products or technologies effectively may adversely affect our business, operating results and financial condition.</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4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 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1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never become profitable.</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revenues and results of operations may fluctuate significantly, depending on a variety of factors, including the following:</w:t>
      </w:r>
    </w:p>
    <w:p>
      <w:pPr>
        <w:spacing w:after="0" w:line="177"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success in marketing and selling, and changes in demand for, our tests, and the level of reimbursement and collection obtained for such tests;</w:t>
      </w:r>
    </w:p>
    <w:p>
      <w:pPr>
        <w:spacing w:after="0" w:line="21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in collecting payments from third-party payors, patients and collaborative partners, variation in the timing of these payments and recognition of these payments as revenues;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pricing of our tests, including potential changes in CMS or other reimbursement rates;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23"/>
        </w:numPr>
        <w:rPr>
          <w:rFonts w:ascii="Arial" w:cs="Arial" w:eastAsia="Arial" w:hAnsi="Arial"/>
          <w:sz w:val="15"/>
          <w:szCs w:val="15"/>
          <w:color w:val="auto"/>
        </w:rPr>
      </w:pPr>
      <w:r>
        <w:rPr>
          <w:rFonts w:ascii="Arial" w:cs="Arial" w:eastAsia="Arial" w:hAnsi="Arial"/>
          <w:sz w:val="15"/>
          <w:szCs w:val="15"/>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the amount and timing of our selling and marketing costs and our ability to manage costs and expenses and effectively implement our business;</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research and development activities, including the timing of clinical trials; and</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collect, use, and commercialize data in a changing regulatory environment at a time when the public is growing increasingly concerned about privacy.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revenue growth rate could decline over time, and it may experience downward pressure on our operating margins in the future.</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37"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54"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our sales and marketing efforts to drive market adoption of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fund development efforts for our current and future products and services;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 our products and services into other disease indications and clinical applications;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license or invest in technologies;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 (which we refer to as the “Acquisition PIPE Investment”).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7"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achieve revenue growth;</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rate of progress in establishing payer coverage and reimbursement arrangements with commercial third-party payors and government payers;</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expanding our laboratory operations and offerings, including our sales and marketing efforts;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Centrellis solution;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rate of progress in, and cost of research and development activities associated with, products and services in research and early development;</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potential cost of and delays in product development as a result of any regulatory oversight applicable to our products and services.</w:t>
      </w:r>
    </w:p>
    <w:p>
      <w:pPr>
        <w:spacing w:after="0" w:line="20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like in the acquisition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expect to make significant investments in our continued research and development of new products and services, which may not be successful.</w:t>
      </w:r>
    </w:p>
    <w:p>
      <w:pPr>
        <w:spacing w:after="0" w:line="21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New potential products and services may fail at any stage of development or recalled after commercialization and if we determine that any of our current or future products or services are unlikely to succeed, we may abandon them without any return on our investment. If we are unsuccessful in developing additional products or services, our potential for growth may be impaired.</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201" w:lineRule="exact"/>
        <w:rPr>
          <w:sz w:val="20"/>
          <w:szCs w:val="20"/>
          <w:color w:val="auto"/>
        </w:rPr>
      </w:pPr>
    </w:p>
    <w:p>
      <w:pPr>
        <w:ind w:right="20" w:firstLine="318"/>
        <w:spacing w:after="0" w:line="233" w:lineRule="auto"/>
        <w:rPr>
          <w:sz w:val="20"/>
          <w:szCs w:val="20"/>
          <w:color w:val="auto"/>
        </w:rPr>
      </w:pPr>
      <w:r>
        <w:rPr>
          <w:rFonts w:ascii="Arial" w:cs="Arial" w:eastAsia="Arial" w:hAnsi="Arial"/>
          <w:sz w:val="17"/>
          <w:szCs w:val="17"/>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51" w:lineRule="exact"/>
        <w:rPr>
          <w:sz w:val="20"/>
          <w:szCs w:val="20"/>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5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5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5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However, we cannot guarantee that the steps we have taken or may subsequently take have been or will be sufficient to remediate the material weaknesses or ensure that our internal controls are effective. For a discussion of our remediation plan and actions, see “Item 9A. Controls and Procedures.” However,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noted above, as of December 31, 2021, the material weaknesses have not yet been fully remediated.</w:t>
      </w:r>
    </w:p>
    <w:p>
      <w:pPr>
        <w:spacing w:after="0" w:line="24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 statements for prior periods. For more information, see “</w:t>
      </w:r>
      <w:r>
        <w:rPr>
          <w:rFonts w:ascii="Arial" w:cs="Arial" w:eastAsia="Arial" w:hAnsi="Arial"/>
          <w:sz w:val="15"/>
          <w:szCs w:val="15"/>
          <w:i w:val="1"/>
          <w:iCs w:val="1"/>
          <w:color w:val="auto"/>
        </w:rPr>
        <w:t>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Being a Public Company—Our internal controls over financial reporting may not be effective and our independent registered public accounting firm may not be able to certify as to their effectiveness, which could have a significant and adverse effect on our business and reputation.</w:t>
      </w:r>
      <w:r>
        <w:rPr>
          <w:rFonts w:ascii="Arial" w:cs="Arial" w:eastAsia="Arial" w:hAnsi="Arial"/>
          <w:sz w:val="15"/>
          <w:szCs w:val="15"/>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may be limited.</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5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Key Relationships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laboratories to perform certain elements of our service offerings.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7"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customers and harm to our reputation. Furthermore, when these issues arise, we have had to expend time, management’s attention and other resources to address and remedy such issues.</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 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5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3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Regulatory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increased compliance risks as a result of our rapid growth, including our dependence on our sales, marketing and billing efforts.</w:t>
      </w:r>
    </w:p>
    <w:p>
      <w:pPr>
        <w:spacing w:after="0" w:line="22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 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4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changes in FDA enforcement discretion for LDTs could subject our operations to much more significant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that have been reviewed, 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200" w:lineRule="exact"/>
        <w:rPr>
          <w:sz w:val="20"/>
          <w:szCs w:val="20"/>
          <w:color w:val="auto"/>
        </w:rPr>
      </w:pPr>
    </w:p>
    <w:p>
      <w:pPr>
        <w:spacing w:after="0" w:line="35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4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 that is designed, manufactured and used within a single properly licensed laboratory.</w:t>
      </w:r>
    </w:p>
    <w:p>
      <w:pPr>
        <w:spacing w:after="0" w:line="16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request to down classify the device into Class II or Class I, which would not require a PMA. In the </w:t>
      </w:r>
      <w:r>
        <w:rPr>
          <w:rFonts w:ascii="Arial" w:cs="Arial" w:eastAsia="Arial" w:hAnsi="Arial"/>
          <w:sz w:val="15"/>
          <w:szCs w:val="15"/>
          <w:i w:val="1"/>
          <w:iCs w:val="1"/>
          <w:color w:val="auto"/>
        </w:rPr>
        <w:t xml:space="preserve">de novo </w:t>
      </w:r>
      <w:r>
        <w:rPr>
          <w:rFonts w:ascii="Arial" w:cs="Arial" w:eastAsia="Arial" w:hAnsi="Arial"/>
          <w:sz w:val="15"/>
          <w:szCs w:val="15"/>
          <w:color w:val="auto"/>
        </w:rPr>
        <w:t>process, the FDA must determine that general and special controls are sufficient to provide reasonable assurance of the safety and effectiveness of a</w:t>
      </w:r>
      <w:r>
        <w:rPr>
          <w:rFonts w:ascii="Arial" w:cs="Arial" w:eastAsia="Arial" w:hAnsi="Arial"/>
          <w:sz w:val="15"/>
          <w:szCs w:val="15"/>
          <w:i w:val="1"/>
          <w:iCs w:val="1"/>
          <w:color w:val="auto"/>
        </w:rPr>
        <w:t xml:space="preserve"> </w:t>
      </w:r>
      <w:r>
        <w:rPr>
          <w:rFonts w:ascii="Arial" w:cs="Arial" w:eastAsia="Arial" w:hAnsi="Arial"/>
          <w:sz w:val="15"/>
          <w:szCs w:val="15"/>
          <w:color w:val="auto"/>
        </w:rPr>
        <w:t>device, which is low to moderate risk and has no predicate. In other words, the applicant must justify the “down-classification” to Class I or II for a new product type that would otherwise automatically be placed into Class III, but is lower risk. Clinical data may be required. For laboratory tests for which FDA clearance, authorization or approval is required, the FDA may also require data to support analytical and clinical validity.</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510(k),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Arial" w:cs="Arial" w:eastAsia="Arial" w:hAnsi="Arial"/>
          <w:sz w:val="17"/>
          <w:szCs w:val="17"/>
          <w:i w:val="1"/>
          <w:iCs w:val="1"/>
          <w:color w:val="auto"/>
        </w:rPr>
        <w:t>de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novo </w:t>
      </w:r>
      <w:r>
        <w:rPr>
          <w:rFonts w:ascii="Arial" w:cs="Arial" w:eastAsia="Arial" w:hAnsi="Arial"/>
          <w:sz w:val="17"/>
          <w:szCs w:val="17"/>
          <w:color w:val="auto"/>
        </w:rPr>
        <w:t>classification pathway usually takes from six to 12 months, but for many applicants can take up to 18 months or more.</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FDA can delay, limit or deny clearance, authorization or approval of a device for many reasons, including:</w:t>
      </w:r>
    </w:p>
    <w:p>
      <w:pPr>
        <w:spacing w:after="0" w:line="19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demonstrate to the satisfaction of the FDA that the products are safe or effective for their intended uses;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clinical trials;</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data from preclinical studies, analytical studies and clinical trials may be insufficient to support clearance, authorization or approval, where required;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demonstrate that the clinical and other benefits of the device outweigh the risks;</w:t>
      </w:r>
    </w:p>
    <w:p>
      <w:pPr>
        <w:spacing w:after="0" w:line="17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44" w:lineRule="exact"/>
        <w:rPr>
          <w:rFonts w:ascii="Arial" w:cs="Arial" w:eastAsia="Arial" w:hAnsi="Arial"/>
          <w:sz w:val="17"/>
          <w:szCs w:val="17"/>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identify deficiencies in our marketing application;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identify deficiencies in our or our collaborators’ manufacturing processes, facilities or analytical methods;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foreign regulatory authorities may audit clinical trial data and conclude that the data is not sufficiently reliable to support a PMA.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153"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6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54"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test ordering and billing practices;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marketing, sales and pricing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health information privacy and security, including HIPAA and comparable state laws;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insurance;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anti-markup legislation;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fraud and abuse;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consumer protection.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4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the HIPAA security, privacy and breach notification regulations may increase our costs.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64" w:lineRule="exact"/>
        <w:rPr>
          <w:sz w:val="20"/>
          <w:szCs w:val="20"/>
          <w:color w:val="auto"/>
        </w:rPr>
      </w:pPr>
    </w:p>
    <w:p>
      <w:pPr>
        <w:ind w:left="640" w:hanging="316"/>
        <w:spacing w:after="0" w:line="294"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17" w:lineRule="exact"/>
        <w:rPr>
          <w:rFonts w:ascii="Arial" w:cs="Arial" w:eastAsia="Arial" w:hAnsi="Arial"/>
          <w:sz w:val="17"/>
          <w:szCs w:val="17"/>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patient’s rights to access, amend and receive an accounting of certain disclosures of PHI;</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notify individuals if there is a breach of their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contents of notices of privacy practices for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administrative, technical and physical safeguards required of entities that use or receive PHI;</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deidentification of PHI;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protection of computing systems maintaining electronic PHI.</w:t>
      </w:r>
    </w:p>
    <w:p>
      <w:pPr>
        <w:spacing w:after="0" w:line="177"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 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5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activities may subject it to risks under federal and state laws prohibiting ‘kickbacks’ and false or fraudulent claims.</w:t>
      </w:r>
    </w:p>
    <w:p>
      <w:pPr>
        <w:spacing w:after="0" w:line="17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6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 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5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4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54"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7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 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41" w:lineRule="exact"/>
        <w:rPr>
          <w:sz w:val="20"/>
          <w:szCs w:val="20"/>
          <w:color w:val="auto"/>
        </w:rPr>
      </w:pPr>
    </w:p>
    <w:p>
      <w:pPr>
        <w:ind w:left="640" w:hanging="316"/>
        <w:spacing w:after="0" w:line="26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54"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3"/>
        </w:numPr>
        <w:rPr>
          <w:rFonts w:ascii="Arial" w:cs="Arial" w:eastAsia="Arial" w:hAnsi="Arial"/>
          <w:sz w:val="15"/>
          <w:szCs w:val="15"/>
          <w:color w:val="auto"/>
        </w:rPr>
      </w:pPr>
      <w:r>
        <w:rPr>
          <w:rFonts w:ascii="Arial" w:cs="Arial" w:eastAsia="Arial" w:hAnsi="Arial"/>
          <w:sz w:val="15"/>
          <w:szCs w:val="15"/>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71" w:lineRule="exact"/>
        <w:rPr>
          <w:rFonts w:ascii="Arial" w:cs="Arial" w:eastAsia="Arial" w:hAnsi="Arial"/>
          <w:sz w:val="15"/>
          <w:szCs w:val="15"/>
          <w:color w:val="auto"/>
        </w:rPr>
      </w:pPr>
    </w:p>
    <w:p>
      <w:pPr>
        <w:jc w:val="both"/>
        <w:ind w:left="640" w:hanging="316"/>
        <w:spacing w:after="0" w:line="255"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48"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44" w:lineRule="exact"/>
        <w:rPr>
          <w:rFonts w:ascii="Arial" w:cs="Arial" w:eastAsia="Arial" w:hAnsi="Arial"/>
          <w:sz w:val="17"/>
          <w:szCs w:val="17"/>
          <w:color w:val="auto"/>
        </w:rPr>
      </w:pPr>
    </w:p>
    <w:p>
      <w:pPr>
        <w:jc w:val="both"/>
        <w:ind w:left="640" w:hanging="316"/>
        <w:spacing w:after="0" w:line="252"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7"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facility, item or service for which payment may be made, in whole or in part, under a federal healthcare program;</w:t>
      </w:r>
    </w:p>
    <w:p>
      <w:pPr>
        <w:spacing w:after="0" w:line="191" w:lineRule="exact"/>
        <w:rPr>
          <w:sz w:val="20"/>
          <w:szCs w:val="20"/>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EKRA, which prohibits payments for referrals to recovery homes, clinical treatment facilities, and laboratories and reaches beyond federal health care programs, to include private insurance;</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15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54"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31"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4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6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40"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50"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84" w:lineRule="exact"/>
        <w:rPr>
          <w:rFonts w:ascii="Arial" w:cs="Arial" w:eastAsia="Arial" w:hAnsi="Arial"/>
          <w:sz w:val="15"/>
          <w:szCs w:val="15"/>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laws that limit or prohibit the provision of certain payments and other transfers of value to certain covered healthcare providers;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40" w:lineRule="exact"/>
        <w:rPr>
          <w:rFonts w:ascii="Arial" w:cs="Arial" w:eastAsia="Arial" w:hAnsi="Arial"/>
          <w:sz w:val="18"/>
          <w:szCs w:val="18"/>
          <w:color w:val="auto"/>
        </w:rPr>
      </w:pPr>
    </w:p>
    <w:p>
      <w:pPr>
        <w:ind w:left="640" w:right="20" w:hanging="316"/>
        <w:spacing w:after="0" w:line="365" w:lineRule="auto"/>
        <w:tabs>
          <w:tab w:leader="none" w:pos="635" w:val="left"/>
        </w:tabs>
        <w:numPr>
          <w:ilvl w:val="0"/>
          <w:numId w:val="34"/>
        </w:numPr>
        <w:rPr>
          <w:rFonts w:ascii="Arial" w:cs="Arial" w:eastAsia="Arial" w:hAnsi="Arial"/>
          <w:sz w:val="15"/>
          <w:szCs w:val="15"/>
          <w:color w:val="auto"/>
        </w:rPr>
      </w:pPr>
      <w:r>
        <w:rPr>
          <w:rFonts w:ascii="Arial" w:cs="Arial" w:eastAsia="Arial" w:hAnsi="Arial"/>
          <w:sz w:val="15"/>
          <w:szCs w:val="15"/>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similar foreign laws and regulations that may apply to us in the countries in which we operate or may operate in the future; and</w:t>
      </w:r>
    </w:p>
    <w:p>
      <w:pPr>
        <w:spacing w:after="0" w:line="19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uncertainty related to healthcare reform, pricing, coverage and reimbursement, which could reduce our revenue.</w:t>
      </w:r>
    </w:p>
    <w:p>
      <w:pPr>
        <w:spacing w:after="0" w:line="19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33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1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7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 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5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5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Errors, defects, or mistakes in our products or services, and operations could harm our reputation, decrease market acceptance of our products or services.</w:t>
      </w:r>
    </w:p>
    <w:p>
      <w:pPr>
        <w:spacing w:after="0" w:line="15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7"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1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 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increasingly complex taxation rules and practices, which may affect how we conduct our business and our results of operations.</w:t>
      </w:r>
    </w:p>
    <w:p>
      <w:pPr>
        <w:spacing w:after="0" w:line="21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Trade Secrets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53"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inability to effectively protect our proprietary technologies under certain jurisdictions and legal regimes could harm our competitive position.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Any of these factors could adversely affect our ability to obtain commercially relevant or competitively advantageous patent protection for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patent regulations or standards are modified, such changes could have a negative impact on our business.</w:t>
      </w:r>
    </w:p>
    <w:p>
      <w:pPr>
        <w:spacing w:after="0" w:line="17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3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There have been several cases involving “gene patents” and diagnostic claims that have been considered by the U.S. Supreme Court. In March 2012, the Supreme Court </w:t>
      </w:r>
      <w:r>
        <w:rPr>
          <w:rFonts w:ascii="Arial" w:cs="Arial" w:eastAsia="Arial" w:hAnsi="Arial"/>
          <w:sz w:val="18"/>
          <w:szCs w:val="18"/>
          <w:i w:val="1"/>
          <w:iCs w:val="1"/>
          <w:color w:val="auto"/>
        </w:rPr>
        <w:t>in Mayo Collaborative Services v. Prometheus Laboratories, Inc,</w:t>
      </w:r>
      <w:r>
        <w:rPr>
          <w:rFonts w:ascii="Arial" w:cs="Arial" w:eastAsia="Arial" w:hAnsi="Arial"/>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Arial" w:cs="Arial" w:eastAsia="Arial" w:hAnsi="Arial"/>
          <w:sz w:val="18"/>
          <w:szCs w:val="18"/>
          <w:i w:val="1"/>
          <w:iCs w:val="1"/>
          <w:color w:val="auto"/>
        </w:rPr>
        <w:t xml:space="preserve">ACLU v. Myriad Genetics, Inc, </w:t>
      </w:r>
      <w:r>
        <w:rPr>
          <w:rFonts w:ascii="Arial" w:cs="Arial" w:eastAsia="Arial" w:hAnsi="Arial"/>
          <w:sz w:val="18"/>
          <w:szCs w:val="18"/>
          <w:color w:val="auto"/>
        </w:rPr>
        <w:t>that an isolated genomic DNA sequence is not patent eligible while cDNA is eligible. The</w:t>
      </w:r>
      <w:r>
        <w:rPr>
          <w:rFonts w:ascii="Arial" w:cs="Arial" w:eastAsia="Arial" w:hAnsi="Arial"/>
          <w:sz w:val="18"/>
          <w:szCs w:val="18"/>
          <w:i w:val="1"/>
          <w:iCs w:val="1"/>
          <w:color w:val="auto"/>
        </w:rPr>
        <w:t xml:space="preserve"> Prometheus and Myriad </w:t>
      </w:r>
      <w:r>
        <w:rPr>
          <w:rFonts w:ascii="Arial" w:cs="Arial" w:eastAsia="Arial" w:hAnsi="Arial"/>
          <w:sz w:val="18"/>
          <w:szCs w:val="18"/>
          <w:color w:val="auto"/>
        </w:rPr>
        <w:t>decisions,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subsequent case law, affect the legal concept of subject matter eligibility by seemingly narrowing the scope of the statute defining patentable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7"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Arial" w:cs="Arial" w:eastAsia="Arial" w:hAnsi="Arial"/>
          <w:sz w:val="15"/>
          <w:szCs w:val="15"/>
          <w:i w:val="1"/>
          <w:iCs w:val="1"/>
          <w:color w:val="auto"/>
        </w:rPr>
        <w:t>Mayo, Association for Molecular Pathology v. Myriad Genetics, Inc.</w:t>
      </w:r>
      <w:r>
        <w:rPr>
          <w:rFonts w:ascii="Arial" w:cs="Arial" w:eastAsia="Arial" w:hAnsi="Arial"/>
          <w:sz w:val="15"/>
          <w:szCs w:val="15"/>
          <w:color w:val="auto"/>
        </w:rPr>
        <w:t xml:space="preserve">, and </w:t>
      </w:r>
      <w:r>
        <w:rPr>
          <w:rFonts w:ascii="Arial" w:cs="Arial" w:eastAsia="Arial" w:hAnsi="Arial"/>
          <w:sz w:val="15"/>
          <w:szCs w:val="15"/>
          <w:i w:val="1"/>
          <w:iCs w:val="1"/>
          <w:color w:val="auto"/>
        </w:rPr>
        <w:t>Alice</w:t>
      </w:r>
      <w:r>
        <w:rPr>
          <w:rFonts w:ascii="Arial" w:cs="Arial" w:eastAsia="Arial" w:hAnsi="Arial"/>
          <w:sz w:val="15"/>
          <w:szCs w:val="15"/>
          <w:color w:val="auto"/>
        </w:rPr>
        <w:t xml:space="preserve"> </w:t>
      </w:r>
      <w:r>
        <w:rPr>
          <w:rFonts w:ascii="Arial" w:cs="Arial" w:eastAsia="Arial" w:hAnsi="Arial"/>
          <w:sz w:val="15"/>
          <w:szCs w:val="15"/>
          <w:i w:val="1"/>
          <w:iCs w:val="1"/>
          <w:color w:val="auto"/>
        </w:rPr>
        <w:t>Corporation Pty. Ltd. v. CLS Bank International</w:t>
      </w:r>
      <w:r>
        <w:rPr>
          <w:rFonts w:ascii="Arial" w:cs="Arial" w:eastAsia="Arial" w:hAnsi="Arial"/>
          <w:sz w:val="15"/>
          <w:szCs w:val="15"/>
          <w:color w:val="auto"/>
        </w:rPr>
        <w:t>, and others. The guidance indicates that claims directed to a law of nature, a natural phenomenon, or an</w:t>
      </w:r>
      <w:r>
        <w:rPr>
          <w:rFonts w:ascii="Arial" w:cs="Arial" w:eastAsia="Arial" w:hAnsi="Arial"/>
          <w:sz w:val="15"/>
          <w:szCs w:val="15"/>
          <w:i w:val="1"/>
          <w:iCs w:val="1"/>
          <w:color w:val="auto"/>
        </w:rPr>
        <w:t xml:space="preserve"> </w:t>
      </w:r>
      <w:r>
        <w:rPr>
          <w:rFonts w:ascii="Arial" w:cs="Arial" w:eastAsia="Arial" w:hAnsi="Arial"/>
          <w:sz w:val="15"/>
          <w:szCs w:val="15"/>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2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 substantive changes to patent law, whether new or associated with the America Invents Act — which substantially revised the U.S. patent system —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5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5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 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3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2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7"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4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Cybersecurity, Privacy and Information Technology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8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 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5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7"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harm. Penalties for unfair or deceptive acts or practices under the FTC Act or state Unfair and Deceptive Acts and Practices, or UDAP, statutes may also vary significantly.</w:t>
      </w:r>
    </w:p>
    <w:p>
      <w:pPr>
        <w:spacing w:after="0" w:line="15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14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Further, the United Kingdom’s decision to leave the EU, often referred to as Brexit, has created uncertainty with regard to data protection regulation in the United Kingdom. In particular, it is still unclear whether the transfer of personal information from the EU to the United Kingdom will in the future remain lawful under the GDPR. The United Kingdom-EU post-Brexit trade deal provides that transfers of personal information to the United Kingdom will not be treated as restricted transfers to a non-EU country for a period of up to six months from January 1, 2021. However, unless the EU Commission makes an “adequacy finding” with respect to the United Kingdom before the end of that transition period, from that date the United Kingdom will be a “third country” under the GDPR and transfers of personal information from the EU to the United Kingdom will require an “adequacy mechanism,” such as the SCCs.</w:t>
      </w:r>
    </w:p>
    <w:p>
      <w:pPr>
        <w:spacing w:after="0" w:line="112"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7"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5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5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our scientific computing and information technology and management systems and any failure of these systems could harm our business.</w:t>
      </w:r>
    </w:p>
    <w:p>
      <w:pPr>
        <w:spacing w:after="0" w:line="22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7"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6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billing and collections provider depends upon technology and telecommunications systems provided by outside vendors.</w:t>
      </w:r>
    </w:p>
    <w:p>
      <w:pPr>
        <w:spacing w:after="0" w:line="14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7"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19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meet the expectations of investors, stockholders or financial analysts, the market price of our securities may decline.</w:t>
      </w:r>
    </w:p>
    <w:p>
      <w:pPr>
        <w:spacing w:after="0" w:line="17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77"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financial results or the quarterly financial results of companies perceived to be similar to us;</w:t>
      </w:r>
    </w:p>
    <w:p>
      <w:pPr>
        <w:spacing w:after="0" w:line="188" w:lineRule="exact"/>
        <w:rPr>
          <w:rFonts w:ascii="Arial" w:cs="Arial" w:eastAsia="Arial" w:hAnsi="Arial"/>
          <w:sz w:val="17"/>
          <w:szCs w:val="17"/>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announcements of technological innovation, new products, acquisitions, strategic alliances, significant agreements by us or competitors;</w:t>
      </w:r>
    </w:p>
    <w:p>
      <w:pPr>
        <w:spacing w:after="0" w:line="202" w:lineRule="exact"/>
        <w:rPr>
          <w:rFonts w:ascii="Arial" w:cs="Arial" w:eastAsia="Arial" w:hAnsi="Arial"/>
          <w:sz w:val="17"/>
          <w:szCs w:val="17"/>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operating results falling below our financial guidance or other projections or failing to meet the expectation of securities analysts or investors in a particular period;</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market new and enhanced products on a timely basis;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 (including the potential issuance of shares of common stock in connection with the pending Acquisition of GeneDx and the Acquisition PIPE Investment);</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7"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that the proposed Acquisition disrupts our current plans and operations or affects our ability to retain or recruit key employees;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the Acquisition diverting management’s or employees’ attention from ongoing business operations;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4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the costs, fees, expenses and charges related to the Acquisition;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volume of shares of our common stock available for public sale;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5"/>
          <w:szCs w:val="15"/>
          <w:color w:val="auto"/>
        </w:rPr>
      </w:pPr>
      <w:r>
        <w:rPr>
          <w:rFonts w:ascii="Arial" w:cs="Arial" w:eastAsia="Arial" w:hAnsi="Arial"/>
          <w:sz w:val="15"/>
          <w:szCs w:val="15"/>
          <w:color w:val="auto"/>
        </w:rPr>
        <w:t>sales of substantial amounts of common stock by our directors, officers or significant stockholders or the perception that such sales could occur;</w:t>
      </w:r>
    </w:p>
    <w:p>
      <w:pPr>
        <w:spacing w:after="0" w:line="225" w:lineRule="exact"/>
        <w:rPr>
          <w:rFonts w:ascii="Arial" w:cs="Arial" w:eastAsia="Arial" w:hAnsi="Arial"/>
          <w:sz w:val="15"/>
          <w:szCs w:val="15"/>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expiration of the market stand-off or contractual lock-up agreements;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realization of any of the risk factors described herein;</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177"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inflation and interest rates, fuel prices, international currency fluctuations and acts of war or terrorism.</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could decline.</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7"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coverage of us or fail to regularly publish reports on us, we could lose visibility in the financial markets, which could cause our stock price or trading volume to decline.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06"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the Board;</w:t>
      </w:r>
    </w:p>
    <w:p>
      <w:pPr>
        <w:spacing w:after="0" w:line="154"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directors may only be removed from the Board for cause;</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40"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5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48"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changes or amendments to certain provisions of our Charter must be approved by holders of at least two-thirds of our common stock; and</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7"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15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5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7"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12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Charter provides that, subject to limited exceptions, the Court of Chancery of the State of Delaware and federal court within the State of Delaware will be exclusive forums for any:</w:t>
      </w:r>
    </w:p>
    <w:p>
      <w:pPr>
        <w:spacing w:after="0" w:line="154"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derivative action or proceeding brought on our behalf;</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 asserting a claim of breach of a fiduciary duty owed by, or other wrongdoing by, any of our directors, officers, stockholders, employees or agents to us or our stockholders;</w:t>
      </w:r>
    </w:p>
    <w:p>
      <w:pPr>
        <w:spacing w:after="0" w:line="140"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61"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action to interpret, apply, enforce or determine the validity of our Charter or our Bylaws; or</w:t>
      </w:r>
    </w:p>
    <w:p>
      <w:pPr>
        <w:spacing w:after="0" w:line="17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action asserting a claim against us or any of our directors, officers, stockholders, employees or agents that is governed by the internal affairs doctrine.</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stockholders will not be deemed to have waived our compliance with the federal securities laws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7"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18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5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4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3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5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7"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addition, the assumptions used in preparing the pro forma financial information may not prove to be accurate and other factors may affect our financial condition or results of operations. Any potential decline in our financial condition or results of operations may cause significant variations in our stock price.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18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resales of our common stock could cause the market price of our common stock to drop significantly, even if our business is doing well.</w:t>
      </w:r>
    </w:p>
    <w:p>
      <w:pPr>
        <w:spacing w:after="0" w:line="22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Sales of a significant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Immediately after the closing of our July 2021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Merger PIPE Investors owned approximately 12.07% of our total outstanding shares of common stock.</w:t>
      </w:r>
    </w:p>
    <w:p>
      <w:pPr>
        <w:spacing w:after="0" w:line="15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Furthermore, we have filed a registration statement on Form S-1 related to the offer and sale from time to time by the selling securityholders named in the prospectus that forms a part of that registration statement of up to 236,223,401 shares of common stock and 7,236,667 warrants, which registration statement has been declared effective by the SEC. Because the business combination lock-up restrictions have expired and the registration statement is available for use, and as the transfer restrictions under the support agreement end, the market price of our common stock could decline if the holders of our common stock sell them or are perceived by the market as intending to sell them.</w:t>
      </w:r>
    </w:p>
    <w:p>
      <w:pPr>
        <w:spacing w:after="0" w:line="12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There is no guarantee that the public warrants will ever be in the money, and they may expire worthless and the terms of our public warrants may be amended.</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Acquisition</w:t>
      </w:r>
    </w:p>
    <w:p>
      <w:pPr>
        <w:spacing w:after="0" w:line="2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i w:val="1"/>
          <w:iCs w:val="1"/>
          <w:color w:val="auto"/>
        </w:rPr>
        <w:t>The Acquisition is subject to closing conditions, including governmental, regulatory and stockholder approvals, as well as other uncertainties and there can be no assurances as to whether and when it may be completed. Failure to complete the Acquisition could negatively impact our stock price, future business and financial results.</w:t>
      </w:r>
    </w:p>
    <w:p>
      <w:pPr>
        <w:spacing w:after="0" w:line="16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can be no assurance that the proposed Acquisition of GeneDx will occur. Consummation of the Acquisition is subject to certain customary conditions, including, without limitation: (i) the approval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7"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stockholders of the issuance of shares of common stock in connection with the Acquisition and a related amendment to our Charter; (ii) the expiration or early termination of the waiting period applicable to the consummation of the Acquisition under the Hart-Scott-Rodino Antitrust Improvements Act of 1976, as amended; (iii) the absence of any legal requirement that prevents or makes illegal the consummation of transactions contemplated by the Merger Agreement;</w:t>
      </w:r>
    </w:p>
    <w:p>
      <w:pPr>
        <w:spacing w:after="0" w:line="1" w:lineRule="exact"/>
        <w:rPr>
          <w:sz w:val="20"/>
          <w:szCs w:val="20"/>
          <w:color w:val="auto"/>
        </w:rPr>
      </w:pPr>
    </w:p>
    <w:p>
      <w:pPr>
        <w:jc w:val="both"/>
        <w:ind w:firstLine="6"/>
        <w:spacing w:after="0" w:line="248" w:lineRule="auto"/>
        <w:tabs>
          <w:tab w:leader="none" w:pos="30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accuracy of each party’s representations and warranties (subject to certain qualifications); (v) each party’s performance in all material respects of its obligations contained in the Merger Agreement; and (vi) the absence of a material adverse effect on each of GeneDx and our company since the date of the Merger Agreement.</w:t>
      </w:r>
    </w:p>
    <w:p>
      <w:pPr>
        <w:spacing w:after="0" w:line="1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While we believe we will receive the requisite approvals, there can be no assurance that these and other conditions to closing will be satisfied at all or satisfied on the proposed terms and schedules as contemplated by the parties. Satisfaction of the closing conditions may delay the consummation of the Acquisition, and if certain closing conditions are not satisfied prior to the end date specified in the Merger Agreement, the parties will not be obligated to complete the Acquisition.</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If the Acquisition is not completed for any reason, we will have incurred substantial expenses. We have incurred substantial legal, accounting and financial advisory fees that are payable by us whether or not the Acquisition is completed, and our management has devoted considerable time and effort in connection with the pending Acquisition. In particular, the Merger Agreement contains specified termination rights for each of the parties. A failed acquisition could materially adversely affect our business, operating results or financial condition. In addition, the trading price of our securities could be adversely affected to the extent that the current price reflects an assumption that the Acquisition will be completed.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business uncertainties while the Acquisition is pending.</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Uncertainty about the effect of the pending Acquisition on employees and third parties may have an adverse effect on us. These uncertainties may impair our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business could be harmed.</w:t>
      </w:r>
    </w:p>
    <w:p>
      <w:pPr>
        <w:spacing w:after="0" w:line="15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may be the target of transaction related lawsuits which could result in substantial costs and may delay or prevent the Acquisition from being completed.</w:t>
      </w:r>
    </w:p>
    <w:p>
      <w:pPr>
        <w:spacing w:after="0" w:line="141" w:lineRule="exact"/>
        <w:rPr>
          <w:sz w:val="20"/>
          <w:szCs w:val="20"/>
          <w:color w:val="auto"/>
        </w:rPr>
      </w:pPr>
    </w:p>
    <w:p>
      <w:pPr>
        <w:jc w:val="both"/>
        <w:ind w:firstLine="353"/>
        <w:spacing w:after="0" w:line="249" w:lineRule="auto"/>
        <w:rPr>
          <w:sz w:val="20"/>
          <w:szCs w:val="20"/>
          <w:color w:val="auto"/>
        </w:rPr>
      </w:pPr>
      <w:r>
        <w:rPr>
          <w:rFonts w:ascii="Arial" w:cs="Arial" w:eastAsia="Arial" w:hAnsi="Arial"/>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Acquisition, then that injunction may delay or prevent the Acquisition from being completed, which may adversely affect our business, financial condition and results of operation. There can be no assurance that complaints will not be filed with respect to the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corporate headquarter is located at 333 Ludlow Street, North Tower, 8th Floor, Stamford, Connecticut 06902. Material lease agreements include offices and laboratory facilities as shown in the table below. We believe that our current facilities are suitable and adequate to meet our current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7"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280" w:type="dxa"/>
            <w:vAlign w:val="bottom"/>
          </w:tcPr>
          <w:p>
            <w:pPr>
              <w:jc w:val="center"/>
              <w:ind w:left="179"/>
              <w:spacing w:after="0"/>
              <w:rPr>
                <w:sz w:val="20"/>
                <w:szCs w:val="20"/>
                <w:color w:val="auto"/>
              </w:rPr>
            </w:pPr>
            <w:r>
              <w:rPr>
                <w:rFonts w:ascii="Arial" w:cs="Arial" w:eastAsia="Arial" w:hAnsi="Arial"/>
                <w:sz w:val="18"/>
                <w:szCs w:val="18"/>
                <w:b w:val="1"/>
                <w:bCs w:val="1"/>
                <w:color w:val="auto"/>
                <w:w w:val="87"/>
              </w:rPr>
              <w:t>Properties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380" w:type="dxa"/>
            <w:vAlign w:val="bottom"/>
          </w:tcPr>
          <w:p>
            <w:pPr>
              <w:jc w:val="center"/>
              <w:ind w:left="179"/>
              <w:spacing w:after="0"/>
              <w:rPr>
                <w:sz w:val="20"/>
                <w:szCs w:val="20"/>
                <w:color w:val="auto"/>
              </w:rPr>
            </w:pPr>
            <w:r>
              <w:rPr>
                <w:rFonts w:ascii="Arial" w:cs="Arial" w:eastAsia="Arial" w:hAnsi="Arial"/>
                <w:sz w:val="18"/>
                <w:szCs w:val="18"/>
                <w:b w:val="1"/>
                <w:bCs w:val="1"/>
                <w:color w:val="auto"/>
                <w:w w:val="82"/>
              </w:rPr>
              <w:t>Space</w:t>
            </w:r>
          </w:p>
        </w:tc>
      </w:tr>
      <w:tr>
        <w:trPr>
          <w:trHeight w:val="213"/>
        </w:trPr>
        <w:tc>
          <w:tcPr>
            <w:tcW w:w="42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Stamford, CT Corporate Headquarter</w:t>
            </w:r>
          </w:p>
        </w:tc>
        <w:tc>
          <w:tcPr>
            <w:tcW w:w="26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Through 2033</w:t>
            </w:r>
          </w:p>
        </w:tc>
        <w:tc>
          <w:tcPr>
            <w:tcW w:w="23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90,000 sq.ft.</w:t>
            </w:r>
          </w:p>
        </w:tc>
      </w:tr>
      <w:tr>
        <w:trPr>
          <w:trHeight w:val="210"/>
        </w:trPr>
        <w:tc>
          <w:tcPr>
            <w:tcW w:w="4280" w:type="dxa"/>
            <w:vAlign w:val="bottom"/>
          </w:tcPr>
          <w:p>
            <w:pPr>
              <w:jc w:val="center"/>
              <w:ind w:left="219"/>
              <w:spacing w:after="0"/>
              <w:rPr>
                <w:sz w:val="20"/>
                <w:szCs w:val="20"/>
                <w:color w:val="auto"/>
              </w:rPr>
            </w:pPr>
            <w:r>
              <w:rPr>
                <w:rFonts w:ascii="Arial" w:cs="Arial" w:eastAsia="Arial" w:hAnsi="Arial"/>
                <w:sz w:val="16"/>
                <w:szCs w:val="16"/>
                <w:color w:val="auto"/>
                <w:w w:val="93"/>
              </w:rPr>
              <w:t>Branford, CT Laboratory</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0"/>
              </w:rPr>
              <w:t>Through 2029</w:t>
            </w:r>
          </w:p>
        </w:tc>
        <w:tc>
          <w:tcPr>
            <w:tcW w:w="2380" w:type="dxa"/>
            <w:vAlign w:val="bottom"/>
          </w:tcPr>
          <w:p>
            <w:pPr>
              <w:jc w:val="center"/>
              <w:ind w:left="179"/>
              <w:spacing w:after="0"/>
              <w:rPr>
                <w:sz w:val="20"/>
                <w:szCs w:val="20"/>
                <w:color w:val="auto"/>
              </w:rPr>
            </w:pPr>
            <w:r>
              <w:rPr>
                <w:rFonts w:ascii="Arial" w:cs="Arial" w:eastAsia="Arial" w:hAnsi="Arial"/>
                <w:sz w:val="16"/>
                <w:szCs w:val="16"/>
                <w:color w:val="auto"/>
                <w:w w:val="90"/>
              </w:rPr>
              <w:t>40,000 sq.ft.</w:t>
            </w:r>
          </w:p>
        </w:tc>
      </w:tr>
      <w:tr>
        <w:trPr>
          <w:trHeight w:val="214"/>
        </w:trPr>
        <w:tc>
          <w:tcPr>
            <w:tcW w:w="42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1"/>
              </w:rPr>
              <w:t>Stamford, CT Laboratory</w:t>
            </w:r>
          </w:p>
        </w:tc>
        <w:tc>
          <w:tcPr>
            <w:tcW w:w="264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0"/>
              </w:rPr>
              <w:t>Through 2046</w:t>
            </w:r>
          </w:p>
        </w:tc>
        <w:tc>
          <w:tcPr>
            <w:tcW w:w="2380" w:type="dxa"/>
            <w:vAlign w:val="bottom"/>
            <w:shd w:val="clear" w:color="auto" w:fill="CCEEFF"/>
          </w:tcPr>
          <w:p>
            <w:pPr>
              <w:jc w:val="center"/>
              <w:ind w:left="179"/>
              <w:spacing w:after="0"/>
              <w:rPr>
                <w:sz w:val="20"/>
                <w:szCs w:val="20"/>
                <w:color w:val="auto"/>
              </w:rPr>
            </w:pPr>
            <w:r>
              <w:rPr>
                <w:rFonts w:ascii="Arial" w:cs="Arial" w:eastAsia="Arial" w:hAnsi="Arial"/>
                <w:sz w:val="16"/>
                <w:szCs w:val="16"/>
                <w:color w:val="auto"/>
                <w:w w:val="90"/>
              </w:rPr>
              <w:t>67,000 sq.ft.</w:t>
            </w:r>
          </w:p>
        </w:tc>
      </w:tr>
      <w:tr>
        <w:trPr>
          <w:trHeight w:val="207"/>
        </w:trPr>
        <w:tc>
          <w:tcPr>
            <w:tcW w:w="4280" w:type="dxa"/>
            <w:vAlign w:val="bottom"/>
          </w:tcPr>
          <w:p>
            <w:pPr>
              <w:jc w:val="center"/>
              <w:ind w:left="179"/>
              <w:spacing w:after="0"/>
              <w:rPr>
                <w:sz w:val="20"/>
                <w:szCs w:val="20"/>
                <w:color w:val="auto"/>
              </w:rPr>
            </w:pPr>
            <w:r>
              <w:rPr>
                <w:rFonts w:ascii="Arial" w:cs="Arial" w:eastAsia="Arial" w:hAnsi="Arial"/>
                <w:sz w:val="16"/>
                <w:szCs w:val="16"/>
                <w:color w:val="auto"/>
                <w:w w:val="96"/>
              </w:rPr>
              <w:t>New York, NY Office</w:t>
            </w:r>
          </w:p>
        </w:tc>
        <w:tc>
          <w:tcPr>
            <w:tcW w:w="2640" w:type="dxa"/>
            <w:vAlign w:val="bottom"/>
          </w:tcPr>
          <w:p>
            <w:pPr>
              <w:jc w:val="center"/>
              <w:ind w:right="19"/>
              <w:spacing w:after="0"/>
              <w:rPr>
                <w:sz w:val="20"/>
                <w:szCs w:val="20"/>
                <w:color w:val="auto"/>
              </w:rPr>
            </w:pPr>
            <w:r>
              <w:rPr>
                <w:rFonts w:ascii="Arial" w:cs="Arial" w:eastAsia="Arial" w:hAnsi="Arial"/>
                <w:sz w:val="16"/>
                <w:szCs w:val="16"/>
                <w:color w:val="auto"/>
                <w:w w:val="90"/>
              </w:rPr>
              <w:t>Through 2022</w:t>
            </w:r>
          </w:p>
        </w:tc>
        <w:tc>
          <w:tcPr>
            <w:tcW w:w="2380" w:type="dxa"/>
            <w:vAlign w:val="bottom"/>
          </w:tcPr>
          <w:p>
            <w:pPr>
              <w:jc w:val="center"/>
              <w:ind w:left="179"/>
              <w:spacing w:after="0"/>
              <w:rPr>
                <w:sz w:val="20"/>
                <w:szCs w:val="20"/>
                <w:color w:val="auto"/>
              </w:rPr>
            </w:pPr>
            <w:r>
              <w:rPr>
                <w:rFonts w:ascii="Arial" w:cs="Arial" w:eastAsia="Arial" w:hAnsi="Arial"/>
                <w:sz w:val="16"/>
                <w:szCs w:val="16"/>
                <w:color w:val="auto"/>
                <w:w w:val="90"/>
              </w:rPr>
              <w:t>15,000 sq.ft.</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and our subsidiary, are currently not a party to, and our property is not currently the subject of, any material pending legal proceedings; however, we may become involved in various claims and legal actions arising in the ordinary course of business.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7"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Since July 23, 2021, our Class A common stock and public warrants have been listed on the Nasdaq Global Select Market under the symbols “SMFR” and “SMFRW”, respectively. Prior to our business combination, CMLS’s Class A common stock, CMLS’s public warrants, and CMLS’s public units were listed on the Nasdaq Capital Market under the symbols “CMLF”, “CMFLW”, and “CMLFU” respectively.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Holders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March 7, 2022, there were 77 record holders of our Class A common stock and 5 record holders of our public warrants, based upon information received from our transfer agent. However, this number does not reflect beneficial owners whose shares were held of record by nominees or broker dealers. We believe a substantially greater number of beneficial owners hold shares of our Class A common stock or public warrants through brokers, banks, or other nominees.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or SVB, precludes us from paying cash dividends without the prior written consent of SVB. Therefore, we do not expect to pay cash dividends for the foreseeable future.</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This discussion contains forward-looking statements and involves numerous risks and uncertainties. Actual results may differ materially from the results described in or implied by the forward-looking statements. You should carefully read the section entitled “Risk Factors” to gain an understanding of the important factors that could cause actual results to differ materially from these forward-looking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7"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6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7" w:lineRule="exact"/>
        <w:rPr>
          <w:sz w:val="20"/>
          <w:szCs w:val="20"/>
          <w:color w:val="auto"/>
        </w:rPr>
      </w:pPr>
    </w:p>
    <w:p>
      <w:pPr>
        <w:jc w:val="both"/>
        <w:ind w:firstLine="31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Arial" w:cs="Arial" w:eastAsia="Arial" w:hAnsi="Arial"/>
          <w:sz w:val="18"/>
          <w:szCs w:val="18"/>
          <w:i w:val="1"/>
          <w:iCs w:val="1"/>
          <w:color w:val="auto"/>
        </w:rPr>
        <w:t>“</w:t>
      </w:r>
      <w:hyperlink w:anchor="page32">
        <w:r>
          <w:rPr>
            <w:rFonts w:ascii="Arial" w:cs="Arial" w:eastAsia="Arial" w:hAnsi="Arial"/>
            <w:sz w:val="18"/>
            <w:szCs w:val="18"/>
            <w:i w:val="1"/>
            <w:iCs w:val="1"/>
            <w:u w:val="single" w:color="auto"/>
            <w:color w:val="0000FF"/>
          </w:rPr>
          <w:t>Item 1A. 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more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resulted tests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Success obtaining and maintaining reimbursement</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0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7"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lower the costs associated with performing our tests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our services by existing and new customers</w:t>
      </w:r>
    </w:p>
    <w:p>
      <w:pPr>
        <w:spacing w:after="0" w:line="19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platform innovation to support commercial growth</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8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report.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7"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ongoing COVID-19 pandemic has had, and continues to have, an extensive impact on the global health and economic environments since the initial outbreak in March 2020.</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 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0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7"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2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43" w:lineRule="exact"/>
        <w:rPr>
          <w:sz w:val="20"/>
          <w:szCs w:val="20"/>
          <w:color w:val="auto"/>
        </w:rPr>
      </w:pPr>
    </w:p>
    <w:p>
      <w:pPr>
        <w:ind w:right="540" w:firstLine="318"/>
        <w:spacing w:after="0" w:line="449" w:lineRule="auto"/>
        <w:rPr>
          <w:sz w:val="20"/>
          <w:szCs w:val="20"/>
          <w:color w:val="auto"/>
        </w:rPr>
      </w:pPr>
      <w:r>
        <w:rPr>
          <w:rFonts w:ascii="Arial" w:cs="Arial" w:eastAsia="Arial" w:hAnsi="Arial"/>
          <w:sz w:val="18"/>
          <w:szCs w:val="18"/>
          <w:color w:val="auto"/>
        </w:rPr>
        <w:t xml:space="preserve">At this time, we are not certain of the availability, extent or impact of any future relief provided under the CARES Act or other stimulus initiatives. </w:t>
      </w:r>
      <w:r>
        <w:rPr>
          <w:rFonts w:ascii="Arial" w:cs="Arial" w:eastAsia="Arial" w:hAnsi="Arial"/>
          <w:sz w:val="18"/>
          <w:szCs w:val="18"/>
          <w:b w:val="1"/>
          <w:bCs w:val="1"/>
          <w:color w:val="auto"/>
        </w:rPr>
        <w:t>Recent Developments</w:t>
      </w:r>
    </w:p>
    <w:p>
      <w:pPr>
        <w:spacing w:after="0" w:line="4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In January 2022, we and our wholly-owned subsidiaries, Orion Merger Sub I, Inc., or Merger Sub I, and Orion Merger Sub II, LLC, or Merger Sub II, entered into an Agreement and Plan of Merger and Reorganization, or the Merger Agreement, with GeneDx, Inc., a New Jersey corporation, or GeneDx, and a wholly-owned subsidiary of OPKO Health, Inc., or OPKO, GeneDx Holding 2, Inc., or Holdco, and OPKO to acquire 100% of GeneDx (which we refer to as the “Acquisition”). Subject to the terms and conditions of the Merger Agreement, we will pay consideration to OPKO for the Acquisition of (i) $150 million in cash at the closing of the Acquisition, subject to certain adjustments as provided in the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Merger Agreement, will be satisfied through the payment and/or issuance of a combination of cash and shares of our Class A common stock (valued at $4.86 per share), with such mix to be determined in our sole discretion.</w:t>
      </w:r>
    </w:p>
    <w:p>
      <w:pPr>
        <w:spacing w:after="0" w:line="306" w:lineRule="exact"/>
        <w:rPr>
          <w:sz w:val="20"/>
          <w:szCs w:val="20"/>
          <w:color w:val="auto"/>
        </w:rPr>
      </w:pPr>
    </w:p>
    <w:p>
      <w:pPr>
        <w:ind w:right="60" w:firstLine="318"/>
        <w:spacing w:after="0" w:line="237" w:lineRule="auto"/>
        <w:rPr>
          <w:sz w:val="20"/>
          <w:szCs w:val="20"/>
          <w:color w:val="auto"/>
        </w:rPr>
      </w:pPr>
      <w:r>
        <w:rPr>
          <w:rFonts w:ascii="Arial" w:cs="Arial" w:eastAsia="Arial" w:hAnsi="Arial"/>
          <w:sz w:val="17"/>
          <w:szCs w:val="17"/>
          <w:color w:val="auto"/>
        </w:rPr>
        <w:t>The completion of the Acquisition is subject to a number of closing conditions (which, as of the date of this report,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7"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Concurrently with the execution of the Merger Agreement, we entered into subscription agreements with certain institutional investors, pursuant to, and on the terms and subject to the conditions of which, these investors have collectively subscribed for 50 million shares of our Class A common stock for an aggregate purchase price equal to $200 million (which we refer to as the “Acquisition PIPE Investment”). The Acquisition PIPE Investment will be consummated substantially concurrently with the closing of the Acquisition.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7"/>
          <w:szCs w:val="17"/>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21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99"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generate revenue from providing diagnostic testing and related data aggregation reporting services under both short-term and long-term project-based collaboration service agreements with third parties. The terms of these contracts generally include non-refundable upfront payments, which we record as contract liabilities, and variable payments based upon the achievement of certain milestones during the contract term.</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15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7"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17"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51"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21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5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Related party expenses primarily consist of amounts incurred in connection with transactions occurred with ISMMS for expenses under our transition services agreement, or TSA, with ISMMS which expired at the end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7"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first quarter of 2021, and other service agreements. Additional information can be found in our consolidated financial statements in Note 7, </w:t>
      </w:r>
      <w:r>
        <w:rPr>
          <w:rFonts w:ascii="Arial" w:cs="Arial" w:eastAsia="Arial" w:hAnsi="Arial"/>
          <w:sz w:val="18"/>
          <w:szCs w:val="18"/>
          <w:i w:val="1"/>
          <w:iCs w:val="1"/>
          <w:color w:val="auto"/>
        </w:rPr>
        <w:t>“Related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included within this Annual Report.</w:t>
      </w:r>
    </w:p>
    <w:p>
      <w:pPr>
        <w:spacing w:after="0" w:line="148"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Interest income primarily consists of interest earned on money market funds.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64"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91"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“Summary of Significant Accounting Policies” to our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7"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60" w:type="dxa"/>
            <w:vAlign w:val="bottom"/>
            <w:gridSpan w:val="4"/>
          </w:tcPr>
          <w:p>
            <w:pPr>
              <w:jc w:val="right"/>
              <w:ind w:right="72"/>
              <w:spacing w:after="0"/>
              <w:rPr>
                <w:sz w:val="20"/>
                <w:szCs w:val="20"/>
                <w:color w:val="auto"/>
              </w:rPr>
            </w:pPr>
            <w:r>
              <w:rPr>
                <w:rFonts w:ascii="Arial" w:cs="Arial" w:eastAsia="Arial" w:hAnsi="Arial"/>
                <w:sz w:val="18"/>
                <w:szCs w:val="18"/>
                <w:b w:val="1"/>
                <w:bCs w:val="1"/>
                <w:color w:val="auto"/>
                <w:w w:val="87"/>
              </w:rPr>
              <w:t>Comparison of the Years Ended December 31, 2021 and 2020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180" w:type="dxa"/>
            <w:vAlign w:val="bottom"/>
          </w:tcPr>
          <w:p>
            <w:pPr>
              <w:spacing w:after="0"/>
              <w:rPr>
                <w:sz w:val="24"/>
                <w:szCs w:val="24"/>
                <w:color w:val="auto"/>
              </w:rPr>
            </w:pPr>
          </w:p>
        </w:tc>
        <w:tc>
          <w:tcPr>
            <w:tcW w:w="5880" w:type="dxa"/>
            <w:vAlign w:val="bottom"/>
            <w:gridSpan w:val="6"/>
          </w:tcPr>
          <w:p>
            <w:pPr>
              <w:ind w:left="140"/>
              <w:spacing w:after="0"/>
              <w:rPr>
                <w:sz w:val="20"/>
                <w:szCs w:val="20"/>
                <w:color w:val="auto"/>
              </w:rPr>
            </w:pPr>
            <w:r>
              <w:rPr>
                <w:rFonts w:ascii="Arial" w:cs="Arial" w:eastAsia="Arial" w:hAnsi="Arial"/>
                <w:sz w:val="18"/>
                <w:szCs w:val="18"/>
                <w:color w:val="auto"/>
                <w:w w:val="89"/>
              </w:rPr>
              <w:t>The following table sets forth our results of operations for the periods presented:</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612"/>
              <w:spacing w:after="0"/>
              <w:rPr>
                <w:sz w:val="20"/>
                <w:szCs w:val="20"/>
                <w:color w:val="auto"/>
              </w:rPr>
            </w:pPr>
            <w:r>
              <w:rPr>
                <w:rFonts w:ascii="Arial" w:cs="Arial" w:eastAsia="Arial" w:hAnsi="Arial"/>
                <w:sz w:val="18"/>
                <w:szCs w:val="18"/>
                <w:b w:val="1"/>
                <w:bCs w:val="1"/>
                <w:color w:val="auto"/>
                <w:w w:val="98"/>
              </w:rPr>
              <w:t>Year Ended December 31,</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2020 (Restated)</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5"/>
          </w:tcPr>
          <w:p>
            <w:pPr>
              <w:jc w:val="right"/>
              <w:ind w:right="115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Diagnostic test revenue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175,351</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Gross (loss) profit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112,738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63,183</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0" w:type="dxa"/>
            <w:vAlign w:val="bottom"/>
          </w:tcPr>
          <w:p>
            <w:pPr>
              <w:spacing w:after="0"/>
              <w:rPr>
                <w:sz w:val="1"/>
                <w:szCs w:val="1"/>
                <w:color w:val="auto"/>
              </w:rPr>
            </w:pPr>
          </w:p>
        </w:tc>
      </w:tr>
      <w:tr>
        <w:trPr>
          <w:trHeight w:val="231"/>
        </w:trPr>
        <w:tc>
          <w:tcPr>
            <w:tcW w:w="180" w:type="dxa"/>
            <w:vAlign w:val="bottom"/>
          </w:tcPr>
          <w:p>
            <w:pPr>
              <w:spacing w:after="0"/>
              <w:rPr>
                <w:sz w:val="20"/>
                <w:szCs w:val="20"/>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55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w w:val="93"/>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80" w:type="dxa"/>
            <w:vAlign w:val="bottom"/>
          </w:tcPr>
          <w:p>
            <w:pPr>
              <w:spacing w:after="0"/>
              <w:rPr>
                <w:sz w:val="18"/>
                <w:szCs w:val="18"/>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(245,390)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(241,340)</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4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20" w:type="dxa"/>
            <w:vAlign w:val="bottom"/>
            <w:gridSpan w:val="5"/>
          </w:tcPr>
          <w:p>
            <w:pPr>
              <w:ind w:left="1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jc w:val="right"/>
              <w:ind w:right="753"/>
              <w:spacing w:after="0"/>
              <w:rPr>
                <w:sz w:val="20"/>
                <w:szCs w:val="20"/>
                <w:color w:val="auto"/>
              </w:rPr>
            </w:pPr>
            <w:r>
              <w:rPr>
                <w:rFonts w:ascii="Arial" w:cs="Arial" w:eastAsia="Arial" w:hAnsi="Arial"/>
                <w:sz w:val="14"/>
                <w:szCs w:val="14"/>
                <w:b w:val="1"/>
                <w:bCs w:val="1"/>
                <w:color w:val="auto"/>
                <w:w w:val="91"/>
              </w:rPr>
              <w:t>2020 to 2021</w:t>
            </w:r>
          </w:p>
        </w:tc>
        <w:tc>
          <w:tcPr>
            <w:tcW w:w="10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00" w:type="dxa"/>
            <w:vAlign w:val="bottom"/>
            <w:gridSpan w:val="6"/>
          </w:tcPr>
          <w:p>
            <w:pPr>
              <w:ind w:left="200"/>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179,322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32,873</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increased by $32.9 million, or 18%, to $212.2 million for the year ended December 31, 2021, from $179.3 million for the year ended December 31, 2020.</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 volume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7"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2020, compared to the year ended December 31, 2021 (with COVID-19 test volumes growing 26% year over year) .</w:t>
      </w:r>
    </w:p>
    <w:p>
      <w:pPr>
        <w:spacing w:after="0" w:line="19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amount restated)</w:t>
      </w:r>
    </w:p>
    <w:p>
      <w:pPr>
        <w:spacing w:after="0" w:line="194" w:lineRule="exact"/>
        <w:rPr>
          <w:sz w:val="20"/>
          <w:szCs w:val="20"/>
          <w:color w:val="auto"/>
        </w:rPr>
      </w:pPr>
    </w:p>
    <w:tbl>
      <w:tblPr>
        <w:tblLayout w:type="fixed"/>
        <w:tblInd w:w="184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2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2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2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3"/>
          </w:tcPr>
          <w:p>
            <w:pPr>
              <w:jc w:val="right"/>
              <w:ind w:right="94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228,797</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175,296</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53,501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53"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or the Closing Date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105,162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72,700</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32,462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5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7"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amount restated)</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ind w:left="260"/>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112,738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63,183</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49,555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r>
    </w:tbl>
    <w:p>
      <w:pPr>
        <w:spacing w:after="0" w:line="25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38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40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60" w:type="dxa"/>
            <w:vAlign w:val="bottom"/>
            <w:gridSpan w:val="3"/>
          </w:tcPr>
          <w:p>
            <w:pPr>
              <w:jc w:val="right"/>
              <w:ind w:right="90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205,988</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100,742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105,246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r>
    </w:tbl>
    <w:p>
      <w:pPr>
        <w:spacing w:after="0" w:line="25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45"/>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5,659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9,395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05"/>
              <w:spacing w:after="0"/>
              <w:rPr>
                <w:sz w:val="20"/>
                <w:szCs w:val="20"/>
                <w:color w:val="auto"/>
              </w:rPr>
            </w:pPr>
            <w:r>
              <w:rPr>
                <w:rFonts w:ascii="Arial" w:cs="Arial" w:eastAsia="Arial" w:hAnsi="Arial"/>
                <w:sz w:val="18"/>
                <w:szCs w:val="18"/>
                <w:color w:val="auto"/>
              </w:rPr>
              <w:t>(3,736)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7" w:right="339" w:bottom="1440" w:gutter="0" w:footer="0" w:header="0"/>
        </w:sectPr>
      </w:pPr>
    </w:p>
    <w:bookmarkStart w:id="94" w:name="page95"/>
    <w:bookmarkEnd w:id="94"/>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506</w:t>
            </w:r>
          </w:p>
        </w:tc>
        <w:tc>
          <w:tcPr>
            <w:tcW w:w="660" w:type="dxa"/>
            <w:vAlign w:val="bottom"/>
            <w:shd w:val="clear" w:color="auto" w:fill="CCEEFF"/>
          </w:tcPr>
          <w:p>
            <w:pPr>
              <w:jc w:val="right"/>
              <w:ind w:right="48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23"/>
              <w:spacing w:after="0"/>
              <w:rPr>
                <w:sz w:val="20"/>
                <w:szCs w:val="20"/>
                <w:color w:val="auto"/>
              </w:rPr>
            </w:pPr>
            <w:r>
              <w:rPr>
                <w:rFonts w:ascii="Arial" w:cs="Arial" w:eastAsia="Arial" w:hAnsi="Arial"/>
                <w:sz w:val="18"/>
                <w:szCs w:val="18"/>
                <w:color w:val="auto"/>
                <w:w w:val="85"/>
              </w:rPr>
              <w:t>(427)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2,835</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2,474</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w w:val="99"/>
              </w:rPr>
              <w:t>361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9"/>
              </w:rPr>
              <w:t>Change</w:t>
            </w:r>
          </w:p>
        </w:tc>
        <w:tc>
          <w:tcPr>
            <w:tcW w:w="740" w:type="dxa"/>
            <w:vAlign w:val="bottom"/>
            <w:tcBorders>
              <w:bottom w:val="single" w:sz="8" w:color="auto"/>
            </w:tcBorders>
          </w:tcPr>
          <w:p>
            <w:pPr>
              <w:spacing w:after="0"/>
              <w:rPr>
                <w:sz w:val="16"/>
                <w:szCs w:val="16"/>
                <w:color w:val="auto"/>
              </w:rPr>
            </w:pPr>
          </w:p>
        </w:tc>
      </w:tr>
      <w:tr>
        <w:trPr>
          <w:trHeight w:val="185"/>
        </w:trPr>
        <w:tc>
          <w:tcPr>
            <w:tcW w:w="3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365"/>
              <w:spacing w:after="0"/>
              <w:rPr>
                <w:sz w:val="20"/>
                <w:szCs w:val="20"/>
                <w:color w:val="auto"/>
              </w:rPr>
            </w:pPr>
            <w:r>
              <w:rPr>
                <w:rFonts w:ascii="Arial" w:cs="Arial" w:eastAsia="Arial" w:hAnsi="Arial"/>
                <w:sz w:val="14"/>
                <w:szCs w:val="14"/>
                <w:b w:val="1"/>
                <w:bCs w:val="1"/>
                <w:color w:val="auto"/>
                <w:w w:val="88"/>
              </w:rPr>
              <w:t>2020 to 2021</w:t>
            </w:r>
          </w:p>
        </w:tc>
        <w:tc>
          <w:tcPr>
            <w:tcW w:w="740" w:type="dxa"/>
            <w:vAlign w:val="bottom"/>
            <w:tcBorders>
              <w:bottom w:val="single" w:sz="8" w:color="auto"/>
            </w:tcBorders>
          </w:tcPr>
          <w:p>
            <w:pPr>
              <w:spacing w:after="0"/>
              <w:rPr>
                <w:sz w:val="16"/>
                <w:szCs w:val="16"/>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79"/>
        </w:trPr>
        <w:tc>
          <w:tcPr>
            <w:tcW w:w="3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8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(dollars in thousands)</w:t>
            </w:r>
          </w:p>
        </w:tc>
        <w:tc>
          <w:tcPr>
            <w:tcW w:w="740" w:type="dxa"/>
            <w:vAlign w:val="bottom"/>
          </w:tcPr>
          <w:p>
            <w:pPr>
              <w:spacing w:after="0"/>
              <w:rPr>
                <w:sz w:val="15"/>
                <w:szCs w:val="15"/>
                <w:color w:val="auto"/>
              </w:rPr>
            </w:pPr>
          </w:p>
        </w:tc>
      </w:tr>
      <w:tr>
        <w:trPr>
          <w:trHeight w:val="22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5,114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8"/>
                <w:szCs w:val="18"/>
                <w:color w:val="auto"/>
              </w:rPr>
              <w:t>2,622</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45"/>
              <w:spacing w:after="0"/>
              <w:rPr>
                <w:sz w:val="20"/>
                <w:szCs w:val="20"/>
                <w:color w:val="auto"/>
              </w:rPr>
            </w:pPr>
            <w:r>
              <w:rPr>
                <w:rFonts w:ascii="Arial" w:cs="Arial" w:eastAsia="Arial" w:hAnsi="Arial"/>
                <w:sz w:val="18"/>
                <w:szCs w:val="18"/>
                <w:color w:val="auto"/>
              </w:rPr>
              <w:t>2,492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95 %</w:t>
            </w:r>
          </w:p>
        </w:tc>
      </w:tr>
    </w:tbl>
    <w:p>
      <w:pPr>
        <w:spacing w:after="0" w:line="253" w:lineRule="exact"/>
        <w:rPr>
          <w:sz w:val="20"/>
          <w:szCs w:val="20"/>
          <w:color w:val="auto"/>
        </w:rPr>
      </w:pPr>
    </w:p>
    <w:p>
      <w:pPr>
        <w:jc w:val="both"/>
        <w:ind w:firstLine="238"/>
        <w:spacing w:after="0" w:line="252" w:lineRule="auto"/>
        <w:rPr>
          <w:sz w:val="20"/>
          <w:szCs w:val="20"/>
          <w:color w:val="auto"/>
        </w:rPr>
      </w:pPr>
      <w:r>
        <w:rPr>
          <w:rFonts w:ascii="Arial" w:cs="Arial" w:eastAsia="Arial" w:hAnsi="Arial"/>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80" w:type="dxa"/>
            <w:vAlign w:val="bottom"/>
            <w:gridSpan w:val="4"/>
          </w:tcPr>
          <w:p>
            <w:pPr>
              <w:spacing w:after="0"/>
              <w:rPr>
                <w:sz w:val="20"/>
                <w:szCs w:val="20"/>
                <w:color w:val="auto"/>
              </w:rPr>
            </w:pPr>
            <w:r>
              <w:rPr>
                <w:rFonts w:ascii="Arial" w:cs="Arial" w:eastAsia="Arial" w:hAnsi="Arial"/>
                <w:sz w:val="18"/>
                <w:szCs w:val="18"/>
                <w:b w:val="1"/>
                <w:bCs w:val="1"/>
                <w:color w:val="auto"/>
                <w:w w:val="93"/>
              </w:rPr>
              <w:t>Comparison of the Years Ended December 31, 2020 and 2019</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6080" w:type="dxa"/>
            <w:vAlign w:val="bottom"/>
            <w:gridSpan w:val="7"/>
          </w:tcPr>
          <w:p>
            <w:pPr>
              <w:ind w:left="320"/>
              <w:spacing w:after="0"/>
              <w:rPr>
                <w:sz w:val="20"/>
                <w:szCs w:val="20"/>
                <w:color w:val="auto"/>
              </w:rPr>
            </w:pPr>
            <w:r>
              <w:rPr>
                <w:rFonts w:ascii="Arial" w:cs="Arial" w:eastAsia="Arial" w:hAnsi="Arial"/>
                <w:sz w:val="18"/>
                <w:szCs w:val="18"/>
                <w:color w:val="auto"/>
                <w:w w:val="90"/>
              </w:rPr>
              <w:t>The following table sets forth our results of operations for the periods presented:</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632"/>
              <w:spacing w:after="0"/>
              <w:rPr>
                <w:sz w:val="20"/>
                <w:szCs w:val="20"/>
                <w:color w:val="auto"/>
              </w:rPr>
            </w:pPr>
            <w:r>
              <w:rPr>
                <w:rFonts w:ascii="Arial" w:cs="Arial" w:eastAsia="Arial" w:hAnsi="Arial"/>
                <w:sz w:val="18"/>
                <w:szCs w:val="18"/>
                <w:b w:val="1"/>
                <w:bCs w:val="1"/>
                <w:color w:val="auto"/>
                <w:w w:val="93"/>
              </w:rPr>
              <w:t>Year Ended December 31,</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b w:val="1"/>
                <w:bCs w:val="1"/>
                <w:color w:val="auto"/>
              </w:rPr>
              <w:t>2020 (Restated)</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8"/>
                <w:szCs w:val="18"/>
                <w:b w:val="1"/>
                <w:bCs w:val="1"/>
                <w:color w:val="auto"/>
                <w:w w:val="88"/>
              </w:rPr>
              <w:t>2019 (Restated)</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7"/>
          </w:tcPr>
          <w:p>
            <w:pPr>
              <w:jc w:val="right"/>
              <w:ind w:right="1072"/>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Diagnostic test revenue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175,351</w:t>
            </w:r>
          </w:p>
        </w:tc>
        <w:tc>
          <w:tcPr>
            <w:tcW w:w="12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179,322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175,296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72,700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63,183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100,742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9,395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(241,994)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(2,474)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6"/>
        </w:trPr>
        <w:tc>
          <w:tcPr>
            <w:tcW w:w="1280" w:type="dxa"/>
            <w:vAlign w:val="bottom"/>
          </w:tcPr>
          <w:p>
            <w:pPr>
              <w:spacing w:after="0"/>
              <w:rPr>
                <w:sz w:val="19"/>
                <w:szCs w:val="19"/>
                <w:color w:val="auto"/>
              </w:rPr>
            </w:pPr>
          </w:p>
        </w:tc>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2,622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3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3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6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88"/>
              </w:rPr>
              <w:t>Redeemable convertible preferred stock dividends</w:t>
            </w:r>
          </w:p>
        </w:tc>
        <w:tc>
          <w:tcPr>
            <w:tcW w:w="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89"/>
              </w:rPr>
              <w:t>Net loss attributable to common 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(241,340)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0"/>
        </w:trPr>
        <w:tc>
          <w:tcPr>
            <w:tcW w:w="4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45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2019 to 2020</w:t>
            </w:r>
          </w:p>
        </w:tc>
        <w:tc>
          <w:tcPr>
            <w:tcW w:w="78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Diagnostic test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191,667</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179,322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Total revenue decreased by $16.9 million, or 9%, to $179.3 million for the year ended December 31, 2020, from $196.2 million for the year ended December 31, 2019.</w:t>
      </w:r>
    </w:p>
    <w:p>
      <w:pPr>
        <w:spacing w:after="0" w:line="20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7"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(2020 and 2019 amounts restated)</w:t>
      </w:r>
    </w:p>
    <w:p>
      <w:pPr>
        <w:spacing w:after="0" w:line="194" w:lineRule="exact"/>
        <w:rPr>
          <w:sz w:val="20"/>
          <w:szCs w:val="20"/>
          <w:color w:val="auto"/>
        </w:rPr>
      </w:pPr>
    </w:p>
    <w:tbl>
      <w:tblPr>
        <w:tblLayout w:type="fixed"/>
        <w:tblInd w:w="188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2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27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2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175,296</w:t>
            </w:r>
          </w:p>
        </w:tc>
        <w:tc>
          <w:tcPr>
            <w:tcW w:w="3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61,907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r>
    </w:tbl>
    <w:p>
      <w:pPr>
        <w:spacing w:after="0" w:line="2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95" w:lineRule="exact"/>
        <w:rPr>
          <w:sz w:val="20"/>
          <w:szCs w:val="20"/>
          <w:color w:val="auto"/>
        </w:rPr>
      </w:pPr>
    </w:p>
    <w:tbl>
      <w:tblPr>
        <w:tblLayout w:type="fixed"/>
        <w:tblInd w:w="1740" w:type="dxa"/>
        <w:tblCellMar>
          <w:top w:w="0" w:type="dxa"/>
          <w:left w:w="0" w:type="dxa"/>
          <w:bottom w:w="0" w:type="dxa"/>
          <w:right w:w="0" w:type="dxa"/>
        </w:tblCellMar>
      </w:tblPr>
      <w:tr>
        <w:trPr>
          <w:trHeight w:val="198"/>
        </w:trPr>
        <w:tc>
          <w:tcPr>
            <w:tcW w:w="3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top w:val="single" w:sz="8" w:color="auto"/>
              <w:bottom w:val="single" w:sz="8" w:color="auto"/>
            </w:tcBorders>
          </w:tcPr>
          <w:p>
            <w:pPr>
              <w:spacing w:after="0"/>
              <w:rPr>
                <w:sz w:val="17"/>
                <w:szCs w:val="17"/>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3"/>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72,700</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34,910</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37,790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3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7"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(2020 and 2019 amounts restated)</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63,183</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39,352</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545"/>
              <w:spacing w:after="0"/>
              <w:rPr>
                <w:sz w:val="20"/>
                <w:szCs w:val="20"/>
                <w:color w:val="auto"/>
              </w:rPr>
            </w:pPr>
            <w:r>
              <w:rPr>
                <w:rFonts w:ascii="Arial" w:cs="Arial" w:eastAsia="Arial" w:hAnsi="Arial"/>
                <w:sz w:val="18"/>
                <w:szCs w:val="18"/>
                <w:color w:val="auto"/>
              </w:rPr>
              <w:t>23,831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6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100,742</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29,484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71,258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242 %</w:t>
            </w:r>
          </w:p>
        </w:tc>
      </w:tr>
    </w:tbl>
    <w:p>
      <w:pPr>
        <w:spacing w:after="0" w:line="22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98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expenses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9,395</w:t>
            </w:r>
          </w:p>
        </w:tc>
        <w:tc>
          <w:tcPr>
            <w:tcW w:w="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05"/>
              <w:spacing w:after="0"/>
              <w:rPr>
                <w:sz w:val="20"/>
                <w:szCs w:val="20"/>
                <w:color w:val="auto"/>
              </w:rPr>
            </w:pPr>
            <w:r>
              <w:rPr>
                <w:rFonts w:ascii="Arial" w:cs="Arial" w:eastAsia="Arial" w:hAnsi="Arial"/>
                <w:sz w:val="18"/>
                <w:szCs w:val="18"/>
                <w:color w:val="auto"/>
              </w:rPr>
              <w:t>(57)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7"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ISMMS pursuant to the transition services agreement and a $0.5 million increase in consultant costs driven by an increase in research and development efforts performed by ISMMS under consulting agreements.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40" w:type="dxa"/>
            <w:vAlign w:val="bottom"/>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ind w:right="52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25"/>
              <w:spacing w:after="0"/>
              <w:rPr>
                <w:sz w:val="20"/>
                <w:szCs w:val="20"/>
                <w:color w:val="auto"/>
              </w:rPr>
            </w:pPr>
            <w:r>
              <w:rPr>
                <w:rFonts w:ascii="Arial" w:cs="Arial" w:eastAsia="Arial" w:hAnsi="Arial"/>
                <w:sz w:val="18"/>
                <w:szCs w:val="18"/>
                <w:color w:val="auto"/>
              </w:rPr>
              <w:t>(482)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2,474</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5"/>
              <w:spacing w:after="0"/>
              <w:rPr>
                <w:sz w:val="20"/>
                <w:szCs w:val="20"/>
                <w:color w:val="auto"/>
              </w:rPr>
            </w:pPr>
            <w:r>
              <w:rPr>
                <w:rFonts w:ascii="Arial" w:cs="Arial" w:eastAsia="Arial" w:hAnsi="Arial"/>
                <w:sz w:val="18"/>
                <w:szCs w:val="18"/>
                <w:color w:val="auto"/>
              </w:rPr>
              <w:t>1,691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r>
    </w:tbl>
    <w:p>
      <w:pPr>
        <w:spacing w:after="0" w:line="25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94" w:lineRule="exact"/>
        <w:rPr>
          <w:sz w:val="20"/>
          <w:szCs w:val="20"/>
          <w:color w:val="auto"/>
        </w:rPr>
      </w:pPr>
    </w:p>
    <w:tbl>
      <w:tblPr>
        <w:tblLayout w:type="fixed"/>
        <w:tblInd w:w="17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83"/>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 to 2020</w:t>
            </w:r>
          </w:p>
        </w:tc>
        <w:tc>
          <w:tcPr>
            <w:tcW w:w="740" w:type="dxa"/>
            <w:vAlign w:val="bottom"/>
            <w:tcBorders>
              <w:bottom w:val="single" w:sz="8" w:color="auto"/>
            </w:tcBorders>
          </w:tcPr>
          <w:p>
            <w:pPr>
              <w:spacing w:after="0"/>
              <w:rPr>
                <w:sz w:val="15"/>
                <w:szCs w:val="15"/>
                <w:color w:val="auto"/>
              </w:rPr>
            </w:pPr>
          </w:p>
        </w:tc>
      </w:tr>
      <w:tr>
        <w:trPr>
          <w:trHeight w:val="179"/>
        </w:trPr>
        <w:tc>
          <w:tcPr>
            <w:tcW w:w="3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05"/>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w:t>
            </w:r>
          </w:p>
        </w:tc>
      </w:tr>
      <w:tr>
        <w:trPr>
          <w:trHeight w:val="193"/>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5"/>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2,622</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65"/>
              <w:spacing w:after="0"/>
              <w:rPr>
                <w:sz w:val="20"/>
                <w:szCs w:val="20"/>
                <w:color w:val="auto"/>
              </w:rPr>
            </w:pPr>
            <w:r>
              <w:rPr>
                <w:rFonts w:ascii="Arial" w:cs="Arial" w:eastAsia="Arial" w:hAnsi="Arial"/>
                <w:sz w:val="18"/>
                <w:szCs w:val="18"/>
                <w:color w:val="auto"/>
              </w:rPr>
              <w:t>2,118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420 %</w:t>
            </w:r>
          </w:p>
        </w:tc>
      </w:tr>
    </w:tbl>
    <w:p>
      <w:pPr>
        <w:spacing w:after="0" w:line="25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7"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6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48" w:lineRule="exact"/>
        <w:rPr>
          <w:sz w:val="20"/>
          <w:szCs w:val="20"/>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expenditures or future requirements for capital expenditures or contractual commitments;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our working capital needs;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provision for income taxes, which may be a necessary element of our costs and ability to operate;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costs of replacing the assets being depreciated, which will often have to be replaced in the future;</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non-cash component of employee compensation expense;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of earnings or charges resulting from matters we consider not to be reflective, on a recurring basis, of our ongoing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331" w:lineRule="exact"/>
        <w:rPr>
          <w:sz w:val="20"/>
          <w:szCs w:val="20"/>
          <w:color w:val="auto"/>
        </w:rPr>
      </w:pPr>
    </w:p>
    <w:p>
      <w:pPr>
        <w:ind w:right="200" w:firstLine="318"/>
        <w:spacing w:after="0" w:line="264" w:lineRule="auto"/>
        <w:rPr>
          <w:sz w:val="20"/>
          <w:szCs w:val="20"/>
          <w:color w:val="auto"/>
        </w:rPr>
      </w:pPr>
      <w:r>
        <w:rPr>
          <w:rFonts w:ascii="Arial" w:cs="Arial" w:eastAsia="Arial" w:hAnsi="Arial"/>
          <w:sz w:val="18"/>
          <w:szCs w:val="18"/>
          <w:color w:val="222222"/>
        </w:rPr>
        <w:t>The following is a reconciliation of revenue to our Adjusted Gross Profit and Adjusted Gross Margin for the years ended December 31, 202</w:t>
      </w:r>
      <w:r>
        <w:rPr>
          <w:rFonts w:ascii="Arial" w:cs="Arial" w:eastAsia="Arial" w:hAnsi="Arial"/>
          <w:sz w:val="18"/>
          <w:szCs w:val="18"/>
          <w:color w:val="000000"/>
        </w:rPr>
        <w:t>1</w:t>
      </w:r>
      <w:r>
        <w:rPr>
          <w:rFonts w:ascii="Arial" w:cs="Arial" w:eastAsia="Arial" w:hAnsi="Arial"/>
          <w:sz w:val="18"/>
          <w:szCs w:val="18"/>
          <w:color w:val="222222"/>
        </w:rPr>
        <w:t>, 20</w:t>
      </w:r>
      <w:r>
        <w:rPr>
          <w:rFonts w:ascii="Arial" w:cs="Arial" w:eastAsia="Arial" w:hAnsi="Arial"/>
          <w:sz w:val="18"/>
          <w:szCs w:val="18"/>
          <w:color w:val="000000"/>
        </w:rPr>
        <w:t>20</w:t>
      </w:r>
      <w:r>
        <w:rPr>
          <w:rFonts w:ascii="Arial" w:cs="Arial" w:eastAsia="Arial" w:hAnsi="Arial"/>
          <w:sz w:val="18"/>
          <w:szCs w:val="18"/>
          <w:color w:val="222222"/>
        </w:rPr>
        <w:t xml:space="preserve"> and 201</w:t>
      </w:r>
      <w:r>
        <w:rPr>
          <w:rFonts w:ascii="Arial" w:cs="Arial" w:eastAsia="Arial" w:hAnsi="Arial"/>
          <w:sz w:val="18"/>
          <w:szCs w:val="18"/>
          <w:color w:val="000000"/>
        </w:rPr>
        <w:t>9 (in thousands)</w:t>
      </w:r>
      <w:r>
        <w:rPr>
          <w:rFonts w:ascii="Arial" w:cs="Arial" w:eastAsia="Arial" w:hAnsi="Arial"/>
          <w:sz w:val="18"/>
          <w:szCs w:val="18"/>
          <w:color w:val="222222"/>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1"/>
              </w:rPr>
              <w:t>Year Ended December 31,</w:t>
            </w: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vMerge w:val="restart"/>
          </w:tcPr>
          <w:p>
            <w:pPr>
              <w:jc w:val="right"/>
              <w:ind w:right="692"/>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Pr>
          <w:p>
            <w:pPr>
              <w:jc w:val="right"/>
              <w:ind w:right="732"/>
              <w:spacing w:after="0" w:line="16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tcPr>
          <w:p>
            <w:pPr>
              <w:jc w:val="right"/>
              <w:ind w:right="732"/>
              <w:spacing w:after="0" w:line="166" w:lineRule="exact"/>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(Restated)</w:t>
            </w:r>
          </w:p>
        </w:tc>
        <w:tc>
          <w:tcPr>
            <w:tcW w:w="360" w:type="dxa"/>
            <w:vAlign w:val="bottom"/>
          </w:tcPr>
          <w:p>
            <w:pPr>
              <w:spacing w:after="0"/>
              <w:rPr>
                <w:sz w:val="11"/>
                <w:szCs w:val="11"/>
                <w:color w:val="auto"/>
              </w:rPr>
            </w:pPr>
          </w:p>
        </w:tc>
        <w:tc>
          <w:tcPr>
            <w:tcW w:w="1600" w:type="dxa"/>
            <w:vAlign w:val="bottom"/>
            <w:vMerge w:val="restart"/>
          </w:tcPr>
          <w:p>
            <w:pPr>
              <w:jc w:val="right"/>
              <w:ind w:right="512"/>
              <w:spacing w:after="0"/>
              <w:rPr>
                <w:sz w:val="20"/>
                <w:szCs w:val="20"/>
                <w:color w:val="auto"/>
              </w:rPr>
            </w:pPr>
            <w:r>
              <w:rPr>
                <w:rFonts w:ascii="Arial" w:cs="Arial" w:eastAsia="Arial" w:hAnsi="Arial"/>
                <w:sz w:val="18"/>
                <w:szCs w:val="18"/>
                <w:b w:val="1"/>
                <w:bCs w:val="1"/>
                <w:color w:val="auto"/>
              </w:rPr>
              <w:t>(Restated)</w:t>
            </w:r>
          </w:p>
        </w:tc>
        <w:tc>
          <w:tcPr>
            <w:tcW w:w="0" w:type="dxa"/>
            <w:vAlign w:val="bottom"/>
          </w:tcPr>
          <w:p>
            <w:pPr>
              <w:spacing w:after="0"/>
              <w:rPr>
                <w:sz w:val="1"/>
                <w:szCs w:val="1"/>
                <w:color w:val="auto"/>
              </w:rPr>
            </w:pPr>
          </w:p>
        </w:tc>
      </w:tr>
      <w:tr>
        <w:trPr>
          <w:trHeight w:val="94"/>
        </w:trPr>
        <w:tc>
          <w:tcPr>
            <w:tcW w:w="52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gridSpan w:val="2"/>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212,195</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services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175,296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(Loss) Profit</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18"/>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22,567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6"/>
        </w:trPr>
        <w:tc>
          <w:tcPr>
            <w:tcW w:w="520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Labor costs due to laboratory move </w:t>
            </w:r>
            <w:r>
              <w:rPr>
                <w:rFonts w:ascii="Arial" w:cs="Arial" w:eastAsia="Arial" w:hAnsi="Arial"/>
                <w:sz w:val="22"/>
                <w:szCs w:val="22"/>
                <w:color w:val="auto"/>
                <w:vertAlign w:val="superscript"/>
              </w:rPr>
              <w:t>(1)</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16,391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(2)</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36,538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83,495</w:t>
            </w:r>
          </w:p>
        </w:tc>
        <w:tc>
          <w:tcPr>
            <w:tcW w:w="0" w:type="dxa"/>
            <w:vAlign w:val="bottom"/>
          </w:tcPr>
          <w:p>
            <w:pPr>
              <w:spacing w:after="0"/>
              <w:rPr>
                <w:sz w:val="1"/>
                <w:szCs w:val="1"/>
                <w:color w:val="auto"/>
              </w:rPr>
            </w:pP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Adjusted Gross Margin</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7" w:right="339"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right="120" w:hanging="314"/>
        <w:spacing w:after="0" w:line="241" w:lineRule="auto"/>
        <w:tabs>
          <w:tab w:leader="none" w:pos="3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Arial" w:cs="Arial" w:eastAsia="Arial" w:hAnsi="Arial"/>
          <w:sz w:val="14"/>
          <w:szCs w:val="14"/>
          <w:color w:val="auto"/>
        </w:rPr>
      </w:pPr>
    </w:p>
    <w:p>
      <w:pPr>
        <w:ind w:left="320" w:right="240" w:hanging="314"/>
        <w:spacing w:after="0" w:line="242" w:lineRule="auto"/>
        <w:tabs>
          <w:tab w:leader="none" w:pos="312"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222222"/>
        </w:rPr>
        <w:t>The following is a reconciliation of our net loss to Adjusted EBITDA for the years ended December 31, 202</w:t>
      </w:r>
      <w:r>
        <w:rPr>
          <w:rFonts w:ascii="Arial" w:cs="Arial" w:eastAsia="Arial" w:hAnsi="Arial"/>
          <w:sz w:val="17"/>
          <w:szCs w:val="17"/>
          <w:color w:val="000000"/>
        </w:rPr>
        <w:t>1</w:t>
      </w:r>
      <w:r>
        <w:rPr>
          <w:rFonts w:ascii="Arial" w:cs="Arial" w:eastAsia="Arial" w:hAnsi="Arial"/>
          <w:sz w:val="17"/>
          <w:szCs w:val="17"/>
          <w:color w:val="222222"/>
        </w:rPr>
        <w:t>, 20</w:t>
      </w:r>
      <w:r>
        <w:rPr>
          <w:rFonts w:ascii="Arial" w:cs="Arial" w:eastAsia="Arial" w:hAnsi="Arial"/>
          <w:sz w:val="17"/>
          <w:szCs w:val="17"/>
          <w:color w:val="000000"/>
        </w:rPr>
        <w:t>20</w:t>
      </w:r>
      <w:r>
        <w:rPr>
          <w:rFonts w:ascii="Arial" w:cs="Arial" w:eastAsia="Arial" w:hAnsi="Arial"/>
          <w:sz w:val="17"/>
          <w:szCs w:val="17"/>
          <w:color w:val="222222"/>
        </w:rPr>
        <w:t>, and 201</w:t>
      </w:r>
      <w:r>
        <w:rPr>
          <w:rFonts w:ascii="Arial" w:cs="Arial" w:eastAsia="Arial" w:hAnsi="Arial"/>
          <w:sz w:val="17"/>
          <w:szCs w:val="17"/>
          <w:color w:val="000000"/>
        </w:rPr>
        <w:t>9 (in thousands)</w:t>
      </w:r>
      <w:r>
        <w:rPr>
          <w:rFonts w:ascii="Arial" w:cs="Arial" w:eastAsia="Arial" w:hAnsi="Arial"/>
          <w:sz w:val="17"/>
          <w:szCs w:val="17"/>
          <w:color w:val="222222"/>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(245,390)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(29,704)</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Interest expense (income), net </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219,421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26"/>
        </w:trPr>
        <w:tc>
          <w:tcPr>
            <w:tcW w:w="63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Transaction costs </w:t>
            </w:r>
            <w:r>
              <w:rPr>
                <w:rFonts w:ascii="Arial" w:cs="Arial" w:eastAsia="Arial" w:hAnsi="Arial"/>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2"/>
                <w:szCs w:val="22"/>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COVID-19 costs </w:t>
            </w:r>
            <w:r>
              <w:rPr>
                <w:rFonts w:ascii="Arial" w:cs="Arial" w:eastAsia="Arial" w:hAnsi="Arial"/>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 xml:space="preserve">Change in fair market value of warrant and earn-out contingent liabilities </w:t>
            </w:r>
            <w:r>
              <w:rPr>
                <w:rFonts w:ascii="Arial" w:cs="Arial" w:eastAsia="Arial" w:hAnsi="Arial"/>
                <w:sz w:val="22"/>
                <w:szCs w:val="22"/>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(199,602)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total of interest expense related to our capital leases and interest-bearing loans and interest income on money market funds.</w:t>
      </w:r>
    </w:p>
    <w:p>
      <w:pPr>
        <w:ind w:left="320" w:hanging="314"/>
        <w:spacing w:after="0" w:line="237"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professional service costs incurred in connection with pursuing the business combination transaction that did not meet the requirement for capitalization.</w:t>
      </w:r>
    </w:p>
    <w:p>
      <w:pPr>
        <w:ind w:left="320" w:hanging="314"/>
        <w:spacing w:after="0" w:line="237" w:lineRule="auto"/>
        <w:tabs>
          <w:tab w:leader="none" w:pos="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fiscal year 2020 and 2021, primarily consists of funding received under the CARES Act Provider Relief Fund.</w:t>
      </w:r>
    </w:p>
    <w:p>
      <w:pPr>
        <w:ind w:left="320" w:right="240" w:hanging="314"/>
        <w:spacing w:after="0" w:line="237" w:lineRule="auto"/>
        <w:tabs>
          <w:tab w:leader="none" w:pos="3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ind w:left="320" w:right="400" w:hanging="314"/>
        <w:spacing w:after="0" w:line="247" w:lineRule="auto"/>
        <w:tabs>
          <w:tab w:leader="none" w:pos="312"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year ended December 31, 2021, represents the change in fair market value of the liabilities associated with our public warrants, private placement warrants and the earn-out shares issuable under the terms of the merger agreement for our business combination.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July 22, 2021, we completed the business combination with CMLS, consummated the Prior PIPE Investment and received net cash proceeds of $510 million. Management determined that the cash proceeds received from the business combination provides us with sufficient liquidity to meet our obligations for at least twelve months from the date of this Annual Report.</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127" w:right="339" w:bottom="1440" w:gutter="0" w:footer="0" w:header="0"/>
        </w:sectPr>
      </w:pPr>
    </w:p>
    <w:bookmarkStart w:id="101" w:name="page102"/>
    <w:bookmarkEnd w:id="10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Agreement will bear interest at a floating rate per annum equal to the greater of (1) 4.00% and (2) the prime rate plus an applicable margin</w:t>
      </w:r>
    </w:p>
    <w:p>
      <w:pPr>
        <w:spacing w:after="0" w:line="164"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Accordingly, the consolidated financial statements included in this Annual Report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w:t>
      </w:r>
    </w:p>
    <w:p>
      <w:pPr>
        <w:spacing w:after="0" w:line="1"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facilities or another form of third-party funding or by seeking other debt financing. In particular, if the Acquisition is consummated, we expect to issue 50 million shares of our Class A common stock for an aggregate purchase price equal to $200 million pursuant to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 for Known Contractual Obligations and Commitments</w:t>
      </w:r>
    </w:p>
    <w:p>
      <w:pPr>
        <w:spacing w:after="0" w:line="18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included within this Annual Report.</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Our future contractual purchase commitments were $23.1 million as of December 31, 2021. The timing of these future payments, by year, can be found in our consolidated financial statements in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included within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7" w:lineRule="exact"/>
        <w:rPr>
          <w:sz w:val="20"/>
          <w:szCs w:val="20"/>
          <w:color w:val="auto"/>
        </w:rPr>
      </w:pPr>
    </w:p>
    <w:p>
      <w:pPr>
        <w:jc w:val="center"/>
        <w:ind w:left="6200"/>
        <w:spacing w:after="0"/>
        <w:rPr>
          <w:sz w:val="20"/>
          <w:szCs w:val="20"/>
          <w:color w:val="auto"/>
        </w:rPr>
      </w:pPr>
      <w:r>
        <w:rPr>
          <w:rFonts w:ascii="Arial" w:cs="Arial" w:eastAsia="Arial" w:hAnsi="Arial"/>
          <w:sz w:val="14"/>
          <w:szCs w:val="14"/>
          <w:b w:val="1"/>
          <w:bCs w:val="1"/>
          <w:color w:val="auto"/>
        </w:rPr>
        <w:t>Year Ended</w:t>
      </w:r>
    </w:p>
    <w:p>
      <w:pPr>
        <w:jc w:val="center"/>
        <w:ind w:left="620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63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r>
      <w:tr>
        <w:trPr>
          <w:trHeight w:val="179"/>
        </w:trPr>
        <w:tc>
          <w:tcPr>
            <w:tcW w:w="6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8"/>
              </w:rPr>
              <w:t>(93,128)</w:t>
            </w:r>
          </w:p>
        </w:tc>
        <w:tc>
          <w:tcPr>
            <w:tcW w:w="3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(18,728)</w:t>
            </w:r>
          </w:p>
        </w:tc>
        <w:tc>
          <w:tcPr>
            <w:tcW w:w="100" w:type="dxa"/>
            <w:vAlign w:val="bottom"/>
            <w:shd w:val="clear" w:color="auto" w:fill="CCEEFF"/>
          </w:tcPr>
          <w:p>
            <w:pPr>
              <w:spacing w:after="0"/>
              <w:rPr>
                <w:sz w:val="19"/>
                <w:szCs w:val="19"/>
                <w:color w:val="auto"/>
              </w:rPr>
            </w:pPr>
          </w:p>
        </w:tc>
      </w:tr>
      <w:tr>
        <w:trPr>
          <w:trHeight w:val="225"/>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(20,786)</w:t>
            </w:r>
          </w:p>
        </w:tc>
        <w:tc>
          <w:tcPr>
            <w:tcW w:w="240" w:type="dxa"/>
            <w:vAlign w:val="bottom"/>
          </w:tcPr>
          <w:p>
            <w:pPr>
              <w:spacing w:after="0"/>
              <w:rPr>
                <w:sz w:val="19"/>
                <w:szCs w:val="19"/>
                <w:color w:val="auto"/>
              </w:rPr>
            </w:pPr>
          </w:p>
        </w:tc>
        <w:tc>
          <w:tcPr>
            <w:tcW w:w="1180" w:type="dxa"/>
            <w:vAlign w:val="bottom"/>
          </w:tcPr>
          <w:p>
            <w:pPr>
              <w:ind w:left="500"/>
              <w:spacing w:after="0"/>
              <w:rPr>
                <w:sz w:val="20"/>
                <w:szCs w:val="20"/>
                <w:color w:val="auto"/>
              </w:rPr>
            </w:pPr>
            <w:r>
              <w:rPr>
                <w:rFonts w:ascii="Arial" w:cs="Arial" w:eastAsia="Arial" w:hAnsi="Arial"/>
                <w:sz w:val="18"/>
                <w:szCs w:val="18"/>
                <w:color w:val="auto"/>
                <w:w w:val="98"/>
              </w:rPr>
              <w:t>(31,974)</w:t>
            </w:r>
          </w:p>
        </w:tc>
        <w:tc>
          <w:tcPr>
            <w:tcW w:w="360" w:type="dxa"/>
            <w:vAlign w:val="bottom"/>
          </w:tcPr>
          <w:p>
            <w:pPr>
              <w:spacing w:after="0"/>
              <w:rPr>
                <w:sz w:val="19"/>
                <w:szCs w:val="19"/>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92"/>
              </w:rPr>
              <w:t>(15,456)</w:t>
            </w:r>
          </w:p>
        </w:tc>
        <w:tc>
          <w:tcPr>
            <w:tcW w:w="100" w:type="dxa"/>
            <w:vAlign w:val="bottom"/>
          </w:tcPr>
          <w:p>
            <w:pPr>
              <w:spacing w:after="0"/>
              <w:rPr>
                <w:sz w:val="19"/>
                <w:szCs w:val="19"/>
                <w:color w:val="auto"/>
              </w:rPr>
            </w:pPr>
          </w:p>
        </w:tc>
      </w:tr>
      <w:tr>
        <w:trPr>
          <w:trHeight w:val="22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493,729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129,056</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148,012</w:t>
            </w:r>
          </w:p>
        </w:tc>
        <w:tc>
          <w:tcPr>
            <w:tcW w:w="100" w:type="dxa"/>
            <w:vAlign w:val="bottom"/>
            <w:shd w:val="clear" w:color="auto" w:fill="CCEEFF"/>
          </w:tcPr>
          <w:p>
            <w:pPr>
              <w:spacing w:after="0"/>
              <w:rPr>
                <w:sz w:val="19"/>
                <w:szCs w:val="19"/>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3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8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Net cash used in operating activities during the year ended December 31, 2019 was $18.7 million, which was primarily attributable to a net loss of $29.7 million and a net change in our operating assets and liabilities of $0.7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2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2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See Note 2, “Summary of Significant Accounting Policies” to our consolidated financial statements for further discussion on our accounting policies. We have identified below our accounting policies that we believe could potentially generate materially different results if we were to change underlying assumptions, estimates and/or judgments. Although actual results may differ from those estimates, we believe the estimates are reasonable and appropriate.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22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1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Internal-Use Software Costs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51"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0"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Information on recent accounting pronouncements can be found in Sema4’s audited consolidated financial statements in Note 2, “Summary of Significant Accounting Policies”.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Our cash, cash equivalents, and restricted cash consists of bank deposits and money market funds, which totaled $401.5 million and $118.9 million at December 31, 2021 and 2020, respectively. Such interest-bearing instruments carry a degree of risk; however, because our investments are primarily high-quality credit instruments with short-term durations with high-quality institutions, we have not been exposed to, nor do we anticipate being exposed to, material risks due to changes in interest rates. A 100 basis point change in interest rates would not have a material effect on the fair market value of our cash, cash equivalents and restricted cash.</w:t>
      </w:r>
    </w:p>
    <w:p>
      <w:pPr>
        <w:spacing w:after="0" w:line="15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Our loans and financing obligations are recorded at amortized cost and are set at fixed interest rates. As a result, fluctuations in interest rates would not impact our financial statements. However, the fair value of our debt will generally fluctuate with movements of interest rates. Additional information on our long-term debt can be found in Sema4’s consolidated financial statements in Note 8, </w:t>
      </w:r>
      <w:r>
        <w:rPr>
          <w:rFonts w:ascii="Arial" w:cs="Arial" w:eastAsia="Arial" w:hAnsi="Arial"/>
          <w:sz w:val="18"/>
          <w:szCs w:val="18"/>
          <w:i w:val="1"/>
          <w:iCs w:val="1"/>
          <w:color w:val="auto"/>
        </w:rPr>
        <w:t>“Long-Term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27" w:right="339" w:bottom="1440" w:gutter="0" w:footer="0" w:header="0"/>
        </w:sectPr>
      </w:pPr>
    </w:p>
    <w:bookmarkStart w:id="108" w:name="page109"/>
    <w:bookmarkEnd w:id="10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39"/>
          </w:cols>
          <w:pgMar w:left="320" w:top="127" w:right="1440" w:bottom="1440" w:gutter="0" w:footer="0" w:header="0"/>
        </w:sectPr>
      </w:pPr>
    </w:p>
    <w:bookmarkStart w:id="109" w:name="page110"/>
    <w:bookmarkEnd w:id="10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400" w:firstLine="3407"/>
        <w:spacing w:after="0" w:line="432"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Sema4 Holdings Corp.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of 2020 and 2019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2 to the consolidated financial statements, the 2020 and 2019 financial statements have been restated to correct a misstatement.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Auditor Firm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Auditor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Ernst &amp; Young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Auditor Location: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 United States</w:t>
      </w:r>
    </w:p>
    <w:p>
      <w:pPr>
        <w:spacing w:after="0" w:line="307" w:lineRule="exact"/>
        <w:rPr>
          <w:sz w:val="20"/>
          <w:szCs w:val="20"/>
          <w:color w:val="auto"/>
        </w:rPr>
      </w:pPr>
    </w:p>
    <w:p>
      <w:pPr>
        <w:sectPr>
          <w:pgSz w:w="11900" w:h="16838" w:orient="portrait"/>
          <w:cols w:equalWidth="0" w:num="7">
            <w:col w:w="1600" w:space="420"/>
            <w:col w:w="140" w:space="160"/>
            <w:col w:w="220" w:space="460"/>
            <w:col w:w="940" w:space="720"/>
            <w:col w:w="1140" w:space="580"/>
            <w:col w:w="1080" w:space="720"/>
            <w:col w:w="3060"/>
          </w:cols>
          <w:pgMar w:left="320" w:top="1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40"/>
          </w:cols>
          <w:pgMar w:left="320" w:top="127" w:right="339" w:bottom="1440" w:gutter="0" w:footer="0" w:header="0"/>
          <w:type w:val="continuous"/>
        </w:sectPr>
      </w:pPr>
    </w:p>
    <w:bookmarkStart w:id="110" w:name="page111"/>
    <w:bookmarkEnd w:id="1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2"/>
                <w:szCs w:val="12"/>
                <w:b w:val="1"/>
                <w:bCs w:val="1"/>
                <w:color w:val="auto"/>
              </w:rPr>
              <w:t>December 31,</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7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980" w:type="dxa"/>
            <w:vAlign w:val="bottom"/>
            <w:shd w:val="clear" w:color="auto" w:fill="CCEEFF"/>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400,569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108,132</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26,509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32,044</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Due from related parties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Inventory,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33,456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24,962</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Prepaid expenses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19,154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4,557</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current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4,124</w:t>
            </w:r>
          </w:p>
        </w:tc>
        <w:tc>
          <w:tcPr>
            <w:tcW w:w="0" w:type="dxa"/>
            <w:vAlign w:val="bottom"/>
          </w:tcPr>
          <w:p>
            <w:pPr>
              <w:spacing w:after="0"/>
              <w:rPr>
                <w:sz w:val="1"/>
                <w:szCs w:val="1"/>
                <w:color w:val="auto"/>
              </w:rPr>
            </w:pPr>
          </w:p>
        </w:tc>
      </w:tr>
      <w:tr>
        <w:trPr>
          <w:trHeight w:val="182"/>
        </w:trPr>
        <w:tc>
          <w:tcPr>
            <w:tcW w:w="80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483,544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174,108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62,719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63,110</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6,930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3,596</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98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554,093</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2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980" w:type="dxa"/>
            <w:vAlign w:val="bottom"/>
          </w:tcPr>
          <w:p>
            <w:pPr>
              <w:jc w:val="right"/>
              <w:ind w:right="812"/>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44,693</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26,737</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20,108</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11,854</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Due to related parties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2,623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capital lease obligations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3,506</w:t>
            </w:r>
          </w:p>
        </w:tc>
        <w:tc>
          <w:tcPr>
            <w:tcW w:w="0" w:type="dxa"/>
            <w:vAlign w:val="bottom"/>
          </w:tcPr>
          <w:p>
            <w:pPr>
              <w:spacing w:after="0"/>
              <w:rPr>
                <w:sz w:val="1"/>
                <w:szCs w:val="1"/>
                <w:color w:val="auto"/>
              </w:rPr>
            </w:pPr>
          </w:p>
        </w:tc>
      </w:tr>
      <w:tr>
        <w:trPr>
          <w:trHeight w:val="183"/>
        </w:trPr>
        <w:tc>
          <w:tcPr>
            <w:tcW w:w="8020" w:type="dxa"/>
            <w:vAlign w:val="bottom"/>
          </w:tcPr>
          <w:p>
            <w:pPr>
              <w:ind w:left="100"/>
              <w:spacing w:after="0"/>
              <w:rPr>
                <w:sz w:val="20"/>
                <w:szCs w:val="20"/>
                <w:color w:val="auto"/>
              </w:rPr>
            </w:pPr>
            <w:r>
              <w:rPr>
                <w:rFonts w:ascii="Arial" w:cs="Arial" w:eastAsia="Arial" w:hAnsi="Arial"/>
                <w:sz w:val="14"/>
                <w:szCs w:val="14"/>
                <w:color w:val="auto"/>
              </w:rPr>
              <w:t>Contract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9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29,968</w:t>
            </w: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28,137</w:t>
            </w: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Total current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101,284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73,442</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18,971</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98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131,989</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 net of current portion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20,778</w:t>
            </w:r>
          </w:p>
        </w:tc>
        <w:tc>
          <w:tcPr>
            <w:tcW w:w="0" w:type="dxa"/>
            <w:vAlign w:val="bottom"/>
          </w:tcPr>
          <w:p>
            <w:pPr>
              <w:spacing w:after="0"/>
              <w:rPr>
                <w:sz w:val="1"/>
                <w:szCs w:val="1"/>
                <w:color w:val="auto"/>
              </w:rPr>
            </w:pPr>
          </w:p>
        </w:tc>
      </w:tr>
      <w:tr>
        <w:trPr>
          <w:trHeight w:val="183"/>
        </w:trPr>
        <w:tc>
          <w:tcPr>
            <w:tcW w:w="802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3,480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21,555</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Earn-out contingent liability</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10,244</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0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liabilities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165,990</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2"/>
              </w:rPr>
              <w:t>Series A-1 redeemable convertible preferred stock, $0.00001 par value: 0 and 55,399,943 shares authorized, issued and outstanding at</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420"/>
              <w:spacing w:after="0" w:line="133" w:lineRule="exact"/>
              <w:rPr>
                <w:sz w:val="20"/>
                <w:szCs w:val="20"/>
                <w:color w:val="auto"/>
              </w:rPr>
            </w:pPr>
            <w:r>
              <w:rPr>
                <w:rFonts w:ascii="Arial" w:cs="Arial" w:eastAsia="Arial" w:hAnsi="Arial"/>
                <w:sz w:val="14"/>
                <w:szCs w:val="14"/>
                <w:color w:val="auto"/>
                <w:w w:val="91"/>
              </w:rPr>
              <w:t>December 31, 2021 and December 31, 2020, respectively; aggregate liquidation preference of $0 and $55,000 at December 31, 2021</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51,811</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2"/>
              </w:rPr>
              <w:t>Series A-2 redeemable convertible preferred stock, $0.00001 par value: 0 and 64,718,940 shares authorized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rPr>
              <w:t>December 31, 2020, respectively; 0 and 49,700,364 shares authorized, issued and outstanding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1"/>
              </w:rPr>
              <w:t>December 31, 2020, respectively; aggregate liquidation preference of $0 and $49,342 at December 31, 2021 and December 31, 2020,</w:t>
            </w:r>
          </w:p>
        </w:tc>
        <w:tc>
          <w:tcPr>
            <w:tcW w:w="9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46,480</w:t>
            </w: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respectively</w:t>
            </w:r>
          </w:p>
        </w:tc>
        <w:tc>
          <w:tcPr>
            <w:tcW w:w="9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260"/>
              <w:spacing w:after="0" w:line="133" w:lineRule="exact"/>
              <w:rPr>
                <w:sz w:val="20"/>
                <w:szCs w:val="20"/>
                <w:color w:val="auto"/>
              </w:rPr>
            </w:pPr>
            <w:r>
              <w:rPr>
                <w:rFonts w:ascii="Arial" w:cs="Arial" w:eastAsia="Arial" w:hAnsi="Arial"/>
                <w:sz w:val="14"/>
                <w:szCs w:val="14"/>
                <w:color w:val="auto"/>
                <w:w w:val="93"/>
              </w:rPr>
              <w:t>Series B redeemable convertible preferred stock, $0.00001 par value: 0 and 41,937,960 shares authorized, issued and outstanding at</w:t>
            </w: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420"/>
              <w:spacing w:after="0" w:line="133" w:lineRule="exact"/>
              <w:rPr>
                <w:sz w:val="20"/>
                <w:szCs w:val="20"/>
                <w:color w:val="auto"/>
              </w:rPr>
            </w:pPr>
            <w:r>
              <w:rPr>
                <w:rFonts w:ascii="Arial" w:cs="Arial" w:eastAsia="Arial" w:hAnsi="Arial"/>
                <w:sz w:val="14"/>
                <w:szCs w:val="14"/>
                <w:color w:val="auto"/>
                <w:w w:val="94"/>
              </w:rPr>
              <w:t>December 31, 2021 and December 31, 2020, respectively; aggregate liquidation preference of $0 and $204,302 at December 31,</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83"/>
        </w:trPr>
        <w:tc>
          <w:tcPr>
            <w:tcW w:w="8020" w:type="dxa"/>
            <w:vAlign w:val="bottom"/>
          </w:tcPr>
          <w:p>
            <w:pPr>
              <w:ind w:left="420"/>
              <w:spacing w:after="0"/>
              <w:rPr>
                <w:sz w:val="20"/>
                <w:szCs w:val="20"/>
                <w:color w:val="auto"/>
              </w:rPr>
            </w:pPr>
            <w:r>
              <w:rPr>
                <w:rFonts w:ascii="Arial" w:cs="Arial" w:eastAsia="Arial" w:hAnsi="Arial"/>
                <w:sz w:val="14"/>
                <w:szCs w:val="14"/>
                <w:color w:val="auto"/>
              </w:rPr>
              <w:t>2021and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w w:val="93"/>
              </w:rPr>
              <w:t>Series C redeemable convertible preferred stock, $0.00001 par value: 0 and 24,497,317 shares authorized at December 31, 2021 and</w:t>
            </w:r>
          </w:p>
        </w:tc>
        <w:tc>
          <w:tcPr>
            <w:tcW w:w="9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020" w:type="dxa"/>
            <w:vAlign w:val="bottom"/>
            <w:shd w:val="clear" w:color="auto" w:fill="CCEEFF"/>
          </w:tcPr>
          <w:p>
            <w:pPr>
              <w:ind w:left="420"/>
              <w:spacing w:after="0" w:line="133" w:lineRule="exact"/>
              <w:rPr>
                <w:sz w:val="20"/>
                <w:szCs w:val="20"/>
                <w:color w:val="auto"/>
              </w:rPr>
            </w:pPr>
            <w:r>
              <w:rPr>
                <w:rFonts w:ascii="Arial" w:cs="Arial" w:eastAsia="Arial" w:hAnsi="Arial"/>
                <w:sz w:val="14"/>
                <w:szCs w:val="14"/>
                <w:color w:val="auto"/>
                <w:w w:val="92"/>
              </w:rPr>
              <w:t>December 31, 2020, respectively; 0 and 24,496,946 shares issued and outstanding at December 31, 2021 and December 31, 2020,</w:t>
            </w:r>
          </w:p>
        </w:tc>
        <w:tc>
          <w:tcPr>
            <w:tcW w:w="9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117,324</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6"/>
              </w:rPr>
              <w:t>respectively; aggregate liquidation preference of $0 and $121,397 at December 31, 2021 and December 31, 2020, respectively</w:t>
            </w:r>
          </w:p>
        </w:tc>
        <w:tc>
          <w:tcPr>
            <w:tcW w:w="9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rPr>
                <w:sz w:val="20"/>
                <w:szCs w:val="20"/>
                <w:color w:val="auto"/>
              </w:rPr>
            </w:pPr>
            <w:r>
              <w:rPr>
                <w:rFonts w:ascii="Arial" w:cs="Arial" w:eastAsia="Arial" w:hAnsi="Arial"/>
                <w:sz w:val="14"/>
                <w:szCs w:val="14"/>
                <w:color w:val="auto"/>
              </w:rPr>
              <w:t>Redeemable convertible preferred stock</w:t>
            </w:r>
          </w:p>
        </w:tc>
        <w:tc>
          <w:tcPr>
            <w:tcW w:w="9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334,439</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80"/>
              <w:spacing w:after="0" w:line="133" w:lineRule="exact"/>
              <w:rPr>
                <w:sz w:val="20"/>
                <w:szCs w:val="20"/>
                <w:color w:val="auto"/>
              </w:rPr>
            </w:pPr>
            <w:r>
              <w:rPr>
                <w:rFonts w:ascii="Arial" w:cs="Arial" w:eastAsia="Arial" w:hAnsi="Arial"/>
                <w:sz w:val="14"/>
                <w:szCs w:val="14"/>
                <w:color w:val="auto"/>
                <w:w w:val="93"/>
              </w:rPr>
              <w:t>Preferred Stock, $0.0001 par value: 1,000,000 and 0 shares authorized at December 31, 2021 and December 31, 2020, respectively; 0</w:t>
            </w:r>
          </w:p>
        </w:tc>
        <w:tc>
          <w:tcPr>
            <w:tcW w:w="9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20" w:type="dxa"/>
            <w:vAlign w:val="bottom"/>
          </w:tcPr>
          <w:p>
            <w:pPr>
              <w:ind w:left="340"/>
              <w:spacing w:after="0"/>
              <w:rPr>
                <w:sz w:val="20"/>
                <w:szCs w:val="20"/>
                <w:color w:val="auto"/>
              </w:rPr>
            </w:pPr>
            <w:r>
              <w:rPr>
                <w:rFonts w:ascii="Arial" w:cs="Arial" w:eastAsia="Arial" w:hAnsi="Arial"/>
                <w:sz w:val="14"/>
                <w:szCs w:val="14"/>
                <w:color w:val="auto"/>
              </w:rPr>
              <w:t>shares issued and outstanding at December 31, 2021 and December 31, 2020, respectively</w:t>
            </w:r>
          </w:p>
        </w:tc>
        <w:tc>
          <w:tcPr>
            <w:tcW w:w="9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27" w:right="339" w:bottom="1440" w:gutter="0" w:footer="0" w:header="0"/>
        </w:sectPr>
      </w:pPr>
    </w:p>
    <w:bookmarkStart w:id="111" w:name="page112"/>
    <w:bookmarkEnd w:id="1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Class A common stock, $0.0001 par value: 380,000,000 shares authorized, 242,647,604 shares issued and outstanding at December 31,</w:t>
            </w: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2021 and $0.00001 par value: 309,584,750 shares authorized, 124 shares issued and outstanding at December 31, 2020</w:t>
            </w:r>
          </w:p>
        </w:tc>
        <w:tc>
          <w:tcPr>
            <w:tcW w:w="5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tcPr>
          <w:p>
            <w:pPr>
              <w:ind w:left="180"/>
              <w:spacing w:after="0" w:line="133" w:lineRule="exact"/>
              <w:rPr>
                <w:sz w:val="20"/>
                <w:szCs w:val="20"/>
                <w:color w:val="auto"/>
              </w:rPr>
            </w:pPr>
            <w:r>
              <w:rPr>
                <w:rFonts w:ascii="Arial" w:cs="Arial" w:eastAsia="Arial" w:hAnsi="Arial"/>
                <w:sz w:val="14"/>
                <w:szCs w:val="14"/>
                <w:color w:val="auto"/>
                <w:w w:val="93"/>
              </w:rPr>
              <w:t>Class B convertible common stock, $0.00001 par value: 0 and 18,575,085 shares authorized at December 31, 2021 and December 31,</w:t>
            </w:r>
          </w:p>
        </w:tc>
        <w:tc>
          <w:tcPr>
            <w:tcW w:w="54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Pr>
          <w:p>
            <w:pPr>
              <w:ind w:left="340"/>
              <w:spacing w:after="0"/>
              <w:rPr>
                <w:sz w:val="20"/>
                <w:szCs w:val="20"/>
                <w:color w:val="auto"/>
              </w:rPr>
            </w:pPr>
            <w:r>
              <w:rPr>
                <w:rFonts w:ascii="Arial" w:cs="Arial" w:eastAsia="Arial" w:hAnsi="Arial"/>
                <w:sz w:val="14"/>
                <w:szCs w:val="14"/>
                <w:color w:val="auto"/>
                <w:w w:val="97"/>
              </w:rPr>
              <w:t>2020, respectively; 0 and 130,557 shares issued and outstanding at December 31, 2021 and December 31, 2020, respectively</w:t>
            </w:r>
          </w:p>
        </w:tc>
        <w:tc>
          <w:tcPr>
            <w:tcW w:w="5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963,520</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(575,441)</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(330,051)</w:t>
            </w:r>
          </w:p>
        </w:tc>
        <w:tc>
          <w:tcPr>
            <w:tcW w:w="0" w:type="dxa"/>
            <w:vAlign w:val="bottom"/>
          </w:tcPr>
          <w:p>
            <w:pPr>
              <w:spacing w:after="0"/>
              <w:rPr>
                <w:sz w:val="1"/>
                <w:szCs w:val="1"/>
                <w:color w:val="auto"/>
              </w:rPr>
            </w:pPr>
          </w:p>
        </w:tc>
      </w:tr>
      <w:tr>
        <w:trPr>
          <w:trHeight w:val="179"/>
        </w:trPr>
        <w:tc>
          <w:tcPr>
            <w:tcW w:w="80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stockholders’ equity (deficit)</w:t>
            </w: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388,103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(330,051)</w:t>
            </w:r>
          </w:p>
        </w:tc>
        <w:tc>
          <w:tcPr>
            <w:tcW w:w="0" w:type="dxa"/>
            <w:vAlign w:val="bottom"/>
          </w:tcPr>
          <w:p>
            <w:pPr>
              <w:spacing w:after="0"/>
              <w:rPr>
                <w:sz w:val="1"/>
                <w:szCs w:val="1"/>
                <w:color w:val="auto"/>
              </w:rPr>
            </w:pPr>
          </w:p>
        </w:tc>
      </w:tr>
      <w:tr>
        <w:trPr>
          <w:trHeight w:val="182"/>
        </w:trPr>
        <w:tc>
          <w:tcPr>
            <w:tcW w:w="8020" w:type="dxa"/>
            <w:vAlign w:val="bottom"/>
          </w:tcPr>
          <w:p>
            <w:pPr>
              <w:ind w:left="260"/>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5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554,093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251,642</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7" w:right="339" w:bottom="1440" w:gutter="0" w:footer="0" w:header="0"/>
        </w:sectPr>
      </w:pPr>
    </w:p>
    <w:bookmarkStart w:id="112" w:name="page113"/>
    <w:bookmarkEnd w:id="1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12"/>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3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(Restated) (1)</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3"/>
              </w:rPr>
              <w:t>(Restated) (1)</w:t>
            </w:r>
          </w:p>
        </w:tc>
        <w:tc>
          <w:tcPr>
            <w:tcW w:w="0" w:type="dxa"/>
            <w:vAlign w:val="bottom"/>
          </w:tcPr>
          <w:p>
            <w:pPr>
              <w:spacing w:after="0"/>
              <w:rPr>
                <w:sz w:val="1"/>
                <w:szCs w:val="1"/>
                <w:color w:val="auto"/>
              </w:rPr>
            </w:pPr>
          </w:p>
        </w:tc>
      </w:tr>
      <w:tr>
        <w:trPr>
          <w:trHeight w:val="173"/>
        </w:trPr>
        <w:tc>
          <w:tcPr>
            <w:tcW w:w="6360" w:type="dxa"/>
            <w:vAlign w:val="bottom"/>
          </w:tcPr>
          <w:p>
            <w:pPr>
              <w:ind w:left="260"/>
              <w:spacing w:after="0" w:line="173" w:lineRule="exact"/>
              <w:rPr>
                <w:sz w:val="20"/>
                <w:szCs w:val="20"/>
                <w:color w:val="auto"/>
              </w:rPr>
            </w:pPr>
            <w:r>
              <w:rPr>
                <w:rFonts w:ascii="Arial" w:cs="Arial" w:eastAsia="Arial" w:hAnsi="Arial"/>
                <w:sz w:val="18"/>
                <w:szCs w:val="18"/>
                <w:color w:val="auto"/>
                <w:w w:val="91"/>
              </w:rPr>
              <w:t>Diagnostic test revenue (including related party revenue of $90, $285 and $0 for the</w:t>
            </w:r>
          </w:p>
        </w:tc>
        <w:tc>
          <w:tcPr>
            <w:tcW w:w="360" w:type="dxa"/>
            <w:vAlign w:val="bottom"/>
            <w:vMerge w:val="restart"/>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tcPr>
          <w:p>
            <w:pPr>
              <w:spacing w:after="0"/>
              <w:rPr>
                <w:sz w:val="15"/>
                <w:szCs w:val="15"/>
                <w:color w:val="auto"/>
              </w:rPr>
            </w:pPr>
          </w:p>
        </w:tc>
        <w:tc>
          <w:tcPr>
            <w:tcW w:w="20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191,667</w:t>
            </w:r>
          </w:p>
        </w:tc>
        <w:tc>
          <w:tcPr>
            <w:tcW w:w="0" w:type="dxa"/>
            <w:vAlign w:val="bottom"/>
          </w:tcPr>
          <w:p>
            <w:pPr>
              <w:spacing w:after="0"/>
              <w:rPr>
                <w:sz w:val="1"/>
                <w:szCs w:val="1"/>
                <w:color w:val="auto"/>
              </w:rPr>
            </w:pPr>
          </w:p>
        </w:tc>
      </w:tr>
      <w:tr>
        <w:trPr>
          <w:trHeight w:val="224"/>
        </w:trPr>
        <w:tc>
          <w:tcPr>
            <w:tcW w:w="6360" w:type="dxa"/>
            <w:vAlign w:val="bottom"/>
          </w:tcPr>
          <w:p>
            <w:pPr>
              <w:ind w:left="42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260"/>
              <w:spacing w:after="0" w:line="174" w:lineRule="exact"/>
              <w:rPr>
                <w:sz w:val="20"/>
                <w:szCs w:val="20"/>
                <w:color w:val="auto"/>
              </w:rPr>
            </w:pPr>
            <w:r>
              <w:rPr>
                <w:rFonts w:ascii="Arial" w:cs="Arial" w:eastAsia="Arial" w:hAnsi="Arial"/>
                <w:sz w:val="18"/>
                <w:szCs w:val="18"/>
                <w:color w:val="auto"/>
                <w:w w:val="91"/>
              </w:rPr>
              <w:t>Other revenue (including related party revenue of $232, $3 and $1,180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4,507</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196,174</w:t>
            </w:r>
          </w:p>
        </w:tc>
        <w:tc>
          <w:tcPr>
            <w:tcW w:w="0" w:type="dxa"/>
            <w:vAlign w:val="bottom"/>
          </w:tcPr>
          <w:p>
            <w:pPr>
              <w:spacing w:after="0"/>
              <w:rPr>
                <w:sz w:val="1"/>
                <w:szCs w:val="1"/>
                <w:color w:val="auto"/>
              </w:rPr>
            </w:pPr>
          </w:p>
        </w:tc>
      </w:tr>
      <w:tr>
        <w:trPr>
          <w:trHeight w:val="154"/>
        </w:trPr>
        <w:tc>
          <w:tcPr>
            <w:tcW w:w="636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Cost of services (including related party expenses of $3,975, $2,189 and $1,859 for the</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228,797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175,296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113,389</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years 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Gross (loss) profit</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39,352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29,484</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(446,149)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(30,413)</w:t>
            </w:r>
          </w:p>
        </w:tc>
        <w:tc>
          <w:tcPr>
            <w:tcW w:w="0" w:type="dxa"/>
            <w:vAlign w:val="bottom"/>
          </w:tcPr>
          <w:p>
            <w:pPr>
              <w:spacing w:after="0"/>
              <w:rPr>
                <w:sz w:val="1"/>
                <w:szCs w:val="1"/>
                <w:color w:val="auto"/>
              </w:rPr>
            </w:pPr>
          </w:p>
        </w:tc>
      </w:tr>
      <w:tr>
        <w:trPr>
          <w:trHeight w:val="205"/>
        </w:trPr>
        <w:tc>
          <w:tcPr>
            <w:tcW w:w="6360" w:type="dxa"/>
            <w:vAlign w:val="bottom"/>
          </w:tcPr>
          <w:p>
            <w:pPr>
              <w:ind w:left="20"/>
              <w:spacing w:after="0" w:line="204" w:lineRule="exact"/>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dividends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(245,390)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(32,743)</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Basic and diluted net loss per share, Class A common stock</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(264,056)</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00" w:firstLine="6"/>
        <w:spacing w:after="0" w:line="326" w:lineRule="auto"/>
        <w:tabs>
          <w:tab w:leader="none" w:pos="20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7" w:right="339" w:bottom="1440" w:gutter="0" w:footer="0" w:header="0"/>
        </w:sectPr>
      </w:pPr>
    </w:p>
    <w:bookmarkStart w:id="113" w:name="page114"/>
    <w:bookmarkEnd w:id="1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Redeemable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0"/>
              </w:rPr>
              <w:t>Redeemable Convertible</w:t>
            </w:r>
          </w:p>
        </w:tc>
        <w:tc>
          <w:tcPr>
            <w:tcW w:w="60" w:type="dxa"/>
            <w:vAlign w:val="bottom"/>
          </w:tcPr>
          <w:p>
            <w:pPr>
              <w:spacing w:after="0"/>
              <w:rPr>
                <w:sz w:val="14"/>
                <w:szCs w:val="14"/>
                <w:color w:val="auto"/>
              </w:rPr>
            </w:pPr>
          </w:p>
        </w:tc>
        <w:tc>
          <w:tcPr>
            <w:tcW w:w="20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A Common Stock</w:t>
            </w:r>
          </w:p>
        </w:tc>
        <w:tc>
          <w:tcPr>
            <w:tcW w:w="19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Class B 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5"/>
                <w:szCs w:val="15"/>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5"/>
                <w:szCs w:val="15"/>
                <w:color w:val="auto"/>
              </w:rPr>
            </w:pPr>
          </w:p>
        </w:tc>
        <w:tc>
          <w:tcPr>
            <w:tcW w:w="2000" w:type="dxa"/>
            <w:vAlign w:val="bottom"/>
            <w:gridSpan w:val="5"/>
            <w:vMerge w:val="continue"/>
          </w:tcPr>
          <w:p>
            <w:pPr>
              <w:spacing w:after="0"/>
              <w:rPr>
                <w:sz w:val="15"/>
                <w:szCs w:val="15"/>
                <w:color w:val="auto"/>
              </w:rPr>
            </w:pPr>
          </w:p>
        </w:tc>
        <w:tc>
          <w:tcPr>
            <w:tcW w:w="19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100" w:type="dxa"/>
            <w:vAlign w:val="bottom"/>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0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9"/>
                <w:szCs w:val="9"/>
                <w:color w:val="auto"/>
              </w:rPr>
            </w:pPr>
          </w:p>
        </w:tc>
        <w:tc>
          <w:tcPr>
            <w:tcW w:w="780" w:type="dxa"/>
            <w:vAlign w:val="bottom"/>
          </w:tcPr>
          <w:p>
            <w:pPr>
              <w:jc w:val="right"/>
              <w:ind w:right="233"/>
              <w:spacing w:after="0" w:line="114"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3"/>
        </w:trPr>
        <w:tc>
          <w:tcPr>
            <w:tcW w:w="2100" w:type="dxa"/>
            <w:vAlign w:val="bottom"/>
          </w:tcPr>
          <w:p>
            <w:pPr>
              <w:spacing w:after="0"/>
              <w:rPr>
                <w:sz w:val="11"/>
                <w:szCs w:val="11"/>
                <w:color w:val="auto"/>
              </w:rPr>
            </w:pPr>
          </w:p>
        </w:tc>
        <w:tc>
          <w:tcPr>
            <w:tcW w:w="10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94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85"/>
        </w:trPr>
        <w:tc>
          <w:tcPr>
            <w:tcW w:w="2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paid-in 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equity (deficit)</w:t>
            </w: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102,039,134</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(55,968)</w:t>
            </w: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2018</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(29,704)</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40"/>
              <w:spacing w:after="0" w:line="173" w:lineRule="exact"/>
              <w:rPr>
                <w:sz w:val="20"/>
                <w:szCs w:val="20"/>
                <w:color w:val="auto"/>
              </w:rPr>
            </w:pPr>
            <w:r>
              <w:rPr>
                <w:rFonts w:ascii="Arial" w:cs="Arial" w:eastAsia="Arial" w:hAnsi="Arial"/>
                <w:sz w:val="18"/>
                <w:szCs w:val="18"/>
                <w:color w:val="auto"/>
              </w:rPr>
              <w:t>Preferred Series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3,061,173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dividend</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tcPr>
          <w:p>
            <w:pPr>
              <w:ind w:left="240"/>
              <w:spacing w:after="0"/>
              <w:rPr>
                <w:sz w:val="20"/>
                <w:szCs w:val="20"/>
                <w:color w:val="auto"/>
              </w:rPr>
            </w:pPr>
            <w:r>
              <w:rPr>
                <w:rFonts w:ascii="Arial" w:cs="Arial" w:eastAsia="Arial" w:hAnsi="Arial"/>
                <w:sz w:val="18"/>
                <w:szCs w:val="18"/>
                <w:color w:val="auto"/>
              </w:rPr>
              <w:t>Capital contributions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3"/>
        </w:trPr>
        <w:tc>
          <w:tcPr>
            <w:tcW w:w="2100" w:type="dxa"/>
            <w:vAlign w:val="bottom"/>
            <w:shd w:val="clear" w:color="auto" w:fill="CCEEFF"/>
          </w:tcPr>
          <w:p>
            <w:pPr>
              <w:ind w:left="240"/>
              <w:spacing w:after="0" w:line="173" w:lineRule="exact"/>
              <w:rPr>
                <w:sz w:val="20"/>
                <w:szCs w:val="20"/>
                <w:color w:val="auto"/>
              </w:rPr>
            </w:pPr>
            <w:r>
              <w:rPr>
                <w:rFonts w:ascii="Arial" w:cs="Arial" w:eastAsia="Arial" w:hAnsi="Arial"/>
                <w:sz w:val="18"/>
                <w:szCs w:val="18"/>
                <w:color w:val="auto"/>
              </w:rPr>
              <w:t>Issuance of Preferred</w:t>
            </w: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shd w:val="clear" w:color="auto" w:fill="CCEEFF"/>
          </w:tcPr>
          <w:p>
            <w:pPr>
              <w:ind w:left="240"/>
              <w:spacing w:after="0" w:line="172" w:lineRule="exact"/>
              <w:rPr>
                <w:sz w:val="20"/>
                <w:szCs w:val="20"/>
                <w:color w:val="auto"/>
              </w:rPr>
            </w:pPr>
            <w:r>
              <w:rPr>
                <w:rFonts w:ascii="Arial" w:cs="Arial" w:eastAsia="Arial" w:hAnsi="Arial"/>
                <w:sz w:val="18"/>
                <w:szCs w:val="18"/>
                <w:color w:val="auto"/>
                <w:w w:val="92"/>
              </w:rPr>
              <w:t>Series B, net of issuance</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costs</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147,038,267</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(241,340)</w:t>
            </w:r>
          </w:p>
        </w:tc>
        <w:tc>
          <w:tcPr>
            <w:tcW w:w="0" w:type="dxa"/>
            <w:vAlign w:val="bottom"/>
          </w:tcPr>
          <w:p>
            <w:pPr>
              <w:spacing w:after="0"/>
              <w:rPr>
                <w:sz w:val="1"/>
                <w:szCs w:val="1"/>
                <w:color w:val="auto"/>
              </w:rPr>
            </w:pPr>
          </w:p>
        </w:tc>
      </w:tr>
      <w:tr>
        <w:trPr>
          <w:trHeight w:val="173"/>
        </w:trPr>
        <w:tc>
          <w:tcPr>
            <w:tcW w:w="2100" w:type="dxa"/>
            <w:vAlign w:val="bottom"/>
          </w:tcPr>
          <w:p>
            <w:pPr>
              <w:ind w:left="240"/>
              <w:spacing w:after="0" w:line="173" w:lineRule="exact"/>
              <w:rPr>
                <w:sz w:val="20"/>
                <w:szCs w:val="20"/>
                <w:color w:val="auto"/>
              </w:rPr>
            </w:pPr>
            <w:r>
              <w:rPr>
                <w:rFonts w:ascii="Arial" w:cs="Arial" w:eastAsia="Arial" w:hAnsi="Arial"/>
                <w:sz w:val="18"/>
                <w:szCs w:val="18"/>
                <w:color w:val="auto"/>
              </w:rPr>
              <w:t>Preferred Series A</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100" w:type="dxa"/>
            <w:vAlign w:val="bottom"/>
          </w:tcPr>
          <w:p>
            <w:pPr>
              <w:ind w:left="240"/>
              <w:spacing w:after="0"/>
              <w:rPr>
                <w:sz w:val="20"/>
                <w:szCs w:val="20"/>
                <w:color w:val="auto"/>
              </w:rPr>
            </w:pPr>
            <w:r>
              <w:rPr>
                <w:rFonts w:ascii="Arial" w:cs="Arial" w:eastAsia="Arial" w:hAnsi="Arial"/>
                <w:sz w:val="18"/>
                <w:szCs w:val="18"/>
                <w:color w:val="auto"/>
              </w:rPr>
              <w:t>dividend</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24,496,946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2100" w:type="dxa"/>
            <w:vAlign w:val="bottom"/>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w w:val="93"/>
              </w:rPr>
              <w:t>171,535,213</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130,557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80" w:type="dxa"/>
            <w:vAlign w:val="bottom"/>
          </w:tcPr>
          <w:p>
            <w:pPr>
              <w:spacing w:after="0"/>
              <w:rPr>
                <w:sz w:val="13"/>
                <w:szCs w:val="13"/>
                <w:color w:val="auto"/>
              </w:rPr>
            </w:pPr>
          </w:p>
        </w:tc>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w w:val="95"/>
              </w:rPr>
              <w:t>(330,051)</w:t>
            </w:r>
          </w:p>
        </w:tc>
        <w:tc>
          <w:tcPr>
            <w:tcW w:w="0" w:type="dxa"/>
            <w:vAlign w:val="bottom"/>
          </w:tcPr>
          <w:p>
            <w:pPr>
              <w:spacing w:after="0"/>
              <w:rPr>
                <w:sz w:val="1"/>
                <w:szCs w:val="1"/>
                <w:color w:val="auto"/>
              </w:rPr>
            </w:pPr>
          </w:p>
        </w:tc>
      </w:tr>
      <w:tr>
        <w:trPr>
          <w:trHeight w:val="225"/>
        </w:trPr>
        <w:tc>
          <w:tcPr>
            <w:tcW w:w="2100" w:type="dxa"/>
            <w:vAlign w:val="bottom"/>
          </w:tcPr>
          <w:p>
            <w:pPr>
              <w:ind w:left="20"/>
              <w:spacing w:after="0"/>
              <w:rPr>
                <w:sz w:val="20"/>
                <w:szCs w:val="20"/>
                <w:color w:val="auto"/>
              </w:rPr>
            </w:pPr>
            <w:r>
              <w:rPr>
                <w:rFonts w:ascii="Arial" w:cs="Arial" w:eastAsia="Arial" w:hAnsi="Arial"/>
                <w:sz w:val="18"/>
                <w:szCs w:val="18"/>
                <w:b w:val="1"/>
                <w:bCs w:val="1"/>
                <w:color w:val="auto"/>
              </w:rPr>
              <w:t>2020</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(245,390)</w:t>
            </w:r>
          </w:p>
        </w:tc>
        <w:tc>
          <w:tcPr>
            <w:tcW w:w="0" w:type="dxa"/>
            <w:vAlign w:val="bottom"/>
          </w:tcPr>
          <w:p>
            <w:pPr>
              <w:spacing w:after="0"/>
              <w:rPr>
                <w:sz w:val="1"/>
                <w:szCs w:val="1"/>
                <w:color w:val="auto"/>
              </w:rPr>
            </w:pPr>
          </w:p>
        </w:tc>
      </w:tr>
      <w:tr>
        <w:trPr>
          <w:trHeight w:val="225"/>
        </w:trPr>
        <w:tc>
          <w:tcPr>
            <w:tcW w:w="2100" w:type="dxa"/>
            <w:vAlign w:val="bottom"/>
          </w:tcPr>
          <w:p>
            <w:pPr>
              <w:ind w:left="220"/>
              <w:spacing w:after="0"/>
              <w:rPr>
                <w:sz w:val="20"/>
                <w:szCs w:val="20"/>
                <w:color w:val="auto"/>
              </w:rPr>
            </w:pPr>
            <w:r>
              <w:rPr>
                <w:rFonts w:ascii="Arial" w:cs="Arial" w:eastAsia="Arial" w:hAnsi="Arial"/>
                <w:sz w:val="18"/>
                <w:szCs w:val="18"/>
                <w:color w:val="auto"/>
              </w:rPr>
              <w:t>Stock option exercises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995,526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1,253,179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7"/>
              </w:rPr>
              <w:t>Conversion of Preferred</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(171,535,213)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0"/>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148,543,062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104,532</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220"/>
              <w:spacing w:after="0" w:line="173" w:lineRule="exact"/>
              <w:rPr>
                <w:sz w:val="20"/>
                <w:szCs w:val="20"/>
                <w:color w:val="auto"/>
              </w:rPr>
            </w:pPr>
            <w:r>
              <w:rPr>
                <w:rFonts w:ascii="Arial" w:cs="Arial" w:eastAsia="Arial" w:hAnsi="Arial"/>
                <w:sz w:val="18"/>
                <w:szCs w:val="18"/>
                <w:color w:val="auto"/>
              </w:rPr>
              <w:t>Conversion of Class B</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1,309,320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7"/>
              </w:rPr>
              <w:t>(1,383,736)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4"/>
        </w:trPr>
        <w:tc>
          <w:tcPr>
            <w:tcW w:w="21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w w:val="98"/>
              </w:rPr>
              <w:t>Net equity infusion from</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90,333,562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510,751</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the Business Combination</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220"/>
              <w:spacing w:after="0" w:line="173" w:lineRule="exact"/>
              <w:rPr>
                <w:sz w:val="20"/>
                <w:szCs w:val="20"/>
                <w:color w:val="auto"/>
              </w:rPr>
            </w:pPr>
            <w:r>
              <w:rPr>
                <w:rFonts w:ascii="Arial" w:cs="Arial" w:eastAsia="Arial" w:hAnsi="Arial"/>
                <w:sz w:val="18"/>
                <w:szCs w:val="18"/>
                <w:color w:val="auto"/>
              </w:rPr>
              <w:t>Stock based</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compensation</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modification</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4"/>
                <w:szCs w:val="14"/>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304,837</w:t>
            </w:r>
          </w:p>
        </w:tc>
        <w:tc>
          <w:tcPr>
            <w:tcW w:w="0" w:type="dxa"/>
            <w:vAlign w:val="bottom"/>
          </w:tcPr>
          <w:p>
            <w:pPr>
              <w:spacing w:after="0"/>
              <w:rPr>
                <w:sz w:val="1"/>
                <w:szCs w:val="1"/>
                <w:color w:val="auto"/>
              </w:rPr>
            </w:pPr>
          </w:p>
        </w:tc>
      </w:tr>
      <w:tr>
        <w:trPr>
          <w:trHeight w:val="224"/>
        </w:trPr>
        <w:tc>
          <w:tcPr>
            <w:tcW w:w="2100" w:type="dxa"/>
            <w:vAlign w:val="bottom"/>
          </w:tcPr>
          <w:p>
            <w:pPr>
              <w:ind w:left="180"/>
              <w:spacing w:after="0"/>
              <w:rPr>
                <w:sz w:val="20"/>
                <w:szCs w:val="20"/>
                <w:color w:val="auto"/>
              </w:rPr>
            </w:pPr>
            <w:r>
              <w:rPr>
                <w:rFonts w:ascii="Arial" w:cs="Arial" w:eastAsia="Arial" w:hAnsi="Arial"/>
                <w:sz w:val="18"/>
                <w:szCs w:val="18"/>
                <w:color w:val="auto"/>
              </w:rPr>
              <w:t>reclassification</w:t>
            </w: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100" w:type="dxa"/>
            <w:vAlign w:val="bottom"/>
            <w:shd w:val="clear" w:color="auto" w:fill="CCEEFF"/>
          </w:tcPr>
          <w:p>
            <w:pPr>
              <w:ind w:left="220"/>
              <w:spacing w:after="0" w:line="174" w:lineRule="exact"/>
              <w:rPr>
                <w:sz w:val="20"/>
                <w:szCs w:val="20"/>
                <w:color w:val="auto"/>
              </w:rPr>
            </w:pPr>
            <w:r>
              <w:rPr>
                <w:rFonts w:ascii="Arial" w:cs="Arial" w:eastAsia="Arial" w:hAnsi="Arial"/>
                <w:sz w:val="18"/>
                <w:szCs w:val="18"/>
                <w:color w:val="auto"/>
              </w:rPr>
              <w:t>Stock based</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42,385</w:t>
            </w:r>
          </w:p>
        </w:tc>
        <w:tc>
          <w:tcPr>
            <w:tcW w:w="0" w:type="dxa"/>
            <w:vAlign w:val="bottom"/>
          </w:tcPr>
          <w:p>
            <w:pPr>
              <w:spacing w:after="0"/>
              <w:rPr>
                <w:sz w:val="1"/>
                <w:szCs w:val="1"/>
                <w:color w:val="auto"/>
              </w:rPr>
            </w:pPr>
          </w:p>
        </w:tc>
      </w:tr>
      <w:tr>
        <w:trPr>
          <w:trHeight w:val="224"/>
        </w:trPr>
        <w:tc>
          <w:tcPr>
            <w:tcW w:w="2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expense</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100" w:type="dxa"/>
            <w:vAlign w:val="bottom"/>
          </w:tcPr>
          <w:p>
            <w:pPr>
              <w:ind w:left="180"/>
              <w:spacing w:after="0" w:line="173" w:lineRule="exact"/>
              <w:rPr>
                <w:sz w:val="20"/>
                <w:szCs w:val="20"/>
                <w:color w:val="auto"/>
              </w:rPr>
            </w:pPr>
            <w:r>
              <w:rPr>
                <w:rFonts w:ascii="Arial" w:cs="Arial" w:eastAsia="Arial" w:hAnsi="Arial"/>
                <w:sz w:val="18"/>
                <w:szCs w:val="18"/>
                <w:color w:val="auto"/>
              </w:rPr>
              <w:t>Vested restricted stock</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100" w:type="dxa"/>
            <w:vAlign w:val="bottom"/>
          </w:tcPr>
          <w:p>
            <w:pPr>
              <w:ind w:left="180"/>
              <w:spacing w:after="0" w:line="172" w:lineRule="exact"/>
              <w:rPr>
                <w:sz w:val="20"/>
                <w:szCs w:val="20"/>
                <w:color w:val="auto"/>
              </w:rPr>
            </w:pPr>
            <w:r>
              <w:rPr>
                <w:rFonts w:ascii="Arial" w:cs="Arial" w:eastAsia="Arial" w:hAnsi="Arial"/>
                <w:sz w:val="18"/>
                <w:szCs w:val="18"/>
                <w:color w:val="auto"/>
              </w:rPr>
              <w:t>units converted to</w:t>
            </w: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1,466,010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2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common stock</w:t>
            </w:r>
          </w:p>
        </w:tc>
        <w:tc>
          <w:tcPr>
            <w:tcW w:w="10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2100" w:type="dxa"/>
            <w:vAlign w:val="bottom"/>
            <w:shd w:val="clear" w:color="auto" w:fill="CCEEFF"/>
          </w:tcPr>
          <w:p>
            <w:pPr>
              <w:ind w:left="20"/>
              <w:spacing w:after="0" w:line="153" w:lineRule="exact"/>
              <w:rPr>
                <w:sz w:val="20"/>
                <w:szCs w:val="20"/>
                <w:color w:val="auto"/>
              </w:rPr>
            </w:pPr>
            <w:r>
              <w:rPr>
                <w:rFonts w:ascii="Arial" w:cs="Arial" w:eastAsia="Arial" w:hAnsi="Arial"/>
                <w:sz w:val="17"/>
                <w:szCs w:val="17"/>
                <w:b w:val="1"/>
                <w:bCs w:val="1"/>
                <w:color w:val="auto"/>
              </w:rPr>
              <w:t>Balance at December 31,</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242,647,604</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(575,441)</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388,103</w:t>
            </w:r>
          </w:p>
        </w:tc>
        <w:tc>
          <w:tcPr>
            <w:tcW w:w="0" w:type="dxa"/>
            <w:vAlign w:val="bottom"/>
          </w:tcPr>
          <w:p>
            <w:pPr>
              <w:spacing w:after="0"/>
              <w:rPr>
                <w:sz w:val="1"/>
                <w:szCs w:val="1"/>
                <w:color w:val="auto"/>
              </w:rPr>
            </w:pPr>
          </w:p>
        </w:tc>
      </w:tr>
      <w:tr>
        <w:trPr>
          <w:trHeight w:val="219"/>
        </w:trPr>
        <w:tc>
          <w:tcPr>
            <w:tcW w:w="2100" w:type="dxa"/>
            <w:vAlign w:val="bottom"/>
            <w:shd w:val="clear" w:color="auto" w:fill="CCEEFF"/>
          </w:tcPr>
          <w:p>
            <w:pPr>
              <w:ind w:left="20"/>
              <w:spacing w:after="0" w:line="199" w:lineRule="exact"/>
              <w:rPr>
                <w:sz w:val="20"/>
                <w:szCs w:val="20"/>
                <w:color w:val="auto"/>
              </w:rPr>
            </w:pPr>
            <w:r>
              <w:rPr>
                <w:rFonts w:ascii="Arial" w:cs="Arial" w:eastAsia="Arial" w:hAnsi="Arial"/>
                <w:sz w:val="18"/>
                <w:szCs w:val="18"/>
                <w:b w:val="1"/>
                <w:bCs w:val="1"/>
                <w:color w:val="auto"/>
              </w:rPr>
              <w:t>2021</w:t>
            </w:r>
          </w:p>
        </w:tc>
        <w:tc>
          <w:tcPr>
            <w:tcW w:w="11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7" w:right="339" w:bottom="1440" w:gutter="0" w:footer="0" w:header="0"/>
        </w:sectPr>
      </w:pPr>
    </w:p>
    <w:bookmarkStart w:id="114" w:name="page115"/>
    <w:bookmarkEnd w:id="1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(245,390)</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(241,340)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(29,704)</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Depreciation and amortization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21,807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6,407</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5,482</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Change in fair value of warrant and contingent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(198,401)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Provision for excess and obsolete 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40"/>
              <w:spacing w:after="0"/>
              <w:rPr>
                <w:sz w:val="20"/>
                <w:szCs w:val="20"/>
                <w:color w:val="auto"/>
              </w:rPr>
            </w:pPr>
            <w:r>
              <w:rPr>
                <w:rFonts w:ascii="Arial" w:cs="Arial" w:eastAsia="Arial" w:hAnsi="Arial"/>
                <w:sz w:val="16"/>
                <w:szCs w:val="16"/>
                <w:color w:val="auto"/>
              </w:rPr>
              <w:t>Non-cash lease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4"/>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on extinguishment of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operating assets and liabilities: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9"/>
        </w:trPr>
        <w:tc>
          <w:tcPr>
            <w:tcW w:w="6360" w:type="dxa"/>
            <w:vAlign w:val="bottom"/>
          </w:tcPr>
          <w:p>
            <w:pPr>
              <w:ind w:left="440"/>
              <w:spacing w:after="0"/>
              <w:rPr>
                <w:sz w:val="20"/>
                <w:szCs w:val="20"/>
                <w:color w:val="auto"/>
              </w:rPr>
            </w:pPr>
            <w:r>
              <w:rPr>
                <w:rFonts w:ascii="Arial" w:cs="Arial" w:eastAsia="Arial" w:hAnsi="Arial"/>
                <w:sz w:val="16"/>
                <w:szCs w:val="16"/>
                <w:color w:val="auto"/>
              </w:rPr>
              <w:t>Accounts receivable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(4,567)</w:t>
            </w: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Inventory</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(7,970)</w:t>
            </w: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(2,526)</w:t>
            </w: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Due to/from related parties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(4,395)</w:t>
            </w:r>
          </w:p>
        </w:tc>
      </w:tr>
      <w:tr>
        <w:trPr>
          <w:trHeight w:val="214"/>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12,847</w:t>
            </w:r>
          </w:p>
        </w:tc>
      </w:tr>
      <w:tr>
        <w:trPr>
          <w:trHeight w:val="210"/>
        </w:trPr>
        <w:tc>
          <w:tcPr>
            <w:tcW w:w="6360" w:type="dxa"/>
            <w:vAlign w:val="bottom"/>
          </w:tcPr>
          <w:p>
            <w:pPr>
              <w:ind w:left="440"/>
              <w:spacing w:after="0"/>
              <w:rPr>
                <w:sz w:val="20"/>
                <w:szCs w:val="20"/>
                <w:color w:val="auto"/>
              </w:rPr>
            </w:pPr>
            <w:r>
              <w:rPr>
                <w:rFonts w:ascii="Arial" w:cs="Arial" w:eastAsia="Arial" w:hAnsi="Arial"/>
                <w:sz w:val="16"/>
                <w:szCs w:val="16"/>
                <w:color w:val="auto"/>
              </w:rPr>
              <w:t>Contract liabilities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2,342</w:t>
            </w:r>
          </w:p>
        </w:tc>
      </w:tr>
      <w:tr>
        <w:trPr>
          <w:trHeight w:val="212"/>
        </w:trPr>
        <w:tc>
          <w:tcPr>
            <w:tcW w:w="63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Other current liabilities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15,960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4,451</w:t>
            </w: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(190,434)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(93,128)</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(18,728)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6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(11,923)</w:t>
            </w:r>
          </w:p>
        </w:tc>
      </w:tr>
      <w:tr>
        <w:trPr>
          <w:trHeight w:val="21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Development of internal-use software assets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w:t>
            </w:r>
          </w:p>
        </w:tc>
      </w:tr>
      <w:tr>
        <w:trPr>
          <w:trHeight w:val="23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6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w w:val="90"/>
              </w:rPr>
              <w:t>Proceeds from issuance of Series B redeemable convertible preferred stock,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118,824</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0"/>
              </w:rPr>
              <w:t>Proceeds from issuance of Series C redeemable convertible preferred stock, net of issuance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117,324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PIPE issuance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equity infusion from the merger, net of redemptions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442,684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Legacy Sema4 Shareholder payout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(230,665)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transaction costs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Stock Appreciation Rights payout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long-term debt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from ISMMS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30,897</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Proceeds from long-term debt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principal payments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Debt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principal payments</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(1,709)</w:t>
            </w:r>
          </w:p>
        </w:tc>
      </w:tr>
      <w:tr>
        <w:trPr>
          <w:trHeight w:val="208"/>
        </w:trPr>
        <w:tc>
          <w:tcPr>
            <w:tcW w:w="63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493,729</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129,056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8"/>
        </w:trPr>
        <w:tc>
          <w:tcPr>
            <w:tcW w:w="63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282,509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113,828</w:t>
            </w:r>
          </w:p>
        </w:tc>
      </w:tr>
      <w:tr>
        <w:trPr>
          <w:trHeight w:val="215"/>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118,960</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115,006</w:t>
            </w:r>
          </w:p>
        </w:tc>
        <w:tc>
          <w:tcPr>
            <w:tcW w:w="1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1,178</w:t>
            </w:r>
          </w:p>
        </w:tc>
      </w:tr>
      <w:tr>
        <w:trPr>
          <w:trHeight w:val="200"/>
        </w:trPr>
        <w:tc>
          <w:tcPr>
            <w:tcW w:w="63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401,469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118,960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115,006</w:t>
            </w:r>
          </w:p>
        </w:tc>
      </w:tr>
    </w:tbl>
    <w:p>
      <w:pPr>
        <w:spacing w:after="0" w:line="200" w:lineRule="exact"/>
        <w:rPr>
          <w:sz w:val="20"/>
          <w:szCs w:val="20"/>
          <w:color w:val="auto"/>
        </w:rPr>
      </w:pP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40"/>
          </w:cols>
          <w:pgMar w:left="320" w:top="127" w:right="3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2,751</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1,745</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349</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761</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447</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818</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development costs in accounts payable and accrued expenses</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1,149</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1,473</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w w:val="95"/>
              </w:rPr>
              <w:t>Non-cash Series A redeemable convertible preferred stock dividends declared and paid</w:t>
            </w:r>
          </w:p>
        </w:tc>
        <w:tc>
          <w:tcPr>
            <w:tcW w:w="10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14"/>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costs incurred but unpaid</w:t>
            </w:r>
          </w:p>
        </w:tc>
        <w:tc>
          <w:tcPr>
            <w:tcW w:w="10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1,000</w:t>
            </w:r>
          </w:p>
        </w:tc>
        <w:tc>
          <w:tcPr>
            <w:tcW w:w="68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27" w:right="339" w:bottom="1440" w:gutter="0" w:footer="0" w:header="0"/>
        </w:sectPr>
      </w:pPr>
    </w:p>
    <w:bookmarkStart w:id="116" w:name="page117"/>
    <w:bookmarkEnd w:id="1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Sema4 Holdings Corp.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Organization and Description of Business</w:t>
      </w:r>
    </w:p>
    <w:p>
      <w:pPr>
        <w:spacing w:after="0" w:line="183"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On July 22, 2021 (the “Closing Date”), CM Life Sciences, Inc. (“CMLS”) completed the acquisition of Legacy Sema4, pursuant to that certain Agreement and Plan of Merger (as amended, the “Merger Agreement”), dated February 9, 2021. On the Closing Date, S-IV Sub, Inc. (“Merger Sub”) merged with and into the Legacy Sema4, with Legacy Sema4 surviving the merger as a wholly-owned subsidiary of CMLS (the “Merger” and, together with the other transactions contemplated by the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3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(“U.S. GAAP”). The Company’s historical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27" w:right="339" w:bottom="1440" w:gutter="0" w:footer="0" w:header="0"/>
        </w:sectPr>
      </w:pPr>
    </w:p>
    <w:bookmarkStart w:id="117" w:name="page118"/>
    <w:bookmarkEnd w:id="117"/>
    <w:p>
      <w:pPr>
        <w:ind w:left="1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line="264" w:lineRule="auto"/>
        <w:rPr>
          <w:sz w:val="20"/>
          <w:szCs w:val="20"/>
          <w:color w:val="auto"/>
        </w:rPr>
      </w:pPr>
      <w:r>
        <w:rPr>
          <w:rFonts w:ascii="Arial" w:cs="Arial" w:eastAsia="Arial" w:hAnsi="Arial"/>
          <w:sz w:val="18"/>
          <w:szCs w:val="18"/>
          <w:color w:val="auto"/>
        </w:rPr>
        <w:t>information includes costs of certain services historically provided by Icahn School of Medicine at Mount Sinai (“ISMMS”) pursuant to the Transition Services Agreement ("TSA") and service.</w:t>
      </w:r>
    </w:p>
    <w:p>
      <w:pPr>
        <w:spacing w:after="0" w:line="200" w:lineRule="exact"/>
        <w:rPr>
          <w:sz w:val="20"/>
          <w:szCs w:val="20"/>
          <w:color w:val="auto"/>
        </w:rPr>
      </w:pPr>
    </w:p>
    <w:p>
      <w:pPr>
        <w:spacing w:after="0" w:line="325"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Restatement – 2020 and 2019 annual statements of operations and comprehensive loss</w:t>
      </w:r>
    </w:p>
    <w:p>
      <w:pPr>
        <w:spacing w:after="0" w:line="200" w:lineRule="exact"/>
        <w:rPr>
          <w:sz w:val="20"/>
          <w:szCs w:val="20"/>
          <w:color w:val="auto"/>
        </w:rPr>
      </w:pPr>
    </w:p>
    <w:p>
      <w:pPr>
        <w:spacing w:after="0" w:line="203" w:lineRule="exact"/>
        <w:rPr>
          <w:sz w:val="20"/>
          <w:szCs w:val="20"/>
          <w:color w:val="auto"/>
        </w:rPr>
      </w:pPr>
    </w:p>
    <w:p>
      <w:pPr>
        <w:ind w:left="100" w:firstLine="318"/>
        <w:spacing w:after="0" w:line="264" w:lineRule="auto"/>
        <w:rPr>
          <w:sz w:val="20"/>
          <w:szCs w:val="20"/>
          <w:color w:val="auto"/>
        </w:rPr>
      </w:pPr>
      <w:r>
        <w:rPr>
          <w:rFonts w:ascii="Arial" w:cs="Arial" w:eastAsia="Arial" w:hAnsi="Arial"/>
          <w:sz w:val="18"/>
          <w:szCs w:val="18"/>
          <w:color w:val="auto"/>
        </w:rPr>
        <w:t>The Company classifies expenses incurred that directly relate to the delivery of revenue as cost of services in its consolidated statements of operations and comprehensive loss.</w:t>
      </w:r>
    </w:p>
    <w:p>
      <w:pPr>
        <w:spacing w:after="0" w:line="194" w:lineRule="exact"/>
        <w:rPr>
          <w:sz w:val="20"/>
          <w:szCs w:val="20"/>
          <w:color w:val="auto"/>
        </w:rPr>
      </w:pPr>
    </w:p>
    <w:p>
      <w:pPr>
        <w:ind w:left="100" w:right="660" w:firstLine="318"/>
        <w:spacing w:after="0" w:line="293" w:lineRule="auto"/>
        <w:rPr>
          <w:sz w:val="20"/>
          <w:szCs w:val="20"/>
          <w:color w:val="auto"/>
        </w:rPr>
      </w:pPr>
      <w:r>
        <w:rPr>
          <w:rFonts w:ascii="Arial" w:cs="Arial" w:eastAsia="Arial" w:hAnsi="Arial"/>
          <w:sz w:val="15"/>
          <w:szCs w:val="15"/>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7"/>
              </w:rPr>
              <w:t>December 31, 2020</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87"/>
              </w:rPr>
              <w:t>December 31, 2019</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vMerge w:val="restart"/>
          </w:tcPr>
          <w:p>
            <w:pPr>
              <w:jc w:val="right"/>
              <w:ind w:right="112"/>
              <w:spacing w:after="0"/>
              <w:rPr>
                <w:sz w:val="20"/>
                <w:szCs w:val="20"/>
                <w:color w:val="auto"/>
              </w:rPr>
            </w:pPr>
            <w:r>
              <w:rPr>
                <w:rFonts w:ascii="Arial" w:cs="Arial" w:eastAsia="Arial" w:hAnsi="Arial"/>
                <w:sz w:val="18"/>
                <w:szCs w:val="18"/>
                <w:color w:val="auto"/>
              </w:rPr>
              <w:t>As reported</w:t>
            </w:r>
          </w:p>
        </w:tc>
        <w:tc>
          <w:tcPr>
            <w:tcW w:w="1620" w:type="dxa"/>
            <w:vAlign w:val="bottom"/>
          </w:tcPr>
          <w:p>
            <w:pPr>
              <w:jc w:val="right"/>
              <w:ind w:right="452"/>
              <w:spacing w:after="0" w:line="167" w:lineRule="exact"/>
              <w:rPr>
                <w:sz w:val="20"/>
                <w:szCs w:val="20"/>
                <w:color w:val="auto"/>
              </w:rPr>
            </w:pPr>
            <w:r>
              <w:rPr>
                <w:rFonts w:ascii="Arial" w:cs="Arial" w:eastAsia="Arial" w:hAnsi="Arial"/>
                <w:sz w:val="18"/>
                <w:szCs w:val="18"/>
                <w:color w:val="auto"/>
              </w:rPr>
              <w:t>Misclass-</w:t>
            </w:r>
          </w:p>
        </w:tc>
        <w:tc>
          <w:tcPr>
            <w:tcW w:w="12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Restated</w:t>
            </w:r>
          </w:p>
        </w:tc>
        <w:tc>
          <w:tcPr>
            <w:tcW w:w="1200" w:type="dxa"/>
            <w:vAlign w:val="bottom"/>
            <w:vMerge w:val="restart"/>
          </w:tcPr>
          <w:p>
            <w:pPr>
              <w:jc w:val="right"/>
              <w:ind w:right="132"/>
              <w:spacing w:after="0"/>
              <w:rPr>
                <w:sz w:val="20"/>
                <w:szCs w:val="20"/>
                <w:color w:val="auto"/>
              </w:rPr>
            </w:pPr>
            <w:r>
              <w:rPr>
                <w:rFonts w:ascii="Arial" w:cs="Arial" w:eastAsia="Arial" w:hAnsi="Arial"/>
                <w:sz w:val="18"/>
                <w:szCs w:val="18"/>
                <w:color w:val="auto"/>
              </w:rPr>
              <w:t>As reported</w:t>
            </w:r>
          </w:p>
        </w:tc>
        <w:tc>
          <w:tcPr>
            <w:tcW w:w="1620" w:type="dxa"/>
            <w:vAlign w:val="bottom"/>
          </w:tcPr>
          <w:p>
            <w:pPr>
              <w:jc w:val="right"/>
              <w:ind w:right="472"/>
              <w:spacing w:after="0" w:line="167" w:lineRule="exact"/>
              <w:rPr>
                <w:sz w:val="20"/>
                <w:szCs w:val="20"/>
                <w:color w:val="auto"/>
              </w:rPr>
            </w:pPr>
            <w:r>
              <w:rPr>
                <w:rFonts w:ascii="Arial" w:cs="Arial" w:eastAsia="Arial" w:hAnsi="Arial"/>
                <w:sz w:val="18"/>
                <w:szCs w:val="18"/>
                <w:color w:val="auto"/>
              </w:rPr>
              <w:t>Misclass-</w:t>
            </w:r>
          </w:p>
        </w:tc>
        <w:tc>
          <w:tcPr>
            <w:tcW w:w="1100" w:type="dxa"/>
            <w:vAlign w:val="bottom"/>
            <w:vMerge w:val="restart"/>
          </w:tcPr>
          <w:p>
            <w:pPr>
              <w:jc w:val="right"/>
              <w:ind w:right="232"/>
              <w:spacing w:after="0"/>
              <w:rPr>
                <w:sz w:val="20"/>
                <w:szCs w:val="20"/>
                <w:color w:val="auto"/>
              </w:rPr>
            </w:pPr>
            <w:r>
              <w:rPr>
                <w:rFonts w:ascii="Arial" w:cs="Arial" w:eastAsia="Arial" w:hAnsi="Arial"/>
                <w:sz w:val="18"/>
                <w:szCs w:val="18"/>
                <w:b w:val="1"/>
                <w:bCs w:val="1"/>
                <w:color w:val="auto"/>
                <w:w w:val="99"/>
              </w:rPr>
              <w:t>Restated</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ification</w:t>
            </w:r>
          </w:p>
        </w:tc>
        <w:tc>
          <w:tcPr>
            <w:tcW w:w="120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620" w:type="dxa"/>
            <w:vAlign w:val="bottom"/>
          </w:tcPr>
          <w:p>
            <w:pPr>
              <w:jc w:val="right"/>
              <w:ind w:right="472"/>
              <w:spacing w:after="0"/>
              <w:rPr>
                <w:sz w:val="20"/>
                <w:szCs w:val="20"/>
                <w:color w:val="auto"/>
              </w:rPr>
            </w:pPr>
            <w:r>
              <w:rPr>
                <w:rFonts w:ascii="Arial" w:cs="Arial" w:eastAsia="Arial" w:hAnsi="Arial"/>
                <w:sz w:val="18"/>
                <w:szCs w:val="18"/>
                <w:color w:val="auto"/>
              </w:rPr>
              <w:t>ification</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6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196,174</w:t>
            </w:r>
          </w:p>
        </w:tc>
        <w:tc>
          <w:tcPr>
            <w:tcW w:w="16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196,174</w:t>
            </w:r>
          </w:p>
        </w:tc>
        <w:tc>
          <w:tcPr>
            <w:tcW w:w="0" w:type="dxa"/>
            <w:vAlign w:val="bottom"/>
          </w:tcPr>
          <w:p>
            <w:pPr>
              <w:spacing w:after="0"/>
              <w:rPr>
                <w:sz w:val="1"/>
                <w:szCs w:val="1"/>
                <w:color w:val="auto"/>
              </w:rPr>
            </w:pPr>
          </w:p>
        </w:tc>
      </w:tr>
      <w:tr>
        <w:trPr>
          <w:trHeight w:val="225"/>
        </w:trPr>
        <w:tc>
          <w:tcPr>
            <w:tcW w:w="338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1180" w:type="dxa"/>
            <w:vAlign w:val="bottom"/>
          </w:tcPr>
          <w:p>
            <w:pPr>
              <w:jc w:val="right"/>
              <w:spacing w:after="0"/>
              <w:rPr>
                <w:sz w:val="20"/>
                <w:szCs w:val="20"/>
                <w:color w:val="auto"/>
              </w:rPr>
            </w:pPr>
            <w:r>
              <w:rPr>
                <w:rFonts w:ascii="Arial" w:cs="Arial" w:eastAsia="Arial" w:hAnsi="Arial"/>
                <w:sz w:val="18"/>
                <w:szCs w:val="18"/>
                <w:color w:val="auto"/>
              </w:rPr>
              <w:t>184,648</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(9,352)</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175,296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119,623</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(6,234)</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113,389</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(loss) profit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6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9,352</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76,551</w:t>
            </w:r>
          </w:p>
        </w:tc>
        <w:tc>
          <w:tcPr>
            <w:tcW w:w="162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6,234</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82,785</w:t>
            </w:r>
          </w:p>
        </w:tc>
        <w:tc>
          <w:tcPr>
            <w:tcW w:w="0" w:type="dxa"/>
            <w:vAlign w:val="bottom"/>
          </w:tcPr>
          <w:p>
            <w:pPr>
              <w:spacing w:after="0"/>
              <w:rPr>
                <w:sz w:val="1"/>
                <w:szCs w:val="1"/>
                <w:color w:val="auto"/>
              </w:rPr>
            </w:pPr>
          </w:p>
        </w:tc>
      </w:tr>
      <w:tr>
        <w:trPr>
          <w:trHeight w:val="218"/>
        </w:trPr>
        <w:tc>
          <w:tcPr>
            <w:tcW w:w="338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jc w:val="right"/>
              <w:spacing w:after="0"/>
              <w:rPr>
                <w:sz w:val="20"/>
                <w:szCs w:val="20"/>
                <w:color w:val="auto"/>
              </w:rPr>
            </w:pPr>
            <w:r>
              <w:rPr>
                <w:rFonts w:ascii="Arial" w:cs="Arial" w:eastAsia="Arial" w:hAnsi="Arial"/>
                <w:sz w:val="18"/>
                <w:szCs w:val="18"/>
                <w:color w:val="auto"/>
              </w:rPr>
              <w:t>72,700</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34,910</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34,910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53,831</w:t>
            </w:r>
          </w:p>
        </w:tc>
        <w:tc>
          <w:tcPr>
            <w:tcW w:w="1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9,352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33,118</w:t>
            </w:r>
          </w:p>
        </w:tc>
        <w:tc>
          <w:tcPr>
            <w:tcW w:w="1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6,234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39,352</w:t>
            </w:r>
          </w:p>
        </w:tc>
        <w:tc>
          <w:tcPr>
            <w:tcW w:w="0" w:type="dxa"/>
            <w:vAlign w:val="bottom"/>
          </w:tcPr>
          <w:p>
            <w:pPr>
              <w:spacing w:after="0"/>
              <w:rPr>
                <w:sz w:val="1"/>
                <w:szCs w:val="1"/>
                <w:color w:val="auto"/>
              </w:rPr>
            </w:pPr>
          </w:p>
        </w:tc>
      </w:tr>
      <w:tr>
        <w:trPr>
          <w:trHeight w:val="225"/>
        </w:trPr>
        <w:tc>
          <w:tcPr>
            <w:tcW w:w="3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180" w:type="dxa"/>
            <w:vAlign w:val="bottom"/>
          </w:tcPr>
          <w:p>
            <w:pPr>
              <w:jc w:val="right"/>
              <w:spacing w:after="0"/>
              <w:rPr>
                <w:sz w:val="20"/>
                <w:szCs w:val="20"/>
                <w:color w:val="auto"/>
              </w:rPr>
            </w:pPr>
            <w:r>
              <w:rPr>
                <w:rFonts w:ascii="Arial" w:cs="Arial" w:eastAsia="Arial" w:hAnsi="Arial"/>
                <w:sz w:val="18"/>
                <w:szCs w:val="18"/>
                <w:color w:val="auto"/>
              </w:rPr>
              <w:t>100,742</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29,484</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29,484</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expenses</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9,395</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9,395</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9,452</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Loss from operations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(241,994)</w:t>
            </w: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(241,994)</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(30,413)</w:t>
            </w: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(30,413)</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6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Net loss and comprehensive loss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1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(29,704)</w:t>
            </w:r>
          </w:p>
        </w:tc>
        <w:tc>
          <w:tcPr>
            <w:tcW w:w="16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(29,704)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00" w:right="260" w:firstLine="318"/>
        <w:spacing w:after="0" w:line="244" w:lineRule="auto"/>
        <w:rPr>
          <w:sz w:val="20"/>
          <w:szCs w:val="20"/>
          <w:color w:val="auto"/>
        </w:rPr>
      </w:pPr>
      <w:r>
        <w:rPr>
          <w:rFonts w:ascii="Arial" w:cs="Arial" w:eastAsia="Arial" w:hAnsi="Arial"/>
          <w:sz w:val="17"/>
          <w:szCs w:val="17"/>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212"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Restatement – 2021 and 2020 interim financial statements (unaudited)</w:t>
      </w:r>
    </w:p>
    <w:p>
      <w:pPr>
        <w:spacing w:after="0" w:line="151" w:lineRule="exact"/>
        <w:rPr>
          <w:sz w:val="20"/>
          <w:szCs w:val="20"/>
          <w:color w:val="auto"/>
        </w:rPr>
      </w:pPr>
    </w:p>
    <w:p>
      <w:pPr>
        <w:ind w:left="100" w:right="200" w:firstLine="318"/>
        <w:spacing w:after="0" w:line="237" w:lineRule="auto"/>
        <w:rPr>
          <w:sz w:val="20"/>
          <w:szCs w:val="20"/>
          <w:color w:val="auto"/>
        </w:rPr>
      </w:pPr>
      <w:r>
        <w:rPr>
          <w:rFonts w:ascii="Arial" w:cs="Arial" w:eastAsia="Arial" w:hAnsi="Arial"/>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40"/>
          </w:cols>
          <w:pgMar w:left="220" w:top="127" w:right="339" w:bottom="1440" w:gutter="0" w:footer="0" w:header="0"/>
        </w:sectPr>
      </w:pPr>
    </w:p>
    <w:bookmarkStart w:id="118" w:name="page119"/>
    <w:bookmarkEnd w:id="118"/>
    <w:p>
      <w:pPr>
        <w:ind w:left="8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80" w:right="80"/>
        <w:spacing w:after="0" w:line="237" w:lineRule="auto"/>
        <w:rPr>
          <w:sz w:val="20"/>
          <w:szCs w:val="20"/>
          <w:color w:val="auto"/>
        </w:rPr>
      </w:pPr>
      <w:r>
        <w:rPr>
          <w:rFonts w:ascii="Arial" w:cs="Arial" w:eastAsia="Arial" w:hAnsi="Arial"/>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201"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2021 interim statements of operations and comprehensive loss (in thousands)</w:t>
      </w: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46"/>
        </w:trPr>
        <w:tc>
          <w:tcPr>
            <w:tcW w:w="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right"/>
              <w:ind w:right="9"/>
              <w:spacing w:after="0" w:line="146" w:lineRule="exact"/>
              <w:rPr>
                <w:sz w:val="20"/>
                <w:szCs w:val="20"/>
                <w:color w:val="auto"/>
              </w:rPr>
            </w:pPr>
            <w:r>
              <w:rPr>
                <w:rFonts w:ascii="Arial" w:cs="Arial" w:eastAsia="Arial" w:hAnsi="Arial"/>
                <w:sz w:val="14"/>
                <w:szCs w:val="14"/>
                <w:b w:val="1"/>
                <w:bCs w:val="1"/>
                <w:color w:val="auto"/>
              </w:rPr>
              <w:t>First</w:t>
            </w:r>
          </w:p>
        </w:tc>
        <w:tc>
          <w:tcPr>
            <w:tcW w:w="10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4"/>
                <w:szCs w:val="14"/>
                <w:b w:val="1"/>
                <w:bCs w:val="1"/>
                <w:color w:val="auto"/>
              </w:rPr>
              <w:t>Second</w:t>
            </w:r>
          </w:p>
        </w:tc>
        <w:tc>
          <w:tcPr>
            <w:tcW w:w="10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4"/>
              </w:rPr>
              <w:t>Quarter</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2"/>
          </w:tcPr>
          <w:p>
            <w:pPr>
              <w:jc w:val="right"/>
              <w:ind w:right="909"/>
              <w:spacing w:after="0"/>
              <w:rPr>
                <w:sz w:val="20"/>
                <w:szCs w:val="20"/>
                <w:color w:val="auto"/>
              </w:rPr>
            </w:pPr>
            <w:r>
              <w:rPr>
                <w:rFonts w:ascii="Arial" w:cs="Arial" w:eastAsia="Arial" w:hAnsi="Arial"/>
                <w:sz w:val="14"/>
                <w:szCs w:val="14"/>
                <w:b w:val="1"/>
                <w:bCs w:val="1"/>
                <w:color w:val="auto"/>
              </w:rPr>
              <w:t>Quarter</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20" w:type="dxa"/>
            <w:vAlign w:val="bottom"/>
          </w:tcPr>
          <w:p>
            <w:pPr>
              <w:jc w:val="right"/>
              <w:ind w:right="429"/>
              <w:spacing w:after="0" w:line="127" w:lineRule="exact"/>
              <w:rPr>
                <w:sz w:val="20"/>
                <w:szCs w:val="20"/>
                <w:color w:val="auto"/>
              </w:rPr>
            </w:pPr>
            <w:r>
              <w:rPr>
                <w:rFonts w:ascii="Arial" w:cs="Arial" w:eastAsia="Arial" w:hAnsi="Arial"/>
                <w:sz w:val="14"/>
                <w:szCs w:val="14"/>
                <w:color w:val="auto"/>
              </w:rPr>
              <w:t>As</w:t>
            </w: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jc w:val="right"/>
              <w:ind w:right="480"/>
              <w:spacing w:after="0" w:line="127" w:lineRule="exact"/>
              <w:rPr>
                <w:sz w:val="20"/>
                <w:szCs w:val="20"/>
                <w:color w:val="auto"/>
              </w:rPr>
            </w:pPr>
            <w:r>
              <w:rPr>
                <w:rFonts w:ascii="Arial" w:cs="Arial" w:eastAsia="Arial" w:hAnsi="Arial"/>
                <w:sz w:val="14"/>
                <w:szCs w:val="14"/>
                <w:color w:val="auto"/>
              </w:rPr>
              <w:t>As</w:t>
            </w: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vMerge w:val="restart"/>
          </w:tcPr>
          <w:p>
            <w:pPr>
              <w:jc w:val="right"/>
              <w:ind w:right="229"/>
              <w:spacing w:after="0"/>
              <w:rPr>
                <w:sz w:val="20"/>
                <w:szCs w:val="20"/>
                <w:color w:val="auto"/>
              </w:rPr>
            </w:pPr>
            <w:r>
              <w:rPr>
                <w:rFonts w:ascii="Arial" w:cs="Arial" w:eastAsia="Arial" w:hAnsi="Arial"/>
                <w:sz w:val="14"/>
                <w:szCs w:val="14"/>
                <w:b w:val="1"/>
                <w:bCs w:val="1"/>
                <w:color w:val="auto"/>
              </w:rPr>
              <w:t>Restated</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color w:val="auto"/>
              </w:rPr>
              <w:t>reported</w:t>
            </w: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color w:val="auto"/>
                <w:w w:val="96"/>
              </w:rPr>
              <w:t>Misclass-ification</w:t>
            </w: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color w:val="auto"/>
                <w:w w:val="94"/>
              </w:rPr>
              <w:t>Adjustment</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reported</w:t>
            </w:r>
          </w:p>
        </w:tc>
        <w:tc>
          <w:tcPr>
            <w:tcW w:w="1300" w:type="dxa"/>
            <w:vAlign w:val="bottom"/>
            <w:vMerge w:val="restart"/>
          </w:tcPr>
          <w:p>
            <w:pPr>
              <w:jc w:val="right"/>
              <w:ind w:right="189"/>
              <w:spacing w:after="0"/>
              <w:rPr>
                <w:sz w:val="20"/>
                <w:szCs w:val="20"/>
                <w:color w:val="auto"/>
              </w:rPr>
            </w:pPr>
            <w:r>
              <w:rPr>
                <w:rFonts w:ascii="Arial" w:cs="Arial" w:eastAsia="Arial" w:hAnsi="Arial"/>
                <w:sz w:val="14"/>
                <w:szCs w:val="14"/>
                <w:color w:val="auto"/>
                <w:w w:val="96"/>
              </w:rPr>
              <w:t>Misclass-ification</w:t>
            </w:r>
          </w:p>
        </w:tc>
        <w:tc>
          <w:tcPr>
            <w:tcW w:w="1020" w:type="dxa"/>
            <w:vAlign w:val="bottom"/>
            <w:vMerge w:val="restart"/>
          </w:tcPr>
          <w:p>
            <w:pPr>
              <w:jc w:val="right"/>
              <w:ind w:right="289"/>
              <w:spacing w:after="0"/>
              <w:rPr>
                <w:sz w:val="20"/>
                <w:szCs w:val="20"/>
                <w:color w:val="auto"/>
              </w:rPr>
            </w:pPr>
            <w:r>
              <w:rPr>
                <w:rFonts w:ascii="Arial" w:cs="Arial" w:eastAsia="Arial" w:hAnsi="Arial"/>
                <w:sz w:val="14"/>
                <w:szCs w:val="14"/>
                <w:color w:val="auto"/>
                <w:w w:val="91"/>
              </w:rPr>
              <w:t>Adjustment</w:t>
            </w: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280" w:type="dxa"/>
            <w:vAlign w:val="bottom"/>
            <w:tcBorders>
              <w:bottom w:val="single" w:sz="8" w:color="CCEEFF"/>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64,351</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64,201</w:t>
            </w:r>
          </w:p>
        </w:tc>
        <w:tc>
          <w:tcPr>
            <w:tcW w:w="100" w:type="dxa"/>
            <w:vAlign w:val="bottom"/>
          </w:tcPr>
          <w:p>
            <w:pPr>
              <w:spacing w:after="0"/>
              <w:rPr>
                <w:sz w:val="15"/>
                <w:szCs w:val="15"/>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46,865</w:t>
            </w:r>
          </w:p>
        </w:tc>
        <w:tc>
          <w:tcPr>
            <w:tcW w:w="13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150</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47,015</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services</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71,812</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(3,837)</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549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68,524</w:t>
            </w:r>
          </w:p>
        </w:tc>
        <w:tc>
          <w:tcPr>
            <w:tcW w:w="100" w:type="dxa"/>
            <w:vAlign w:val="bottom"/>
          </w:tcPr>
          <w:p>
            <w:pPr>
              <w:spacing w:after="0"/>
              <w:rPr>
                <w:sz w:val="16"/>
                <w:szCs w:val="16"/>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49,631</w:t>
            </w:r>
          </w:p>
        </w:tc>
        <w:tc>
          <w:tcPr>
            <w:tcW w:w="13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(2,287)</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835</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48,179</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3,837</w:t>
            </w:r>
          </w:p>
        </w:tc>
        <w:tc>
          <w:tcPr>
            <w:tcW w:w="10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(4,323)</w:t>
            </w:r>
          </w:p>
        </w:tc>
        <w:tc>
          <w:tcPr>
            <w:tcW w:w="100" w:type="dxa"/>
            <w:vAlign w:val="bottom"/>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(2,766)</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2,287</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(685)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(1,164)</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53,131</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2</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53,133</w:t>
            </w:r>
          </w:p>
        </w:tc>
        <w:tc>
          <w:tcPr>
            <w:tcW w:w="10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11,954</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11,952</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31,569</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3,837</w:t>
            </w: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35,366</w:t>
            </w:r>
          </w:p>
        </w:tc>
        <w:tc>
          <w:tcPr>
            <w:tcW w:w="100" w:type="dxa"/>
            <w:vAlign w:val="bottom"/>
          </w:tcPr>
          <w:p>
            <w:pPr>
              <w:spacing w:after="0"/>
              <w:rPr>
                <w:sz w:val="16"/>
                <w:szCs w:val="16"/>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16,247</w:t>
            </w:r>
          </w:p>
        </w:tc>
        <w:tc>
          <w:tcPr>
            <w:tcW w:w="13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2,287</w:t>
            </w:r>
          </w:p>
        </w:tc>
        <w:tc>
          <w:tcPr>
            <w:tcW w:w="10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40</w:t>
            </w: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18,574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101,917</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121</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102,038</w:t>
            </w:r>
          </w:p>
        </w:tc>
        <w:tc>
          <w:tcPr>
            <w:tcW w:w="10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12,794</w:t>
            </w:r>
          </w:p>
        </w:tc>
        <w:tc>
          <w:tcPr>
            <w:tcW w:w="130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76</w:t>
            </w:r>
          </w:p>
        </w:tc>
        <w:tc>
          <w:tcPr>
            <w:tcW w:w="980" w:type="dxa"/>
            <w:vAlign w:val="bottom"/>
          </w:tcPr>
          <w:p>
            <w:pPr>
              <w:jc w:val="right"/>
              <w:ind w:right="9"/>
              <w:spacing w:after="0"/>
              <w:rPr>
                <w:sz w:val="20"/>
                <w:szCs w:val="20"/>
                <w:color w:val="auto"/>
              </w:rPr>
            </w:pPr>
            <w:r>
              <w:rPr>
                <w:rFonts w:ascii="Arial" w:cs="Arial" w:eastAsia="Arial" w:hAnsi="Arial"/>
                <w:sz w:val="14"/>
                <w:szCs w:val="14"/>
                <w:b w:val="1"/>
                <w:bCs w:val="1"/>
                <w:color w:val="auto"/>
              </w:rPr>
              <w:t>12,870</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1,797</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1,797</w:t>
            </w:r>
          </w:p>
        </w:tc>
        <w:tc>
          <w:tcPr>
            <w:tcW w:w="100" w:type="dxa"/>
            <w:vAlign w:val="bottom"/>
          </w:tcPr>
          <w:p>
            <w:pPr>
              <w:spacing w:after="0"/>
              <w:rPr>
                <w:sz w:val="16"/>
                <w:szCs w:val="16"/>
                <w:color w:val="auto"/>
              </w:rPr>
            </w:pPr>
          </w:p>
        </w:tc>
        <w:tc>
          <w:tcPr>
            <w:tcW w:w="11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888</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888</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(195,875)</w:t>
            </w:r>
          </w:p>
        </w:tc>
        <w:tc>
          <w:tcPr>
            <w:tcW w:w="12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(782)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(196,657)</w:t>
            </w:r>
          </w:p>
        </w:tc>
        <w:tc>
          <w:tcPr>
            <w:tcW w:w="100" w:type="dxa"/>
            <w:vAlign w:val="bottom"/>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(44,649)</w:t>
            </w:r>
          </w:p>
        </w:tc>
        <w:tc>
          <w:tcPr>
            <w:tcW w:w="13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(799)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(45,448)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4,882</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4,882</w:t>
            </w:r>
          </w:p>
        </w:tc>
        <w:tc>
          <w:tcPr>
            <w:tcW w:w="100" w:type="dxa"/>
            <w:vAlign w:val="bottom"/>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(713)</w:t>
            </w:r>
          </w:p>
        </w:tc>
        <w:tc>
          <w:tcPr>
            <w:tcW w:w="13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2280" w:type="dxa"/>
            <w:vAlign w:val="bottom"/>
          </w:tcPr>
          <w:p>
            <w:pPr>
              <w:ind w:left="20"/>
              <w:spacing w:after="0" w:line="113" w:lineRule="exact"/>
              <w:rPr>
                <w:sz w:val="20"/>
                <w:szCs w:val="20"/>
                <w:color w:val="auto"/>
              </w:rPr>
            </w:pPr>
            <w:r>
              <w:rPr>
                <w:rFonts w:ascii="Arial" w:cs="Arial" w:eastAsia="Arial" w:hAnsi="Arial"/>
                <w:sz w:val="13"/>
                <w:szCs w:val="13"/>
                <w:color w:val="auto"/>
              </w:rPr>
              <w:t>Net (loss) income and comprehensive</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(190,993)</w:t>
            </w:r>
          </w:p>
        </w:tc>
        <w:tc>
          <w:tcPr>
            <w:tcW w:w="12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89"/>
              <w:spacing w:after="0"/>
              <w:rPr>
                <w:sz w:val="20"/>
                <w:szCs w:val="20"/>
                <w:color w:val="auto"/>
              </w:rPr>
            </w:pPr>
            <w:r>
              <w:rPr>
                <w:rFonts w:ascii="Arial" w:cs="Arial" w:eastAsia="Arial" w:hAnsi="Arial"/>
                <w:sz w:val="14"/>
                <w:szCs w:val="14"/>
                <w:color w:val="auto"/>
              </w:rPr>
              <w:t>(782)</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(191,775)</w:t>
            </w:r>
          </w:p>
        </w:tc>
        <w:tc>
          <w:tcPr>
            <w:tcW w:w="1200" w:type="dxa"/>
            <w:vAlign w:val="bottom"/>
            <w:gridSpan w:val="4"/>
            <w:vMerge w:val="restart"/>
          </w:tcPr>
          <w:p>
            <w:pPr>
              <w:jc w:val="right"/>
              <w:ind w:right="40"/>
              <w:spacing w:after="0"/>
              <w:rPr>
                <w:sz w:val="20"/>
                <w:szCs w:val="20"/>
                <w:color w:val="auto"/>
              </w:rPr>
            </w:pPr>
            <w:r>
              <w:rPr>
                <w:rFonts w:ascii="Arial" w:cs="Arial" w:eastAsia="Arial" w:hAnsi="Arial"/>
                <w:sz w:val="14"/>
                <w:szCs w:val="14"/>
                <w:color w:val="auto"/>
              </w:rPr>
              <w:t>(45,362)</w:t>
            </w:r>
          </w:p>
        </w:tc>
        <w:tc>
          <w:tcPr>
            <w:tcW w:w="1300" w:type="dxa"/>
            <w:vAlign w:val="bottom"/>
            <w:vMerge w:val="restart"/>
          </w:tcPr>
          <w:p>
            <w:pPr>
              <w:jc w:val="right"/>
              <w:ind w:right="209"/>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89"/>
              <w:spacing w:after="0"/>
              <w:rPr>
                <w:sz w:val="20"/>
                <w:szCs w:val="20"/>
                <w:color w:val="auto"/>
              </w:rPr>
            </w:pPr>
            <w:r>
              <w:rPr>
                <w:rFonts w:ascii="Arial" w:cs="Arial" w:eastAsia="Arial" w:hAnsi="Arial"/>
                <w:sz w:val="14"/>
                <w:szCs w:val="14"/>
                <w:color w:val="auto"/>
              </w:rPr>
              <w:t>(799)</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(46,161)</w:t>
            </w: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2280" w:type="dxa"/>
            <w:vAlign w:val="bottom"/>
          </w:tcPr>
          <w:p>
            <w:pPr>
              <w:ind w:left="20"/>
              <w:spacing w:after="0" w:line="159" w:lineRule="exact"/>
              <w:rPr>
                <w:sz w:val="20"/>
                <w:szCs w:val="20"/>
                <w:color w:val="auto"/>
              </w:rPr>
            </w:pPr>
            <w:r>
              <w:rPr>
                <w:rFonts w:ascii="Arial" w:cs="Arial" w:eastAsia="Arial" w:hAnsi="Arial"/>
                <w:sz w:val="14"/>
                <w:szCs w:val="14"/>
                <w:color w:val="auto"/>
              </w:rPr>
              <w:t>loss</w:t>
            </w:r>
          </w:p>
        </w:tc>
        <w:tc>
          <w:tcPr>
            <w:tcW w:w="11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ind w:left="789"/>
              <w:spacing w:after="0" w:line="126" w:lineRule="exact"/>
              <w:rPr>
                <w:sz w:val="20"/>
                <w:szCs w:val="20"/>
                <w:color w:val="auto"/>
              </w:rPr>
            </w:pPr>
            <w:r>
              <w:rPr>
                <w:rFonts w:ascii="Arial" w:cs="Arial" w:eastAsia="Arial" w:hAnsi="Arial"/>
                <w:sz w:val="14"/>
                <w:szCs w:val="14"/>
                <w:b w:val="1"/>
                <w:bCs w:val="1"/>
                <w:color w:val="auto"/>
                <w:w w:val="97"/>
              </w:rPr>
              <w:t>Third</w:t>
            </w:r>
          </w:p>
        </w:tc>
        <w:tc>
          <w:tcPr>
            <w:tcW w:w="10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4"/>
              </w:rPr>
              <w:t>Fourth</w:t>
            </w:r>
          </w:p>
        </w:tc>
        <w:tc>
          <w:tcPr>
            <w:tcW w:w="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20" w:type="dxa"/>
            <w:vAlign w:val="bottom"/>
            <w:gridSpan w:val="2"/>
          </w:tcPr>
          <w:p>
            <w:pPr>
              <w:jc w:val="center"/>
              <w:ind w:right="69"/>
              <w:spacing w:after="0"/>
              <w:rPr>
                <w:sz w:val="20"/>
                <w:szCs w:val="20"/>
                <w:color w:val="auto"/>
              </w:rPr>
            </w:pPr>
            <w:r>
              <w:rPr>
                <w:rFonts w:ascii="Arial" w:cs="Arial" w:eastAsia="Arial" w:hAnsi="Arial"/>
                <w:sz w:val="14"/>
                <w:szCs w:val="14"/>
                <w:b w:val="1"/>
                <w:bCs w:val="1"/>
                <w:color w:val="auto"/>
                <w:w w:val="98"/>
              </w:rPr>
              <w:t>Quarter</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120" w:type="dxa"/>
            <w:vAlign w:val="bottom"/>
            <w:tcBorders>
              <w:top w:val="single" w:sz="8" w:color="auto"/>
            </w:tcBorders>
          </w:tcPr>
          <w:p>
            <w:pPr>
              <w:jc w:val="right"/>
              <w:ind w:right="409"/>
              <w:spacing w:after="0" w:line="127" w:lineRule="exact"/>
              <w:rPr>
                <w:sz w:val="20"/>
                <w:szCs w:val="20"/>
                <w:color w:val="auto"/>
              </w:rPr>
            </w:pPr>
            <w:r>
              <w:rPr>
                <w:rFonts w:ascii="Arial" w:cs="Arial" w:eastAsia="Arial" w:hAnsi="Arial"/>
                <w:sz w:val="14"/>
                <w:szCs w:val="14"/>
                <w:color w:val="auto"/>
              </w:rPr>
              <w:t>As</w:t>
            </w:r>
          </w:p>
        </w:tc>
        <w:tc>
          <w:tcPr>
            <w:tcW w:w="12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209"/>
              <w:spacing w:after="0"/>
              <w:rPr>
                <w:sz w:val="20"/>
                <w:szCs w:val="20"/>
                <w:color w:val="auto"/>
              </w:rPr>
            </w:pPr>
            <w:r>
              <w:rPr>
                <w:rFonts w:ascii="Arial" w:cs="Arial" w:eastAsia="Arial" w:hAnsi="Arial"/>
                <w:sz w:val="14"/>
                <w:szCs w:val="14"/>
                <w:b w:val="1"/>
                <w:bCs w:val="1"/>
                <w:color w:val="auto"/>
              </w:rPr>
              <w:t>Restated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Borders>
              <w:top w:val="single" w:sz="8" w:color="auto"/>
            </w:tcBorders>
          </w:tcPr>
          <w:p>
            <w:pPr>
              <w:jc w:val="center"/>
              <w:spacing w:after="0" w:line="127" w:lineRule="exact"/>
              <w:rPr>
                <w:sz w:val="20"/>
                <w:szCs w:val="20"/>
                <w:color w:val="auto"/>
              </w:rPr>
            </w:pPr>
            <w:r>
              <w:rPr>
                <w:rFonts w:ascii="Arial" w:cs="Arial" w:eastAsia="Arial" w:hAnsi="Arial"/>
                <w:sz w:val="14"/>
                <w:szCs w:val="14"/>
                <w:color w:val="auto"/>
                <w:w w:val="97"/>
              </w:rPr>
              <w:t>As</w:t>
            </w: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120" w:type="dxa"/>
            <w:vAlign w:val="bottom"/>
            <w:vMerge w:val="restart"/>
          </w:tcPr>
          <w:p>
            <w:pPr>
              <w:jc w:val="right"/>
              <w:ind w:right="249"/>
              <w:spacing w:after="0"/>
              <w:rPr>
                <w:sz w:val="20"/>
                <w:szCs w:val="20"/>
                <w:color w:val="auto"/>
              </w:rPr>
            </w:pPr>
            <w:r>
              <w:rPr>
                <w:rFonts w:ascii="Arial" w:cs="Arial" w:eastAsia="Arial" w:hAnsi="Arial"/>
                <w:sz w:val="14"/>
                <w:szCs w:val="14"/>
                <w:color w:val="auto"/>
              </w:rPr>
              <w:t>reported</w:t>
            </w: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color w:val="auto"/>
                <w:w w:val="96"/>
              </w:rPr>
              <w:t>Misclass-ification</w:t>
            </w:r>
          </w:p>
        </w:tc>
        <w:tc>
          <w:tcPr>
            <w:tcW w:w="1040" w:type="dxa"/>
            <w:vAlign w:val="bottom"/>
            <w:vMerge w:val="restart"/>
          </w:tcPr>
          <w:p>
            <w:pPr>
              <w:jc w:val="right"/>
              <w:ind w:right="289"/>
              <w:spacing w:after="0"/>
              <w:rPr>
                <w:sz w:val="20"/>
                <w:szCs w:val="20"/>
                <w:color w:val="auto"/>
              </w:rPr>
            </w:pPr>
            <w:r>
              <w:rPr>
                <w:rFonts w:ascii="Arial" w:cs="Arial" w:eastAsia="Arial" w:hAnsi="Arial"/>
                <w:sz w:val="14"/>
                <w:szCs w:val="14"/>
                <w:color w:val="auto"/>
                <w:w w:val="94"/>
              </w:rPr>
              <w:t>Adjustment</w:t>
            </w:r>
          </w:p>
        </w:tc>
        <w:tc>
          <w:tcPr>
            <w:tcW w:w="9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8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reported</w:t>
            </w: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43,178</w:t>
            </w:r>
          </w:p>
        </w:tc>
        <w:tc>
          <w:tcPr>
            <w:tcW w:w="128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43,178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57,801</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Cost of services</w:t>
            </w:r>
          </w:p>
        </w:tc>
        <w:tc>
          <w:tcPr>
            <w:tcW w:w="11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58,752</w:t>
            </w:r>
          </w:p>
        </w:tc>
        <w:tc>
          <w:tcPr>
            <w:tcW w:w="12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(6,031)</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51,487</w:t>
            </w:r>
          </w:p>
        </w:tc>
        <w:tc>
          <w:tcPr>
            <w:tcW w:w="120" w:type="dxa"/>
            <w:vAlign w:val="bottom"/>
            <w:gridSpan w:val="2"/>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60,607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(loss) profit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(15,574)</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6,031</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1,234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(8,309)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(2,806)</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17,831</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17,831</w:t>
            </w:r>
          </w:p>
        </w:tc>
        <w:tc>
          <w:tcPr>
            <w:tcW w:w="120" w:type="dxa"/>
            <w:vAlign w:val="bottom"/>
            <w:gridSpan w:val="2"/>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22,246</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Selling and marketing</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22,121</w:t>
            </w:r>
          </w:p>
        </w:tc>
        <w:tc>
          <w:tcPr>
            <w:tcW w:w="12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6,031</w:t>
            </w:r>
          </w:p>
        </w:tc>
        <w:tc>
          <w:tcPr>
            <w:tcW w:w="1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28,152</w:t>
            </w:r>
          </w:p>
        </w:tc>
        <w:tc>
          <w:tcPr>
            <w:tcW w:w="120" w:type="dxa"/>
            <w:vAlign w:val="bottom"/>
            <w:gridSpan w:val="2"/>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30,646</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33,230</w:t>
            </w:r>
          </w:p>
        </w:tc>
        <w:tc>
          <w:tcPr>
            <w:tcW w:w="128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33,125</w:t>
            </w:r>
          </w:p>
        </w:tc>
        <w:tc>
          <w:tcPr>
            <w:tcW w:w="120" w:type="dxa"/>
            <w:vAlign w:val="bottom"/>
            <w:gridSpan w:val="2"/>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57,955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Related party expenses</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847</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847</w:t>
            </w:r>
          </w:p>
        </w:tc>
        <w:tc>
          <w:tcPr>
            <w:tcW w:w="120" w:type="dxa"/>
            <w:vAlign w:val="bottom"/>
            <w:gridSpan w:val="2"/>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Loss from operations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(89,603)</w:t>
            </w:r>
          </w:p>
        </w:tc>
        <w:tc>
          <w:tcPr>
            <w:tcW w:w="12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1,339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(88,264)</w:t>
            </w:r>
          </w:p>
        </w:tc>
        <w:tc>
          <w:tcPr>
            <w:tcW w:w="120" w:type="dxa"/>
            <w:vAlign w:val="bottom"/>
            <w:gridSpan w:val="2"/>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(115,780)</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other income, net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120,995</w:t>
            </w:r>
          </w:p>
        </w:tc>
        <w:tc>
          <w:tcPr>
            <w:tcW w:w="12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120,995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75,595</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320" w:type="dxa"/>
            <w:vAlign w:val="bottom"/>
            <w:gridSpan w:val="2"/>
          </w:tcPr>
          <w:p>
            <w:pPr>
              <w:ind w:left="20"/>
              <w:spacing w:after="0" w:line="113" w:lineRule="exact"/>
              <w:rPr>
                <w:sz w:val="20"/>
                <w:szCs w:val="20"/>
                <w:color w:val="auto"/>
              </w:rPr>
            </w:pPr>
            <w:r>
              <w:rPr>
                <w:rFonts w:ascii="Arial" w:cs="Arial" w:eastAsia="Arial" w:hAnsi="Arial"/>
                <w:sz w:val="13"/>
                <w:szCs w:val="13"/>
                <w:color w:val="auto"/>
              </w:rPr>
              <w:t>Net (loss) income and comprehensive</w:t>
            </w: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31,392</w:t>
            </w:r>
          </w:p>
        </w:tc>
        <w:tc>
          <w:tcPr>
            <w:tcW w:w="1280" w:type="dxa"/>
            <w:vAlign w:val="bottom"/>
            <w:vMerge w:val="restart"/>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29"/>
              <w:spacing w:after="0"/>
              <w:rPr>
                <w:sz w:val="20"/>
                <w:szCs w:val="20"/>
                <w:color w:val="auto"/>
              </w:rPr>
            </w:pPr>
            <w:r>
              <w:rPr>
                <w:rFonts w:ascii="Arial" w:cs="Arial" w:eastAsia="Arial" w:hAnsi="Arial"/>
                <w:sz w:val="14"/>
                <w:szCs w:val="14"/>
                <w:color w:val="auto"/>
              </w:rPr>
              <w:t>1,339</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32,731</w:t>
            </w:r>
          </w:p>
        </w:tc>
        <w:tc>
          <w:tcPr>
            <w:tcW w:w="1060" w:type="dxa"/>
            <w:vAlign w:val="bottom"/>
            <w:gridSpan w:val="3"/>
            <w:vMerge w:val="restart"/>
          </w:tcPr>
          <w:p>
            <w:pPr>
              <w:jc w:val="right"/>
              <w:spacing w:after="0"/>
              <w:rPr>
                <w:sz w:val="20"/>
                <w:szCs w:val="20"/>
                <w:color w:val="auto"/>
              </w:rPr>
            </w:pPr>
            <w:r>
              <w:rPr>
                <w:rFonts w:ascii="Arial" w:cs="Arial" w:eastAsia="Arial" w:hAnsi="Arial"/>
                <w:sz w:val="14"/>
                <w:szCs w:val="14"/>
                <w:color w:val="auto"/>
              </w:rPr>
              <w:t>(40,185)</w:t>
            </w: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3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loss</w:t>
            </w:r>
          </w:p>
        </w:tc>
        <w:tc>
          <w:tcPr>
            <w:tcW w:w="112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2020 interim statements of operations and comprehensive loss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6"/>
              <w:spacing w:after="0" w:line="146" w:lineRule="exact"/>
              <w:rPr>
                <w:sz w:val="20"/>
                <w:szCs w:val="20"/>
                <w:color w:val="auto"/>
              </w:rPr>
            </w:pPr>
            <w:r>
              <w:rPr>
                <w:rFonts w:ascii="Arial" w:cs="Arial" w:eastAsia="Arial" w:hAnsi="Arial"/>
                <w:sz w:val="14"/>
                <w:szCs w:val="14"/>
                <w:b w:val="1"/>
                <w:bCs w:val="1"/>
                <w:color w:val="auto"/>
              </w:rPr>
              <w:t>First</w:t>
            </w:r>
          </w:p>
        </w:tc>
        <w:tc>
          <w:tcPr>
            <w:tcW w:w="7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35"/>
              <w:spacing w:after="0" w:line="146" w:lineRule="exact"/>
              <w:rPr>
                <w:sz w:val="20"/>
                <w:szCs w:val="20"/>
                <w:color w:val="auto"/>
              </w:rPr>
            </w:pPr>
            <w:r>
              <w:rPr>
                <w:rFonts w:ascii="Arial" w:cs="Arial" w:eastAsia="Arial" w:hAnsi="Arial"/>
                <w:sz w:val="14"/>
                <w:szCs w:val="14"/>
                <w:b w:val="1"/>
                <w:bCs w:val="1"/>
                <w:color w:val="auto"/>
              </w:rPr>
              <w:t>Second</w:t>
            </w: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ind w:left="140"/>
              <w:spacing w:after="0" w:line="146" w:lineRule="exact"/>
              <w:rPr>
                <w:sz w:val="20"/>
                <w:szCs w:val="20"/>
                <w:color w:val="auto"/>
              </w:rPr>
            </w:pPr>
            <w:r>
              <w:rPr>
                <w:rFonts w:ascii="Arial" w:cs="Arial" w:eastAsia="Arial" w:hAnsi="Arial"/>
                <w:sz w:val="14"/>
                <w:szCs w:val="14"/>
                <w:b w:val="1"/>
                <w:bCs w:val="1"/>
                <w:color w:val="auto"/>
              </w:rPr>
              <w:t>Third</w:t>
            </w:r>
          </w:p>
        </w:tc>
        <w:tc>
          <w:tcPr>
            <w:tcW w:w="7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5"/>
              <w:spacing w:after="0" w:line="146" w:lineRule="exact"/>
              <w:rPr>
                <w:sz w:val="20"/>
                <w:szCs w:val="20"/>
                <w:color w:val="auto"/>
              </w:rPr>
            </w:pPr>
            <w:r>
              <w:rPr>
                <w:rFonts w:ascii="Arial" w:cs="Arial" w:eastAsia="Arial" w:hAnsi="Arial"/>
                <w:sz w:val="14"/>
                <w:szCs w:val="14"/>
                <w:b w:val="1"/>
                <w:bCs w:val="1"/>
                <w:color w:val="auto"/>
              </w:rPr>
              <w:t>Fourth</w:t>
            </w: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Quarter</w:t>
            </w:r>
          </w:p>
        </w:tc>
        <w:tc>
          <w:tcPr>
            <w:tcW w:w="7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Quarter</w:t>
            </w: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Quarter</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jc w:val="right"/>
              <w:ind w:right="196"/>
              <w:spacing w:after="0" w:line="127" w:lineRule="exact"/>
              <w:rPr>
                <w:sz w:val="20"/>
                <w:szCs w:val="20"/>
                <w:color w:val="auto"/>
              </w:rPr>
            </w:pPr>
            <w:r>
              <w:rPr>
                <w:rFonts w:ascii="Arial" w:cs="Arial" w:eastAsia="Arial" w:hAnsi="Arial"/>
                <w:sz w:val="14"/>
                <w:szCs w:val="14"/>
                <w:color w:val="auto"/>
                <w:w w:val="99"/>
              </w:rPr>
              <w:t>Misclass-</w:t>
            </w:r>
          </w:p>
        </w:tc>
        <w:tc>
          <w:tcPr>
            <w:tcW w:w="74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w w:val="98"/>
              </w:rPr>
              <w:t>Restated</w:t>
            </w:r>
          </w:p>
        </w:tc>
        <w:tc>
          <w:tcPr>
            <w:tcW w:w="840" w:type="dxa"/>
            <w:vAlign w:val="bottom"/>
          </w:tcPr>
          <w:p>
            <w:pPr>
              <w:spacing w:after="0"/>
              <w:rPr>
                <w:sz w:val="11"/>
                <w:szCs w:val="11"/>
                <w:color w:val="auto"/>
              </w:rPr>
            </w:pPr>
          </w:p>
        </w:tc>
        <w:tc>
          <w:tcPr>
            <w:tcW w:w="840" w:type="dxa"/>
            <w:vAlign w:val="bottom"/>
          </w:tcPr>
          <w:p>
            <w:pPr>
              <w:jc w:val="right"/>
              <w:ind w:right="175"/>
              <w:spacing w:after="0" w:line="127" w:lineRule="exact"/>
              <w:rPr>
                <w:sz w:val="20"/>
                <w:szCs w:val="20"/>
                <w:color w:val="auto"/>
              </w:rPr>
            </w:pPr>
            <w:r>
              <w:rPr>
                <w:rFonts w:ascii="Arial" w:cs="Arial" w:eastAsia="Arial" w:hAnsi="Arial"/>
                <w:sz w:val="14"/>
                <w:szCs w:val="14"/>
                <w:color w:val="auto"/>
                <w:w w:val="99"/>
              </w:rPr>
              <w:t>Misclass-</w:t>
            </w:r>
          </w:p>
        </w:tc>
        <w:tc>
          <w:tcPr>
            <w:tcW w:w="7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Restated</w:t>
            </w:r>
          </w:p>
        </w:tc>
        <w:tc>
          <w:tcPr>
            <w:tcW w:w="840" w:type="dxa"/>
            <w:vAlign w:val="bottom"/>
          </w:tcPr>
          <w:p>
            <w:pPr>
              <w:spacing w:after="0"/>
              <w:rPr>
                <w:sz w:val="11"/>
                <w:szCs w:val="11"/>
                <w:color w:val="auto"/>
              </w:rPr>
            </w:pPr>
          </w:p>
        </w:tc>
        <w:tc>
          <w:tcPr>
            <w:tcW w:w="840" w:type="dxa"/>
            <w:vAlign w:val="bottom"/>
          </w:tcPr>
          <w:p>
            <w:pPr>
              <w:jc w:val="right"/>
              <w:ind w:right="175"/>
              <w:spacing w:after="0" w:line="127" w:lineRule="exact"/>
              <w:rPr>
                <w:sz w:val="20"/>
                <w:szCs w:val="20"/>
                <w:color w:val="auto"/>
              </w:rPr>
            </w:pPr>
            <w:r>
              <w:rPr>
                <w:rFonts w:ascii="Arial" w:cs="Arial" w:eastAsia="Arial" w:hAnsi="Arial"/>
                <w:sz w:val="14"/>
                <w:szCs w:val="14"/>
                <w:color w:val="auto"/>
                <w:w w:val="99"/>
              </w:rPr>
              <w:t>Misclass-</w:t>
            </w:r>
          </w:p>
        </w:tc>
        <w:tc>
          <w:tcPr>
            <w:tcW w:w="76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Restated</w:t>
            </w:r>
          </w:p>
        </w:tc>
        <w:tc>
          <w:tcPr>
            <w:tcW w:w="820" w:type="dxa"/>
            <w:vAlign w:val="bottom"/>
          </w:tcPr>
          <w:p>
            <w:pPr>
              <w:spacing w:after="0"/>
              <w:rPr>
                <w:sz w:val="11"/>
                <w:szCs w:val="11"/>
                <w:color w:val="auto"/>
              </w:rPr>
            </w:pPr>
          </w:p>
        </w:tc>
        <w:tc>
          <w:tcPr>
            <w:tcW w:w="860" w:type="dxa"/>
            <w:vAlign w:val="bottom"/>
          </w:tcPr>
          <w:p>
            <w:pPr>
              <w:jc w:val="right"/>
              <w:ind w:right="175"/>
              <w:spacing w:after="0" w:line="127" w:lineRule="exact"/>
              <w:rPr>
                <w:sz w:val="20"/>
                <w:szCs w:val="20"/>
                <w:color w:val="auto"/>
              </w:rPr>
            </w:pPr>
            <w:r>
              <w:rPr>
                <w:rFonts w:ascii="Arial" w:cs="Arial" w:eastAsia="Arial" w:hAnsi="Arial"/>
                <w:sz w:val="14"/>
                <w:szCs w:val="14"/>
                <w:color w:val="auto"/>
              </w:rPr>
              <w:t>Misclass-</w:t>
            </w:r>
          </w:p>
        </w:tc>
        <w:tc>
          <w:tcPr>
            <w:tcW w:w="740" w:type="dxa"/>
            <w:vAlign w:val="bottom"/>
            <w:vMerge w:val="restart"/>
          </w:tcPr>
          <w:p>
            <w:pPr>
              <w:jc w:val="right"/>
              <w:ind w:right="138"/>
              <w:spacing w:after="0"/>
              <w:rPr>
                <w:sz w:val="20"/>
                <w:szCs w:val="20"/>
                <w:color w:val="auto"/>
              </w:rPr>
            </w:pPr>
            <w:r>
              <w:rPr>
                <w:rFonts w:ascii="Arial" w:cs="Arial" w:eastAsia="Arial" w:hAnsi="Arial"/>
                <w:sz w:val="12"/>
                <w:szCs w:val="12"/>
                <w:b w:val="1"/>
                <w:bCs w:val="1"/>
                <w:color w:val="auto"/>
              </w:rPr>
              <w:t>Restated</w:t>
            </w:r>
          </w:p>
        </w:tc>
        <w:tc>
          <w:tcPr>
            <w:tcW w:w="0" w:type="dxa"/>
            <w:vAlign w:val="bottom"/>
          </w:tcPr>
          <w:p>
            <w:pPr>
              <w:spacing w:after="0"/>
              <w:rPr>
                <w:sz w:val="1"/>
                <w:szCs w:val="1"/>
                <w:color w:val="auto"/>
              </w:rPr>
            </w:pPr>
          </w:p>
        </w:tc>
      </w:tr>
      <w:tr>
        <w:trPr>
          <w:trHeight w:val="89"/>
        </w:trPr>
        <w:tc>
          <w:tcPr>
            <w:tcW w:w="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60" w:type="dxa"/>
            <w:vAlign w:val="bottom"/>
            <w:vMerge w:val="restart"/>
          </w:tcPr>
          <w:p>
            <w:pPr>
              <w:jc w:val="right"/>
              <w:ind w:right="176"/>
              <w:spacing w:after="0"/>
              <w:rPr>
                <w:sz w:val="20"/>
                <w:szCs w:val="20"/>
                <w:color w:val="auto"/>
              </w:rPr>
            </w:pPr>
            <w:r>
              <w:rPr>
                <w:rFonts w:ascii="Arial" w:cs="Arial" w:eastAsia="Arial" w:hAnsi="Arial"/>
                <w:sz w:val="14"/>
                <w:szCs w:val="14"/>
                <w:color w:val="auto"/>
              </w:rPr>
              <w:t>ification</w:t>
            </w:r>
          </w:p>
        </w:tc>
        <w:tc>
          <w:tcPr>
            <w:tcW w:w="740" w:type="dxa"/>
            <w:vAlign w:val="bottom"/>
            <w:vMerge w:val="continue"/>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40" w:type="dxa"/>
            <w:vAlign w:val="bottom"/>
            <w:vMerge w:val="restart"/>
          </w:tcPr>
          <w:p>
            <w:pPr>
              <w:jc w:val="right"/>
              <w:ind w:right="175"/>
              <w:spacing w:after="0"/>
              <w:rPr>
                <w:sz w:val="20"/>
                <w:szCs w:val="20"/>
                <w:color w:val="auto"/>
              </w:rPr>
            </w:pPr>
            <w:r>
              <w:rPr>
                <w:rFonts w:ascii="Arial" w:cs="Arial" w:eastAsia="Arial" w:hAnsi="Arial"/>
                <w:sz w:val="14"/>
                <w:szCs w:val="14"/>
                <w:color w:val="auto"/>
              </w:rPr>
              <w:t>ification</w:t>
            </w:r>
          </w:p>
        </w:tc>
        <w:tc>
          <w:tcPr>
            <w:tcW w:w="760" w:type="dxa"/>
            <w:vAlign w:val="bottom"/>
            <w:vMerge w:val="continue"/>
          </w:tcPr>
          <w:p>
            <w:pPr>
              <w:spacing w:after="0"/>
              <w:rPr>
                <w:sz w:val="7"/>
                <w:szCs w:val="7"/>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4"/>
                <w:szCs w:val="14"/>
                <w:color w:val="auto"/>
                <w:w w:val="91"/>
              </w:rPr>
              <w:t>As reported</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ification</w:t>
            </w:r>
          </w:p>
        </w:tc>
        <w:tc>
          <w:tcPr>
            <w:tcW w:w="760" w:type="dxa"/>
            <w:vAlign w:val="bottom"/>
            <w:vMerge w:val="continue"/>
          </w:tcPr>
          <w:p>
            <w:pPr>
              <w:spacing w:after="0"/>
              <w:rPr>
                <w:sz w:val="7"/>
                <w:szCs w:val="7"/>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4"/>
                <w:szCs w:val="14"/>
                <w:color w:val="auto"/>
                <w:w w:val="91"/>
              </w:rPr>
              <w:t>As reported</w:t>
            </w:r>
          </w:p>
        </w:tc>
        <w:tc>
          <w:tcPr>
            <w:tcW w:w="860" w:type="dxa"/>
            <w:vAlign w:val="bottom"/>
            <w:vMerge w:val="restart"/>
          </w:tcPr>
          <w:p>
            <w:pPr>
              <w:jc w:val="right"/>
              <w:ind w:right="175"/>
              <w:spacing w:after="0"/>
              <w:rPr>
                <w:sz w:val="20"/>
                <w:szCs w:val="20"/>
                <w:color w:val="auto"/>
              </w:rPr>
            </w:pPr>
            <w:r>
              <w:rPr>
                <w:rFonts w:ascii="Arial" w:cs="Arial" w:eastAsia="Arial" w:hAnsi="Arial"/>
                <w:sz w:val="14"/>
                <w:szCs w:val="14"/>
                <w:color w:val="auto"/>
              </w:rPr>
              <w:t>ification</w:t>
            </w: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0" w:type="dxa"/>
            <w:vAlign w:val="bottom"/>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Total revenue</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46,655</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46,655</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30,102</w:t>
            </w: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30,102</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38,608</w:t>
            </w:r>
          </w:p>
        </w:tc>
        <w:tc>
          <w:tcPr>
            <w:tcW w:w="8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38,608</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63,957</w:t>
            </w:r>
          </w:p>
        </w:tc>
        <w:tc>
          <w:tcPr>
            <w:tcW w:w="8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63,957</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services</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39,239</w:t>
            </w: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2"/>
                <w:szCs w:val="12"/>
                <w:color w:val="auto"/>
              </w:rPr>
              <w:t>(2,101)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37,138</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35,985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34,505</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36,530</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(2,508)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34,022</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2"/>
                <w:szCs w:val="12"/>
                <w:color w:val="auto"/>
              </w:rPr>
              <w:t>72,894</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color w:val="auto"/>
              </w:rPr>
              <w:t>(3,263)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69,631</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Gross (loss) profit</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7,416</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2,101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9,517</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(5,883)</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1,480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(4,403)</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2,078</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2,508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4,586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(8,937)</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3,263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(5,674)</w:t>
            </w:r>
          </w:p>
        </w:tc>
        <w:tc>
          <w:tcPr>
            <w:tcW w:w="0" w:type="dxa"/>
            <w:vAlign w:val="bottom"/>
          </w:tcPr>
          <w:p>
            <w:pPr>
              <w:spacing w:after="0"/>
              <w:rPr>
                <w:sz w:val="1"/>
                <w:szCs w:val="1"/>
                <w:color w:val="auto"/>
              </w:rPr>
            </w:pPr>
          </w:p>
        </w:tc>
      </w:tr>
      <w:tr>
        <w:trPr>
          <w:trHeight w:val="153"/>
        </w:trPr>
        <w:tc>
          <w:tcPr>
            <w:tcW w:w="1520" w:type="dxa"/>
            <w:vAlign w:val="bottom"/>
            <w:gridSpan w:val="2"/>
          </w:tcPr>
          <w:p>
            <w:pPr>
              <w:ind w:left="60"/>
              <w:spacing w:after="0"/>
              <w:rPr>
                <w:sz w:val="20"/>
                <w:szCs w:val="20"/>
                <w:color w:val="auto"/>
              </w:rPr>
            </w:pPr>
            <w:r>
              <w:rPr>
                <w:rFonts w:ascii="Arial" w:cs="Arial" w:eastAsia="Arial" w:hAnsi="Arial"/>
                <w:sz w:val="12"/>
                <w:szCs w:val="12"/>
                <w:color w:val="auto"/>
                <w:w w:val="98"/>
              </w:rPr>
              <w:t>Research and development</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13,096</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13,096</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9,361</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9,361</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19,083</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19,083</w:t>
            </w:r>
          </w:p>
        </w:tc>
        <w:tc>
          <w:tcPr>
            <w:tcW w:w="820" w:type="dxa"/>
            <w:vAlign w:val="bottom"/>
          </w:tcPr>
          <w:p>
            <w:pPr>
              <w:jc w:val="right"/>
              <w:ind w:right="37"/>
              <w:spacing w:after="0"/>
              <w:rPr>
                <w:sz w:val="20"/>
                <w:szCs w:val="20"/>
                <w:color w:val="auto"/>
              </w:rPr>
            </w:pPr>
            <w:r>
              <w:rPr>
                <w:rFonts w:ascii="Arial" w:cs="Arial" w:eastAsia="Arial" w:hAnsi="Arial"/>
                <w:sz w:val="12"/>
                <w:szCs w:val="12"/>
                <w:color w:val="auto"/>
              </w:rPr>
              <w:t>31,160</w:t>
            </w:r>
          </w:p>
        </w:tc>
        <w:tc>
          <w:tcPr>
            <w:tcW w:w="86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31,160</w:t>
            </w:r>
          </w:p>
        </w:tc>
        <w:tc>
          <w:tcPr>
            <w:tcW w:w="0" w:type="dxa"/>
            <w:vAlign w:val="bottom"/>
          </w:tcPr>
          <w:p>
            <w:pPr>
              <w:spacing w:after="0"/>
              <w:rPr>
                <w:sz w:val="1"/>
                <w:szCs w:val="1"/>
                <w:color w:val="auto"/>
              </w:rPr>
            </w:pPr>
          </w:p>
        </w:tc>
      </w:tr>
      <w:tr>
        <w:trPr>
          <w:trHeight w:val="184"/>
        </w:trPr>
        <w:tc>
          <w:tcPr>
            <w:tcW w:w="60" w:type="dxa"/>
            <w:vAlign w:val="bottom"/>
          </w:tcPr>
          <w:p>
            <w:pPr>
              <w:spacing w:after="0"/>
              <w:rPr>
                <w:sz w:val="16"/>
                <w:szCs w:val="16"/>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Selling and marketing</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11,733</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2"/>
                <w:szCs w:val="12"/>
                <w:color w:val="auto"/>
              </w:rPr>
              <w:t>2,101</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13,834</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8,686</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1,480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10,166</w:t>
            </w: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12,735</w:t>
            </w:r>
          </w:p>
        </w:tc>
        <w:tc>
          <w:tcPr>
            <w:tcW w:w="84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2,508</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15,243</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2"/>
                <w:szCs w:val="12"/>
                <w:color w:val="auto"/>
              </w:rPr>
              <w:t>20,677</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2"/>
                <w:szCs w:val="12"/>
                <w:color w:val="auto"/>
              </w:rPr>
              <w:t>3,263</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23,940</w:t>
            </w:r>
          </w:p>
        </w:tc>
        <w:tc>
          <w:tcPr>
            <w:tcW w:w="0" w:type="dxa"/>
            <w:vAlign w:val="bottom"/>
          </w:tcPr>
          <w:p>
            <w:pPr>
              <w:spacing w:after="0"/>
              <w:rPr>
                <w:sz w:val="1"/>
                <w:szCs w:val="1"/>
                <w:color w:val="auto"/>
              </w:rPr>
            </w:pPr>
          </w:p>
        </w:tc>
      </w:tr>
      <w:tr>
        <w:trPr>
          <w:trHeight w:val="180"/>
        </w:trPr>
        <w:tc>
          <w:tcPr>
            <w:tcW w:w="1520" w:type="dxa"/>
            <w:vAlign w:val="bottom"/>
            <w:gridSpan w:val="2"/>
          </w:tcPr>
          <w:p>
            <w:pPr>
              <w:ind w:left="60"/>
              <w:spacing w:after="0"/>
              <w:rPr>
                <w:sz w:val="20"/>
                <w:szCs w:val="20"/>
                <w:color w:val="auto"/>
              </w:rPr>
            </w:pPr>
            <w:r>
              <w:rPr>
                <w:rFonts w:ascii="Arial" w:cs="Arial" w:eastAsia="Arial" w:hAnsi="Arial"/>
                <w:sz w:val="12"/>
                <w:szCs w:val="12"/>
                <w:color w:val="auto"/>
              </w:rPr>
              <w:t>General and administrative</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7,164</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7,164</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8,121</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8,121</w:t>
            </w:r>
          </w:p>
        </w:tc>
        <w:tc>
          <w:tcPr>
            <w:tcW w:w="840" w:type="dxa"/>
            <w:vAlign w:val="bottom"/>
          </w:tcPr>
          <w:p>
            <w:pPr>
              <w:jc w:val="right"/>
              <w:ind w:right="37"/>
              <w:spacing w:after="0"/>
              <w:rPr>
                <w:sz w:val="20"/>
                <w:szCs w:val="20"/>
                <w:color w:val="auto"/>
              </w:rPr>
            </w:pPr>
            <w:r>
              <w:rPr>
                <w:rFonts w:ascii="Arial" w:cs="Arial" w:eastAsia="Arial" w:hAnsi="Arial"/>
                <w:sz w:val="12"/>
                <w:szCs w:val="12"/>
                <w:color w:val="auto"/>
              </w:rPr>
              <w:t>24,342</w:t>
            </w: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24,342</w:t>
            </w:r>
          </w:p>
        </w:tc>
        <w:tc>
          <w:tcPr>
            <w:tcW w:w="820" w:type="dxa"/>
            <w:vAlign w:val="bottom"/>
          </w:tcPr>
          <w:p>
            <w:pPr>
              <w:jc w:val="right"/>
              <w:ind w:right="37"/>
              <w:spacing w:after="0"/>
              <w:rPr>
                <w:sz w:val="20"/>
                <w:szCs w:val="20"/>
                <w:color w:val="auto"/>
              </w:rPr>
            </w:pPr>
            <w:r>
              <w:rPr>
                <w:rFonts w:ascii="Arial" w:cs="Arial" w:eastAsia="Arial" w:hAnsi="Arial"/>
                <w:sz w:val="12"/>
                <w:szCs w:val="12"/>
                <w:color w:val="auto"/>
              </w:rPr>
              <w:t>61,115</w:t>
            </w:r>
          </w:p>
        </w:tc>
        <w:tc>
          <w:tcPr>
            <w:tcW w:w="860" w:type="dxa"/>
            <w:vAlign w:val="bottom"/>
          </w:tcPr>
          <w:p>
            <w:pPr>
              <w:jc w:val="right"/>
              <w:ind w:right="35"/>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61,115</w:t>
            </w: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2"/>
                <w:szCs w:val="12"/>
                <w:color w:val="auto"/>
              </w:rPr>
              <w:t>Related party expenses</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2,195</w:t>
            </w:r>
          </w:p>
        </w:tc>
        <w:tc>
          <w:tcPr>
            <w:tcW w:w="8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2,195</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2,111</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2,111</w:t>
            </w:r>
          </w:p>
        </w:tc>
        <w:tc>
          <w:tcPr>
            <w:tcW w:w="8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1,933</w:t>
            </w:r>
          </w:p>
        </w:tc>
        <w:tc>
          <w:tcPr>
            <w:tcW w:w="8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1,933</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3,156</w:t>
            </w:r>
          </w:p>
        </w:tc>
        <w:tc>
          <w:tcPr>
            <w:tcW w:w="8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3,156</w:t>
            </w:r>
          </w:p>
        </w:tc>
        <w:tc>
          <w:tcPr>
            <w:tcW w:w="0" w:type="dxa"/>
            <w:vAlign w:val="bottom"/>
          </w:tcPr>
          <w:p>
            <w:pPr>
              <w:spacing w:after="0"/>
              <w:rPr>
                <w:sz w:val="1"/>
                <w:szCs w:val="1"/>
                <w:color w:val="auto"/>
              </w:rPr>
            </w:pPr>
          </w:p>
        </w:tc>
      </w:tr>
      <w:tr>
        <w:trPr>
          <w:trHeight w:val="159"/>
        </w:trPr>
        <w:tc>
          <w:tcPr>
            <w:tcW w:w="15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(26,772)</w:t>
            </w:r>
          </w:p>
        </w:tc>
        <w:tc>
          <w:tcPr>
            <w:tcW w:w="860" w:type="dxa"/>
            <w:vAlign w:val="bottom"/>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(26,772)</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(34,162)</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(34,162)</w:t>
            </w:r>
          </w:p>
        </w:tc>
        <w:tc>
          <w:tcPr>
            <w:tcW w:w="840" w:type="dxa"/>
            <w:vAlign w:val="bottom"/>
          </w:tcPr>
          <w:p>
            <w:pPr>
              <w:jc w:val="right"/>
              <w:ind w:right="17"/>
              <w:spacing w:after="0"/>
              <w:rPr>
                <w:sz w:val="20"/>
                <w:szCs w:val="20"/>
                <w:color w:val="auto"/>
              </w:rPr>
            </w:pPr>
            <w:r>
              <w:rPr>
                <w:rFonts w:ascii="Arial" w:cs="Arial" w:eastAsia="Arial" w:hAnsi="Arial"/>
                <w:sz w:val="12"/>
                <w:szCs w:val="12"/>
                <w:color w:val="auto"/>
              </w:rPr>
              <w:t>(56,015)</w:t>
            </w:r>
          </w:p>
        </w:tc>
        <w:tc>
          <w:tcPr>
            <w:tcW w:w="84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(56,015)</w:t>
            </w:r>
          </w:p>
        </w:tc>
        <w:tc>
          <w:tcPr>
            <w:tcW w:w="820" w:type="dxa"/>
            <w:vAlign w:val="bottom"/>
          </w:tcPr>
          <w:p>
            <w:pPr>
              <w:jc w:val="right"/>
              <w:spacing w:after="0"/>
              <w:rPr>
                <w:sz w:val="20"/>
                <w:szCs w:val="20"/>
                <w:color w:val="auto"/>
              </w:rPr>
            </w:pPr>
            <w:r>
              <w:rPr>
                <w:rFonts w:ascii="Arial" w:cs="Arial" w:eastAsia="Arial" w:hAnsi="Arial"/>
                <w:sz w:val="12"/>
                <w:szCs w:val="12"/>
                <w:color w:val="auto"/>
              </w:rPr>
              <w:t>(125,045)</w:t>
            </w:r>
          </w:p>
        </w:tc>
        <w:tc>
          <w:tcPr>
            <w:tcW w:w="860" w:type="dxa"/>
            <w:vAlign w:val="bottom"/>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(125,045)</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other income, net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(218)</w:t>
            </w:r>
          </w:p>
        </w:tc>
        <w:tc>
          <w:tcPr>
            <w:tcW w:w="8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(218)</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2"/>
                <w:szCs w:val="12"/>
                <w:color w:val="auto"/>
              </w:rPr>
              <w:t>2,110</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2,110</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2"/>
                <w:szCs w:val="12"/>
                <w:color w:val="auto"/>
              </w:rPr>
              <w:t>(600)</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(600)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(638)</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(638)</w:t>
            </w:r>
          </w:p>
        </w:tc>
        <w:tc>
          <w:tcPr>
            <w:tcW w:w="0" w:type="dxa"/>
            <w:vAlign w:val="bottom"/>
          </w:tcPr>
          <w:p>
            <w:pPr>
              <w:spacing w:after="0"/>
              <w:rPr>
                <w:sz w:val="1"/>
                <w:szCs w:val="1"/>
                <w:color w:val="auto"/>
              </w:rPr>
            </w:pPr>
          </w:p>
        </w:tc>
      </w:tr>
      <w:tr>
        <w:trPr>
          <w:trHeight w:val="99"/>
        </w:trPr>
        <w:tc>
          <w:tcPr>
            <w:tcW w:w="1520" w:type="dxa"/>
            <w:vAlign w:val="bottom"/>
            <w:gridSpan w:val="2"/>
          </w:tcPr>
          <w:p>
            <w:pPr>
              <w:spacing w:after="0" w:line="100" w:lineRule="exact"/>
              <w:rPr>
                <w:sz w:val="20"/>
                <w:szCs w:val="20"/>
                <w:color w:val="auto"/>
              </w:rPr>
            </w:pPr>
            <w:r>
              <w:rPr>
                <w:rFonts w:ascii="Arial" w:cs="Arial" w:eastAsia="Arial" w:hAnsi="Arial"/>
                <w:sz w:val="11"/>
                <w:szCs w:val="11"/>
                <w:color w:val="auto"/>
              </w:rPr>
              <w:t>Net loss and</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(26,990)</w:t>
            </w:r>
          </w:p>
        </w:tc>
        <w:tc>
          <w:tcPr>
            <w:tcW w:w="860" w:type="dxa"/>
            <w:vAlign w:val="bottom"/>
            <w:vMerge w:val="restart"/>
          </w:tcPr>
          <w:p>
            <w:pPr>
              <w:jc w:val="right"/>
              <w:ind w:right="56"/>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(26,990)</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(32,052)</w:t>
            </w:r>
          </w:p>
        </w:tc>
        <w:tc>
          <w:tcPr>
            <w:tcW w:w="84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(32,052)</w:t>
            </w:r>
          </w:p>
        </w:tc>
        <w:tc>
          <w:tcPr>
            <w:tcW w:w="840" w:type="dxa"/>
            <w:vAlign w:val="bottom"/>
            <w:vMerge w:val="restart"/>
          </w:tcPr>
          <w:p>
            <w:pPr>
              <w:jc w:val="right"/>
              <w:ind w:right="17"/>
              <w:spacing w:after="0"/>
              <w:rPr>
                <w:sz w:val="20"/>
                <w:szCs w:val="20"/>
                <w:color w:val="auto"/>
              </w:rPr>
            </w:pPr>
            <w:r>
              <w:rPr>
                <w:rFonts w:ascii="Arial" w:cs="Arial" w:eastAsia="Arial" w:hAnsi="Arial"/>
                <w:sz w:val="12"/>
                <w:szCs w:val="12"/>
                <w:color w:val="auto"/>
              </w:rPr>
              <w:t>(56,615)</w:t>
            </w:r>
          </w:p>
        </w:tc>
        <w:tc>
          <w:tcPr>
            <w:tcW w:w="84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(56,615)</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(125,683)</w:t>
            </w:r>
          </w:p>
        </w:tc>
        <w:tc>
          <w:tcPr>
            <w:tcW w:w="860" w:type="dxa"/>
            <w:vAlign w:val="bottom"/>
            <w:vMerge w:val="restart"/>
          </w:tcPr>
          <w:p>
            <w:pPr>
              <w:jc w:val="right"/>
              <w:ind w:right="35"/>
              <w:spacing w:after="0"/>
              <w:rPr>
                <w:sz w:val="20"/>
                <w:szCs w:val="20"/>
                <w:color w:val="auto"/>
              </w:rPr>
            </w:pPr>
            <w:r>
              <w:rPr>
                <w:rFonts w:ascii="Arial" w:cs="Arial" w:eastAsia="Arial" w:hAnsi="Arial"/>
                <w:sz w:val="12"/>
                <w:szCs w:val="12"/>
                <w:color w:val="auto"/>
              </w:rPr>
              <w:t>—</w:t>
            </w: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(125,683)</w:t>
            </w:r>
          </w:p>
        </w:tc>
        <w:tc>
          <w:tcPr>
            <w:tcW w:w="0" w:type="dxa"/>
            <w:vAlign w:val="bottom"/>
          </w:tcPr>
          <w:p>
            <w:pPr>
              <w:spacing w:after="0"/>
              <w:rPr>
                <w:sz w:val="1"/>
                <w:szCs w:val="1"/>
                <w:color w:val="auto"/>
              </w:rPr>
            </w:pPr>
          </w:p>
        </w:tc>
      </w:tr>
      <w:tr>
        <w:trPr>
          <w:trHeight w:val="151"/>
        </w:trPr>
        <w:tc>
          <w:tcPr>
            <w:tcW w:w="60" w:type="dxa"/>
            <w:vAlign w:val="bottom"/>
          </w:tcPr>
          <w:p>
            <w:pPr>
              <w:spacing w:after="0"/>
              <w:rPr>
                <w:sz w:val="12"/>
                <w:szCs w:val="12"/>
                <w:color w:val="auto"/>
              </w:rPr>
            </w:pPr>
          </w:p>
        </w:tc>
        <w:tc>
          <w:tcPr>
            <w:tcW w:w="1460" w:type="dxa"/>
            <w:vAlign w:val="bottom"/>
          </w:tcPr>
          <w:p>
            <w:pPr>
              <w:ind w:left="20"/>
              <w:spacing w:after="0"/>
              <w:rPr>
                <w:sz w:val="20"/>
                <w:szCs w:val="20"/>
                <w:color w:val="auto"/>
              </w:rPr>
            </w:pPr>
            <w:r>
              <w:rPr>
                <w:rFonts w:ascii="Arial" w:cs="Arial" w:eastAsia="Arial" w:hAnsi="Arial"/>
                <w:sz w:val="12"/>
                <w:szCs w:val="12"/>
                <w:color w:val="auto"/>
              </w:rPr>
              <w:t>comprehensive loss</w:t>
            </w:r>
          </w:p>
        </w:tc>
        <w:tc>
          <w:tcPr>
            <w:tcW w:w="8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00"/>
          </w:cols>
          <w:pgMar w:left="240" w:top="127" w:right="359" w:bottom="1440" w:gutter="0" w:footer="0" w:header="0"/>
        </w:sectPr>
      </w:pPr>
    </w:p>
    <w:bookmarkStart w:id="119" w:name="page120"/>
    <w:bookmarkEnd w:id="1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adjustments also affected certain current asset and liability accounts previously reported in the condensed balance sheets as of March 31, 2021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condensed consolidated balance sheets as of September 30, 2021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20" w:type="dxa"/>
            <w:vAlign w:val="bottom"/>
            <w:tcBorders>
              <w:bottom w:val="single" w:sz="8" w:color="auto"/>
            </w:tcBorders>
            <w:gridSpan w:val="2"/>
          </w:tcPr>
          <w:p>
            <w:pPr>
              <w:jc w:val="center"/>
              <w:ind w:left="689"/>
              <w:spacing w:after="0"/>
              <w:rPr>
                <w:sz w:val="20"/>
                <w:szCs w:val="20"/>
                <w:color w:val="auto"/>
              </w:rPr>
            </w:pPr>
            <w:r>
              <w:rPr>
                <w:rFonts w:ascii="Arial" w:cs="Arial" w:eastAsia="Arial" w:hAnsi="Arial"/>
                <w:sz w:val="14"/>
                <w:szCs w:val="14"/>
                <w:b w:val="1"/>
                <w:bCs w:val="1"/>
                <w:color w:val="auto"/>
                <w:w w:val="94"/>
              </w:rPr>
              <w:t>March 31, 2021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June 30, 2021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auto"/>
              </w:rPr>
              <w:t>As reported</w:t>
            </w:r>
          </w:p>
        </w:tc>
        <w:tc>
          <w:tcPr>
            <w:tcW w:w="860" w:type="dxa"/>
            <w:vAlign w:val="bottom"/>
          </w:tcPr>
          <w:p>
            <w:pPr>
              <w:jc w:val="center"/>
              <w:ind w:right="129"/>
              <w:spacing w:after="0" w:line="131" w:lineRule="exact"/>
              <w:rPr>
                <w:sz w:val="20"/>
                <w:szCs w:val="20"/>
                <w:color w:val="auto"/>
              </w:rPr>
            </w:pPr>
            <w:r>
              <w:rPr>
                <w:rFonts w:ascii="Arial" w:cs="Arial" w:eastAsia="Arial" w:hAnsi="Arial"/>
                <w:sz w:val="14"/>
                <w:szCs w:val="14"/>
                <w:color w:val="auto"/>
                <w:w w:val="96"/>
              </w:rPr>
              <w:t>Adjust-</w:t>
            </w: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Restated</w:t>
            </w:r>
          </w:p>
        </w:tc>
        <w:tc>
          <w:tcPr>
            <w:tcW w:w="860" w:type="dxa"/>
            <w:vAlign w:val="bottom"/>
            <w:vMerge w:val="restart"/>
          </w:tcPr>
          <w:p>
            <w:pPr>
              <w:jc w:val="right"/>
              <w:ind w:right="29"/>
              <w:spacing w:after="0"/>
              <w:rPr>
                <w:sz w:val="20"/>
                <w:szCs w:val="20"/>
                <w:color w:val="auto"/>
              </w:rPr>
            </w:pPr>
            <w:r>
              <w:rPr>
                <w:rFonts w:ascii="Arial" w:cs="Arial" w:eastAsia="Arial" w:hAnsi="Arial"/>
                <w:sz w:val="14"/>
                <w:szCs w:val="14"/>
                <w:color w:val="auto"/>
              </w:rPr>
              <w:t>As reported</w:t>
            </w:r>
          </w:p>
        </w:tc>
        <w:tc>
          <w:tcPr>
            <w:tcW w:w="940" w:type="dxa"/>
            <w:vAlign w:val="bottom"/>
          </w:tcPr>
          <w:p>
            <w:pPr>
              <w:jc w:val="right"/>
              <w:ind w:right="229"/>
              <w:spacing w:after="0" w:line="131" w:lineRule="exact"/>
              <w:rPr>
                <w:sz w:val="20"/>
                <w:szCs w:val="20"/>
                <w:color w:val="auto"/>
              </w:rPr>
            </w:pPr>
            <w:r>
              <w:rPr>
                <w:rFonts w:ascii="Arial" w:cs="Arial" w:eastAsia="Arial" w:hAnsi="Arial"/>
                <w:sz w:val="14"/>
                <w:szCs w:val="14"/>
                <w:color w:val="auto"/>
              </w:rPr>
              <w:t>Adjust-</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Restated</w:t>
            </w: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As reported</w:t>
            </w:r>
          </w:p>
        </w:tc>
        <w:tc>
          <w:tcPr>
            <w:tcW w:w="1000" w:type="dxa"/>
            <w:vAlign w:val="bottom"/>
            <w:vMerge w:val="restart"/>
          </w:tcPr>
          <w:p>
            <w:pPr>
              <w:jc w:val="right"/>
              <w:ind w:right="169"/>
              <w:spacing w:after="0"/>
              <w:rPr>
                <w:sz w:val="20"/>
                <w:szCs w:val="20"/>
                <w:color w:val="auto"/>
              </w:rPr>
            </w:pPr>
            <w:r>
              <w:rPr>
                <w:rFonts w:ascii="Arial" w:cs="Arial" w:eastAsia="Arial" w:hAnsi="Arial"/>
                <w:sz w:val="14"/>
                <w:szCs w:val="14"/>
                <w:color w:val="auto"/>
                <w:w w:val="99"/>
              </w:rPr>
              <w:t>Adjust-ment</w:t>
            </w:r>
          </w:p>
        </w:tc>
        <w:tc>
          <w:tcPr>
            <w:tcW w:w="70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tcPr>
          <w:p>
            <w:pPr>
              <w:jc w:val="center"/>
              <w:ind w:right="109"/>
              <w:spacing w:after="0"/>
              <w:rPr>
                <w:sz w:val="20"/>
                <w:szCs w:val="20"/>
                <w:color w:val="auto"/>
              </w:rPr>
            </w:pPr>
            <w:r>
              <w:rPr>
                <w:rFonts w:ascii="Arial" w:cs="Arial" w:eastAsia="Arial" w:hAnsi="Arial"/>
                <w:sz w:val="14"/>
                <w:szCs w:val="14"/>
                <w:color w:val="auto"/>
                <w:w w:val="89"/>
              </w:rPr>
              <w:t>ment</w:t>
            </w:r>
          </w:p>
        </w:tc>
        <w:tc>
          <w:tcPr>
            <w:tcW w:w="86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40" w:type="dxa"/>
            <w:vAlign w:val="bottom"/>
          </w:tcPr>
          <w:p>
            <w:pPr>
              <w:jc w:val="right"/>
              <w:ind w:right="309"/>
              <w:spacing w:after="0"/>
              <w:rPr>
                <w:sz w:val="20"/>
                <w:szCs w:val="20"/>
                <w:color w:val="auto"/>
              </w:rPr>
            </w:pPr>
            <w:r>
              <w:rPr>
                <w:rFonts w:ascii="Arial" w:cs="Arial" w:eastAsia="Arial" w:hAnsi="Arial"/>
                <w:sz w:val="14"/>
                <w:szCs w:val="14"/>
                <w:color w:val="auto"/>
              </w:rPr>
              <w:t>ment</w:t>
            </w:r>
          </w:p>
        </w:tc>
        <w:tc>
          <w:tcPr>
            <w:tcW w:w="8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58,652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58,652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26,501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461,276</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461,276</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Accounts receivable</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33,490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(150)</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33,340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24,568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24,568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21,257</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21,257</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from related parties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349</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413</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Inventory</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32,969</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32,969</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29,128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29,128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31,174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31,174</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15,070</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14,931</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18,378</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24,391</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24,391</w:t>
            </w:r>
          </w:p>
        </w:tc>
        <w:tc>
          <w:tcPr>
            <w:tcW w:w="0" w:type="dxa"/>
            <w:vAlign w:val="bottom"/>
          </w:tcPr>
          <w:p>
            <w:pPr>
              <w:spacing w:after="0"/>
              <w:rPr>
                <w:sz w:val="1"/>
                <w:szCs w:val="1"/>
                <w:color w:val="auto"/>
              </w:rPr>
            </w:pPr>
          </w:p>
        </w:tc>
      </w:tr>
      <w:tr>
        <w:trPr>
          <w:trHeight w:val="178"/>
        </w:trPr>
        <w:tc>
          <w:tcPr>
            <w:tcW w:w="3160" w:type="dxa"/>
            <w:vAlign w:val="bottom"/>
          </w:tcPr>
          <w:p>
            <w:pPr>
              <w:ind w:left="340"/>
              <w:spacing w:after="0"/>
              <w:rPr>
                <w:sz w:val="20"/>
                <w:szCs w:val="20"/>
                <w:color w:val="auto"/>
              </w:rPr>
            </w:pPr>
            <w:r>
              <w:rPr>
                <w:rFonts w:ascii="Arial" w:cs="Arial" w:eastAsia="Arial" w:hAnsi="Arial"/>
                <w:sz w:val="14"/>
                <w:szCs w:val="14"/>
                <w:color w:val="auto"/>
              </w:rPr>
              <w:t>Total current assets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140,530</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140,241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99,012</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99,012</w:t>
            </w: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538,511</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538,511</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64,632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64,632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62,097</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60,333</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60,333</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10,828</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10,828</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10,828</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900</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900</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3,596</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3,596</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3,613</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3,613</w:t>
            </w:r>
          </w:p>
        </w:tc>
        <w:tc>
          <w:tcPr>
            <w:tcW w:w="0" w:type="dxa"/>
            <w:vAlign w:val="bottom"/>
          </w:tcPr>
          <w:p>
            <w:pPr>
              <w:spacing w:after="0"/>
              <w:rPr>
                <w:sz w:val="1"/>
                <w:szCs w:val="1"/>
                <w:color w:val="auto"/>
              </w:rPr>
            </w:pPr>
          </w:p>
        </w:tc>
      </w:tr>
      <w:tr>
        <w:trPr>
          <w:trHeight w:val="180"/>
        </w:trPr>
        <w:tc>
          <w:tcPr>
            <w:tcW w:w="3160" w:type="dxa"/>
            <w:vAlign w:val="bottom"/>
          </w:tcPr>
          <w:p>
            <w:pPr>
              <w:ind w:left="340"/>
              <w:spacing w:after="0"/>
              <w:rPr>
                <w:sz w:val="20"/>
                <w:szCs w:val="20"/>
                <w:color w:val="auto"/>
              </w:rPr>
            </w:pPr>
            <w:r>
              <w:rPr>
                <w:rFonts w:ascii="Arial" w:cs="Arial" w:eastAsia="Arial" w:hAnsi="Arial"/>
                <w:sz w:val="14"/>
                <w:szCs w:val="14"/>
                <w:color w:val="auto"/>
              </w:rPr>
              <w:t>Total assets</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219,586</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175,533</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603,357</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39"/>
        </w:trPr>
        <w:tc>
          <w:tcPr>
            <w:tcW w:w="31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5840" w:type="dxa"/>
            <w:vAlign w:val="bottom"/>
            <w:gridSpan w:val="5"/>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9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Accounts payable and accrued expenses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41,609</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42,102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43,650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45,231</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43,079</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43,321</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Due to related parties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797</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1,425</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1,425</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Current contract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2,810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2,810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1,341</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1,341</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493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current liabilities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22,991</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22,991</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24,764</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26,369</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26,369</w:t>
            </w:r>
          </w:p>
        </w:tc>
        <w:tc>
          <w:tcPr>
            <w:tcW w:w="0" w:type="dxa"/>
            <w:vAlign w:val="bottom"/>
          </w:tcPr>
          <w:p>
            <w:pPr>
              <w:spacing w:after="0"/>
              <w:rPr>
                <w:sz w:val="1"/>
                <w:szCs w:val="1"/>
                <w:color w:val="auto"/>
              </w:rPr>
            </w:pPr>
          </w:p>
        </w:tc>
      </w:tr>
      <w:tr>
        <w:trPr>
          <w:trHeight w:val="178"/>
        </w:trPr>
        <w:tc>
          <w:tcPr>
            <w:tcW w:w="3160" w:type="dxa"/>
            <w:vAlign w:val="bottom"/>
          </w:tcPr>
          <w:p>
            <w:pPr>
              <w:ind w:left="340"/>
              <w:spacing w:after="0"/>
              <w:rPr>
                <w:sz w:val="20"/>
                <w:szCs w:val="20"/>
                <w:color w:val="auto"/>
              </w:rPr>
            </w:pPr>
            <w:r>
              <w:rPr>
                <w:rFonts w:ascii="Arial" w:cs="Arial" w:eastAsia="Arial" w:hAnsi="Arial"/>
                <w:sz w:val="14"/>
                <w:szCs w:val="14"/>
                <w:color w:val="auto"/>
              </w:rPr>
              <w:t>Total current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68,207</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68,700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71,033</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72,614</w:t>
            </w: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71,366</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71,608</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18,502</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18,502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18,028</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11,000</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Stock-based compensation liabilities</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296,952</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296,952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295,049</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295,049</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46,629</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46,629</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Earn-out contingent liability</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61,400</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61,400</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22,530</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22,530</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21,699</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21,699</w:t>
            </w:r>
          </w:p>
        </w:tc>
        <w:tc>
          <w:tcPr>
            <w:tcW w:w="0" w:type="dxa"/>
            <w:vAlign w:val="bottom"/>
          </w:tcPr>
          <w:p>
            <w:pPr>
              <w:spacing w:after="0"/>
              <w:rPr>
                <w:sz w:val="1"/>
                <w:szCs w:val="1"/>
                <w:color w:val="auto"/>
              </w:rPr>
            </w:pPr>
          </w:p>
        </w:tc>
      </w:tr>
      <w:tr>
        <w:trPr>
          <w:trHeight w:val="180"/>
        </w:trPr>
        <w:tc>
          <w:tcPr>
            <w:tcW w:w="3160" w:type="dxa"/>
            <w:vAlign w:val="bottom"/>
          </w:tcPr>
          <w:p>
            <w:pPr>
              <w:ind w:left="340"/>
              <w:spacing w:after="0"/>
              <w:rPr>
                <w:sz w:val="20"/>
                <w:szCs w:val="20"/>
                <w:color w:val="auto"/>
              </w:rPr>
            </w:pPr>
            <w:r>
              <w:rPr>
                <w:rFonts w:ascii="Arial" w:cs="Arial" w:eastAsia="Arial" w:hAnsi="Arial"/>
                <w:sz w:val="14"/>
                <w:szCs w:val="14"/>
                <w:color w:val="auto"/>
              </w:rPr>
              <w:t>Total liabilities</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406,191</w:t>
            </w: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406,684</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406,017</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407,598</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212,094</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212,336</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Series A-1 redeemable convertible 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51,811</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51,811</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51,811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w w:val="94"/>
              </w:rPr>
              <w:t>Series A-2 redeemable convertible preferred stock</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46,480</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46,480</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46,480</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Series B redeemable convertible 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118,824</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118,824</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118,824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8"/>
              </w:rPr>
              <w:t>Series C redeemable convertible preferred stock</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117,324</w:t>
            </w: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117,324</w:t>
            </w:r>
          </w:p>
        </w:tc>
        <w:tc>
          <w:tcPr>
            <w:tcW w:w="9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117,324</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0"/>
        </w:trPr>
        <w:tc>
          <w:tcPr>
            <w:tcW w:w="31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convertible preferred stock</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334,439</w:t>
            </w:r>
          </w:p>
        </w:tc>
        <w:tc>
          <w:tcPr>
            <w:tcW w:w="8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334,439</w:t>
            </w:r>
          </w:p>
        </w:tc>
        <w:tc>
          <w:tcPr>
            <w:tcW w:w="9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334,439</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Stockholders’ equity (deficit):</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convertible common stock</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1,483</w:t>
            </w:r>
          </w:p>
        </w:tc>
        <w:tc>
          <w:tcPr>
            <w:tcW w:w="9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1,483</w:t>
            </w:r>
          </w:p>
        </w:tc>
        <w:tc>
          <w:tcPr>
            <w:tcW w:w="10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926,253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926,253</w:t>
            </w:r>
          </w:p>
        </w:tc>
        <w:tc>
          <w:tcPr>
            <w:tcW w:w="0" w:type="dxa"/>
            <w:vAlign w:val="bottom"/>
          </w:tcPr>
          <w:p>
            <w:pPr>
              <w:spacing w:after="0"/>
              <w:rPr>
                <w:sz w:val="1"/>
                <w:szCs w:val="1"/>
                <w:color w:val="auto"/>
              </w:rPr>
            </w:pPr>
          </w:p>
        </w:tc>
      </w:tr>
      <w:tr>
        <w:trPr>
          <w:trHeight w:val="186"/>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(521,044)</w:t>
            </w: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(566,406)</w:t>
            </w:r>
          </w:p>
        </w:tc>
        <w:tc>
          <w:tcPr>
            <w:tcW w:w="9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(535,014)</w:t>
            </w:r>
          </w:p>
        </w:tc>
        <w:tc>
          <w:tcPr>
            <w:tcW w:w="10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(535,256)</w:t>
            </w: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(deficit) equity</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(521,044)</w:t>
            </w:r>
          </w:p>
        </w:tc>
        <w:tc>
          <w:tcPr>
            <w:tcW w:w="8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(782)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(521,826)</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(564,923)</w:t>
            </w:r>
          </w:p>
        </w:tc>
        <w:tc>
          <w:tcPr>
            <w:tcW w:w="9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(1,581)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391,263</w:t>
            </w:r>
          </w:p>
        </w:tc>
        <w:tc>
          <w:tcPr>
            <w:tcW w:w="10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391,021</w:t>
            </w:r>
          </w:p>
        </w:tc>
        <w:tc>
          <w:tcPr>
            <w:tcW w:w="0" w:type="dxa"/>
            <w:vAlign w:val="bottom"/>
          </w:tcPr>
          <w:p>
            <w:pPr>
              <w:spacing w:after="0"/>
              <w:rPr>
                <w:sz w:val="1"/>
                <w:szCs w:val="1"/>
                <w:color w:val="auto"/>
              </w:rPr>
            </w:pPr>
          </w:p>
        </w:tc>
      </w:tr>
      <w:tr>
        <w:trPr>
          <w:trHeight w:val="113"/>
        </w:trPr>
        <w:tc>
          <w:tcPr>
            <w:tcW w:w="3160" w:type="dxa"/>
            <w:vAlign w:val="bottom"/>
            <w:shd w:val="clear" w:color="auto" w:fill="CCEEFF"/>
          </w:tcPr>
          <w:p>
            <w:pPr>
              <w:ind w:left="180"/>
              <w:spacing w:after="0" w:line="113" w:lineRule="exact"/>
              <w:rPr>
                <w:sz w:val="20"/>
                <w:szCs w:val="20"/>
                <w:color w:val="auto"/>
              </w:rPr>
            </w:pPr>
            <w:r>
              <w:rPr>
                <w:rFonts w:ascii="Arial" w:cs="Arial" w:eastAsia="Arial" w:hAnsi="Arial"/>
                <w:sz w:val="13"/>
                <w:szCs w:val="13"/>
                <w:color w:val="auto"/>
              </w:rPr>
              <w:t>Total liabilities, redeemable convertible preferred</w:t>
            </w:r>
          </w:p>
        </w:tc>
        <w:tc>
          <w:tcPr>
            <w:tcW w:w="96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219,586</w:t>
            </w:r>
          </w:p>
        </w:tc>
        <w:tc>
          <w:tcPr>
            <w:tcW w:w="8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(289)</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219,297</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175,533</w:t>
            </w:r>
          </w:p>
        </w:tc>
        <w:tc>
          <w:tcPr>
            <w:tcW w:w="94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175,533</w:t>
            </w:r>
          </w:p>
        </w:tc>
        <w:tc>
          <w:tcPr>
            <w:tcW w:w="10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603,357</w:t>
            </w:r>
          </w:p>
        </w:tc>
        <w:tc>
          <w:tcPr>
            <w:tcW w:w="1000" w:type="dxa"/>
            <w:vAlign w:val="bottom"/>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603,357</w:t>
            </w:r>
          </w:p>
        </w:tc>
        <w:tc>
          <w:tcPr>
            <w:tcW w:w="0" w:type="dxa"/>
            <w:vAlign w:val="bottom"/>
          </w:tcPr>
          <w:p>
            <w:pPr>
              <w:spacing w:after="0"/>
              <w:rPr>
                <w:sz w:val="1"/>
                <w:szCs w:val="1"/>
                <w:color w:val="auto"/>
              </w:rPr>
            </w:pPr>
          </w:p>
        </w:tc>
      </w:tr>
      <w:tr>
        <w:trPr>
          <w:trHeight w:val="179"/>
        </w:trPr>
        <w:tc>
          <w:tcPr>
            <w:tcW w:w="3160" w:type="dxa"/>
            <w:vAlign w:val="bottom"/>
            <w:tcBorders>
              <w:bottom w:val="single" w:sz="8" w:color="CCEEFF"/>
            </w:tcBorders>
            <w:shd w:val="clear" w:color="auto" w:fill="CCEEFF"/>
          </w:tcPr>
          <w:p>
            <w:pPr>
              <w:ind w:left="340"/>
              <w:spacing w:after="0" w:line="159" w:lineRule="exact"/>
              <w:rPr>
                <w:sz w:val="20"/>
                <w:szCs w:val="20"/>
                <w:color w:val="auto"/>
              </w:rPr>
            </w:pPr>
            <w:r>
              <w:rPr>
                <w:rFonts w:ascii="Arial" w:cs="Arial" w:eastAsia="Arial" w:hAnsi="Arial"/>
                <w:sz w:val="14"/>
                <w:szCs w:val="14"/>
                <w:color w:val="auto"/>
              </w:rPr>
              <w:t>stock and stockholders’ equity</w:t>
            </w:r>
          </w:p>
        </w:tc>
        <w:tc>
          <w:tcPr>
            <w:tcW w:w="960" w:type="dxa"/>
            <w:vAlign w:val="bottom"/>
            <w:tcBorders>
              <w:bottom w:val="single" w:sz="8" w:color="auto"/>
            </w:tcBorders>
            <w:vMerge w:val="continue"/>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7" w:right="339" w:bottom="1440" w:gutter="0" w:footer="0" w:header="0"/>
        </w:sectPr>
      </w:pPr>
    </w:p>
    <w:bookmarkStart w:id="120" w:name="page121"/>
    <w:bookmarkEnd w:id="1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accounts receivable.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For each significant payor, revenue as a percentage of total revenues and accounts receivable as a percentage of total accounts receivable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Revenue</w:t>
            </w:r>
          </w:p>
        </w:tc>
        <w:tc>
          <w:tcPr>
            <w:tcW w:w="1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869"/>
              <w:spacing w:after="0"/>
              <w:rPr>
                <w:sz w:val="20"/>
                <w:szCs w:val="20"/>
                <w:color w:val="auto"/>
              </w:rPr>
            </w:pPr>
            <w:r>
              <w:rPr>
                <w:rFonts w:ascii="Arial" w:cs="Arial" w:eastAsia="Arial" w:hAnsi="Arial"/>
                <w:sz w:val="14"/>
                <w:szCs w:val="14"/>
                <w:b w:val="1"/>
                <w:bCs w:val="1"/>
                <w:color w:val="auto"/>
                <w:w w:val="88"/>
              </w:rPr>
              <w:t>Accounts Receivable</w:t>
            </w:r>
          </w:p>
        </w:tc>
      </w:tr>
      <w:tr>
        <w:trPr>
          <w:trHeight w:val="183"/>
        </w:trPr>
        <w:tc>
          <w:tcPr>
            <w:tcW w:w="30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1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center"/>
              <w:ind w:right="889"/>
              <w:spacing w:after="0"/>
              <w:rPr>
                <w:sz w:val="20"/>
                <w:szCs w:val="20"/>
                <w:color w:val="auto"/>
              </w:rPr>
            </w:pPr>
            <w:r>
              <w:rPr>
                <w:rFonts w:ascii="Arial" w:cs="Arial" w:eastAsia="Arial" w:hAnsi="Arial"/>
                <w:sz w:val="14"/>
                <w:szCs w:val="14"/>
                <w:b w:val="1"/>
                <w:bCs w:val="1"/>
                <w:color w:val="auto"/>
                <w:w w:val="90"/>
              </w:rPr>
              <w:t>As of December 31,</w:t>
            </w:r>
          </w:p>
        </w:tc>
      </w:tr>
      <w:tr>
        <w:trPr>
          <w:trHeight w:val="179"/>
        </w:trPr>
        <w:tc>
          <w:tcPr>
            <w:tcW w:w="306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ind w:left="515"/>
              <w:spacing w:after="0"/>
              <w:rPr>
                <w:sz w:val="20"/>
                <w:szCs w:val="20"/>
                <w:color w:val="auto"/>
              </w:rPr>
            </w:pPr>
            <w:r>
              <w:rPr>
                <w:rFonts w:ascii="Arial" w:cs="Arial" w:eastAsia="Arial" w:hAnsi="Arial"/>
                <w:sz w:val="14"/>
                <w:szCs w:val="14"/>
                <w:b w:val="1"/>
                <w:bCs w:val="1"/>
                <w:color w:val="auto"/>
                <w:w w:val="89"/>
              </w:rPr>
              <w:t>2021</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22%</w:t>
            </w:r>
          </w:p>
        </w:tc>
        <w:tc>
          <w:tcPr>
            <w:tcW w:w="16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w w:val="94"/>
              </w:rPr>
              <w:t>27%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w w:val="88"/>
              </w:rPr>
              <w:t>15%</w:t>
            </w:r>
          </w:p>
        </w:tc>
        <w:tc>
          <w:tcPr>
            <w:tcW w:w="226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88"/>
              </w:rPr>
              <w:t>10%</w:t>
            </w:r>
          </w:p>
        </w:tc>
      </w:tr>
      <w:tr>
        <w:trPr>
          <w:trHeight w:val="225"/>
        </w:trPr>
        <w:tc>
          <w:tcPr>
            <w:tcW w:w="3060" w:type="dxa"/>
            <w:vAlign w:val="bottom"/>
          </w:tcPr>
          <w:p>
            <w:pPr>
              <w:ind w:left="20"/>
              <w:spacing w:after="0"/>
              <w:rPr>
                <w:sz w:val="20"/>
                <w:szCs w:val="20"/>
                <w:color w:val="auto"/>
              </w:rPr>
            </w:pPr>
            <w:r>
              <w:rPr>
                <w:rFonts w:ascii="Arial" w:cs="Arial" w:eastAsia="Arial" w:hAnsi="Arial"/>
                <w:sz w:val="18"/>
                <w:szCs w:val="18"/>
                <w:color w:val="auto"/>
              </w:rPr>
              <w:t>Payor B</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13%</w:t>
            </w:r>
          </w:p>
        </w:tc>
        <w:tc>
          <w:tcPr>
            <w:tcW w:w="1640" w:type="dxa"/>
            <w:vAlign w:val="bottom"/>
            <w:gridSpan w:val="2"/>
          </w:tcPr>
          <w:p>
            <w:pPr>
              <w:jc w:val="center"/>
              <w:ind w:left="15"/>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center"/>
              <w:ind w:left="515"/>
              <w:spacing w:after="0"/>
              <w:rPr>
                <w:sz w:val="20"/>
                <w:szCs w:val="20"/>
                <w:color w:val="auto"/>
              </w:rPr>
            </w:pPr>
            <w:r>
              <w:rPr>
                <w:rFonts w:ascii="Arial" w:cs="Arial" w:eastAsia="Arial" w:hAnsi="Arial"/>
                <w:sz w:val="18"/>
                <w:szCs w:val="18"/>
                <w:color w:val="auto"/>
              </w:rPr>
              <w:t>*</w:t>
            </w:r>
          </w:p>
        </w:tc>
        <w:tc>
          <w:tcPr>
            <w:tcW w:w="2260" w:type="dxa"/>
            <w:vAlign w:val="bottom"/>
            <w:gridSpan w:val="3"/>
          </w:tcPr>
          <w:p>
            <w:pPr>
              <w:jc w:val="center"/>
              <w:ind w:left="618"/>
              <w:spacing w:after="0"/>
              <w:rPr>
                <w:sz w:val="20"/>
                <w:szCs w:val="20"/>
                <w:color w:val="auto"/>
              </w:rPr>
            </w:pPr>
            <w:r>
              <w:rPr>
                <w:rFonts w:ascii="Arial" w:cs="Arial" w:eastAsia="Arial" w:hAnsi="Arial"/>
                <w:sz w:val="18"/>
                <w:szCs w:val="18"/>
                <w:color w:val="auto"/>
              </w:rPr>
              <w:t>*</w:t>
            </w:r>
          </w:p>
        </w:tc>
      </w:tr>
      <w:tr>
        <w:trPr>
          <w:trHeight w:val="22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Payor C</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center"/>
              <w:ind w:lef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15"/>
              <w:spacing w:after="0"/>
              <w:rPr>
                <w:sz w:val="20"/>
                <w:szCs w:val="20"/>
                <w:color w:val="auto"/>
              </w:rPr>
            </w:pPr>
            <w:r>
              <w:rPr>
                <w:rFonts w:ascii="Arial" w:cs="Arial" w:eastAsia="Arial" w:hAnsi="Arial"/>
                <w:sz w:val="18"/>
                <w:szCs w:val="18"/>
                <w:color w:val="auto"/>
              </w:rPr>
              <w:t>*</w:t>
            </w:r>
          </w:p>
        </w:tc>
        <w:tc>
          <w:tcPr>
            <w:tcW w:w="2260" w:type="dxa"/>
            <w:vAlign w:val="bottom"/>
            <w:gridSpan w:val="3"/>
            <w:shd w:val="clear" w:color="auto" w:fill="CCEEFF"/>
          </w:tcPr>
          <w:p>
            <w:pPr>
              <w:jc w:val="center"/>
              <w:ind w:left="618"/>
              <w:spacing w:after="0"/>
              <w:rPr>
                <w:sz w:val="20"/>
                <w:szCs w:val="20"/>
                <w:color w:val="auto"/>
              </w:rPr>
            </w:pPr>
            <w:r>
              <w:rPr>
                <w:rFonts w:ascii="Arial" w:cs="Arial" w:eastAsia="Arial" w:hAnsi="Arial"/>
                <w:sz w:val="18"/>
                <w:szCs w:val="18"/>
                <w:color w:val="auto"/>
                <w:w w:val="88"/>
              </w:rPr>
              <w:t>20%</w:t>
            </w:r>
          </w:p>
        </w:tc>
      </w:tr>
      <w:tr>
        <w:trPr>
          <w:trHeight w:val="224"/>
        </w:trPr>
        <w:tc>
          <w:tcPr>
            <w:tcW w:w="3060" w:type="dxa"/>
            <w:vAlign w:val="bottom"/>
          </w:tcPr>
          <w:p>
            <w:pPr>
              <w:ind w:left="20"/>
              <w:spacing w:after="0"/>
              <w:rPr>
                <w:sz w:val="20"/>
                <w:szCs w:val="20"/>
                <w:color w:val="auto"/>
              </w:rPr>
            </w:pPr>
            <w:r>
              <w:rPr>
                <w:rFonts w:ascii="Arial" w:cs="Arial" w:eastAsia="Arial" w:hAnsi="Arial"/>
                <w:sz w:val="18"/>
                <w:szCs w:val="18"/>
                <w:color w:val="auto"/>
              </w:rPr>
              <w:t>Payor D</w:t>
            </w:r>
          </w:p>
        </w:tc>
        <w:tc>
          <w:tcPr>
            <w:tcW w:w="1540" w:type="dxa"/>
            <w:vAlign w:val="bottom"/>
          </w:tcPr>
          <w:p>
            <w:pPr>
              <w:jc w:val="cente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center"/>
              <w:ind w:lef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140" w:type="dxa"/>
            <w:vAlign w:val="bottom"/>
          </w:tcPr>
          <w:p>
            <w:pPr>
              <w:spacing w:after="0"/>
              <w:rPr>
                <w:sz w:val="19"/>
                <w:szCs w:val="19"/>
                <w:color w:val="auto"/>
              </w:rPr>
            </w:pPr>
          </w:p>
        </w:tc>
        <w:tc>
          <w:tcPr>
            <w:tcW w:w="960" w:type="dxa"/>
            <w:vAlign w:val="bottom"/>
          </w:tcPr>
          <w:p>
            <w:pPr>
              <w:jc w:val="center"/>
              <w:ind w:left="515"/>
              <w:spacing w:after="0"/>
              <w:rPr>
                <w:sz w:val="20"/>
                <w:szCs w:val="20"/>
                <w:color w:val="auto"/>
              </w:rPr>
            </w:pPr>
            <w:r>
              <w:rPr>
                <w:rFonts w:ascii="Arial" w:cs="Arial" w:eastAsia="Arial" w:hAnsi="Arial"/>
                <w:sz w:val="18"/>
                <w:szCs w:val="18"/>
                <w:color w:val="auto"/>
                <w:w w:val="88"/>
              </w:rPr>
              <w:t>15%</w:t>
            </w:r>
          </w:p>
        </w:tc>
        <w:tc>
          <w:tcPr>
            <w:tcW w:w="2260" w:type="dxa"/>
            <w:vAlign w:val="bottom"/>
            <w:gridSpan w:val="3"/>
          </w:tcPr>
          <w:p>
            <w:pPr>
              <w:jc w:val="center"/>
              <w:ind w:left="618"/>
              <w:spacing w:after="0"/>
              <w:rPr>
                <w:sz w:val="20"/>
                <w:szCs w:val="20"/>
                <w:color w:val="auto"/>
              </w:rPr>
            </w:pPr>
            <w:r>
              <w:rPr>
                <w:rFonts w:ascii="Arial" w:cs="Arial" w:eastAsia="Arial" w:hAnsi="Arial"/>
                <w:sz w:val="18"/>
                <w:szCs w:val="18"/>
                <w:color w:val="auto"/>
              </w:rPr>
              <w:t>*</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less than 10%</w:t>
      </w:r>
    </w:p>
    <w:p>
      <w:pPr>
        <w:spacing w:after="0" w:line="151"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7" w:right="339" w:bottom="1440" w:gutter="0" w:footer="0" w:header="0"/>
        </w:sectPr>
      </w:pPr>
    </w:p>
    <w:bookmarkStart w:id="121" w:name="page122"/>
    <w:bookmarkEnd w:id="1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7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14"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December 15, 2021, it was announced that COVID-19 testing services would be discontinued by March 31,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108,132</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7" w:right="339" w:bottom="1440" w:gutter="0" w:footer="0" w:header="0"/>
        </w:sectPr>
      </w:pPr>
    </w:p>
    <w:bookmarkStart w:id="122" w:name="page123"/>
    <w:bookmarkEnd w:id="1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5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7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93"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7" w:right="339" w:bottom="1440" w:gutter="0" w:footer="0" w:header="0"/>
        </w:sectPr>
      </w:pPr>
    </w:p>
    <w:bookmarkStart w:id="123" w:name="page124"/>
    <w:bookmarkEnd w:id="1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hierarchy lists three levels of fair value based on the extent to which inputs used in measuring fair value are observable in the market:</w:t>
      </w:r>
    </w:p>
    <w:p>
      <w:pPr>
        <w:spacing w:after="0" w:line="164"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(unadjusted) in active markets that are accessible at the measurement date for identical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128" w:lineRule="exact"/>
        <w:rPr>
          <w:sz w:val="20"/>
          <w:szCs w:val="20"/>
          <w:color w:val="auto"/>
        </w:rPr>
      </w:pPr>
    </w:p>
    <w:p>
      <w:pPr>
        <w:ind w:left="32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such as quoted prices for similar instruments in active markets, quoted prices for identical or similar instruments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model-derived valuations whose significant inputs are observable.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significant to the measurement of fair value but are supported by little to no market data.</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14" w:lineRule="exact"/>
        <w:rPr>
          <w:sz w:val="20"/>
          <w:szCs w:val="20"/>
          <w:color w:val="auto"/>
        </w:rPr>
      </w:pPr>
    </w:p>
    <w:p>
      <w:pPr>
        <w:jc w:val="both"/>
        <w:ind w:right="160"/>
        <w:spacing w:after="0" w:line="293" w:lineRule="auto"/>
        <w:rPr>
          <w:sz w:val="20"/>
          <w:szCs w:val="20"/>
          <w:color w:val="auto"/>
        </w:rPr>
      </w:pPr>
      <w:r>
        <w:rPr>
          <w:rFonts w:ascii="Arial" w:cs="Arial" w:eastAsia="Arial" w:hAnsi="Arial"/>
          <w:sz w:val="15"/>
          <w:szCs w:val="15"/>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5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may redeem the outstanding public warrants if the price per share of the Class A common stock equals or exceeds $18.00 as described below:</w:t>
      </w:r>
    </w:p>
    <w:p>
      <w:pPr>
        <w:spacing w:after="0" w:line="379" w:lineRule="exact"/>
        <w:rPr>
          <w:sz w:val="20"/>
          <w:szCs w:val="20"/>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may redeem the outstanding public warrants if the price per share of the common stock equals or exceeds $10.00 as described below:</w:t>
      </w:r>
    </w:p>
    <w:p>
      <w:pPr>
        <w:spacing w:after="0" w:line="278" w:lineRule="exact"/>
        <w:rPr>
          <w:sz w:val="20"/>
          <w:szCs w:val="20"/>
          <w:color w:val="auto"/>
        </w:rPr>
      </w:pPr>
    </w:p>
    <w:p>
      <w:pPr>
        <w:ind w:left="640" w:hanging="31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27" w:right="339" w:bottom="1440" w:gutter="0" w:footer="0" w:header="0"/>
        </w:sectPr>
      </w:pPr>
    </w:p>
    <w:bookmarkStart w:id="124" w:name="page125"/>
    <w:bookmarkEnd w:id="1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right="20" w:hanging="316"/>
        <w:spacing w:after="0" w:line="365" w:lineRule="auto"/>
        <w:tabs>
          <w:tab w:leader="none" w:pos="635" w:val="left"/>
        </w:tabs>
        <w:numPr>
          <w:ilvl w:val="0"/>
          <w:numId w:val="48"/>
        </w:numPr>
        <w:rPr>
          <w:rFonts w:ascii="Arial" w:cs="Arial" w:eastAsia="Arial" w:hAnsi="Arial"/>
          <w:sz w:val="15"/>
          <w:szCs w:val="15"/>
          <w:color w:val="auto"/>
        </w:rPr>
      </w:pPr>
      <w:r>
        <w:rPr>
          <w:rFonts w:ascii="Arial" w:cs="Arial" w:eastAsia="Arial" w:hAnsi="Arial"/>
          <w:sz w:val="15"/>
          <w:szCs w:val="15"/>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58" w:lineRule="exact"/>
        <w:rPr>
          <w:rFonts w:ascii="Arial" w:cs="Arial" w:eastAsia="Arial" w:hAnsi="Arial"/>
          <w:sz w:val="15"/>
          <w:szCs w:val="15"/>
          <w:color w:val="auto"/>
        </w:rPr>
      </w:pPr>
    </w:p>
    <w:p>
      <w:pPr>
        <w:ind w:left="640" w:hanging="316"/>
        <w:spacing w:after="0" w:line="294"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4"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5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contingent liability</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determined the fair value of the earn-out shares issued to the Legacy Sema4 stockholders as of December 31, 2021 was $10.2 million.</w:t>
      </w:r>
    </w:p>
    <w:p>
      <w:pPr>
        <w:spacing w:after="0" w:line="21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27" w:right="339" w:bottom="1440" w:gutter="0" w:footer="0" w:header="0"/>
        </w:sectPr>
      </w:pPr>
    </w:p>
    <w:bookmarkStart w:id="125" w:name="page126"/>
    <w:bookmarkEnd w:id="1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estimated fair value of the earn-out is determined using a Monte Carlo valuation analysis.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issues new shares upon share option exercise and vesting of a restricted share unit. Forfeitures of stock-based compensation are recognized as they occur.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categorizes lease agreements at their inception as either operating or capital leases.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93"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7" w:right="339" w:bottom="1440" w:gutter="0" w:footer="0" w:header="0"/>
        </w:sectPr>
      </w:pPr>
    </w:p>
    <w:bookmarkStart w:id="126" w:name="page127"/>
    <w:bookmarkEnd w:id="1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Company adopted Accounting Standards Codification (“ASC”) Topic 606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Diagnostic test revenue</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4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7" w:right="339" w:bottom="1440" w:gutter="0" w:footer="0" w:header="0"/>
        </w:sectPr>
      </w:pPr>
    </w:p>
    <w:bookmarkStart w:id="127" w:name="page128"/>
    <w:bookmarkEnd w:id="1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99"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1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7" w:right="339" w:bottom="1440" w:gutter="0" w:footer="0" w:header="0"/>
        </w:sectPr>
      </w:pPr>
    </w:p>
    <w:bookmarkStart w:id="128" w:name="page129"/>
    <w:bookmarkEnd w:id="1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June 2016, the FASB issued ASU 2016-13, </w:t>
      </w:r>
      <w:r>
        <w:rPr>
          <w:rFonts w:ascii="Arial" w:cs="Arial" w:eastAsia="Arial" w:hAnsi="Arial"/>
          <w:sz w:val="15"/>
          <w:szCs w:val="15"/>
          <w:i w:val="1"/>
          <w:iCs w:val="1"/>
          <w:color w:val="auto"/>
        </w:rPr>
        <w:t>Financial Instruments – 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The new credit losses standard changes the impairment model for most financial assets and certain other instruments. For trade</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30" w:lineRule="exact"/>
        <w:rPr>
          <w:sz w:val="20"/>
          <w:szCs w:val="20"/>
          <w:color w:val="auto"/>
        </w:rPr>
      </w:pPr>
    </w:p>
    <w:p>
      <w:pPr>
        <w:jc w:val="both"/>
        <w:ind w:firstLine="318"/>
        <w:spacing w:after="0" w:line="290" w:lineRule="auto"/>
        <w:rPr>
          <w:sz w:val="20"/>
          <w:szCs w:val="20"/>
          <w:color w:val="auto"/>
        </w:rPr>
      </w:pPr>
      <w:r>
        <w:rPr>
          <w:rFonts w:ascii="Arial" w:cs="Arial" w:eastAsia="Arial" w:hAnsi="Arial"/>
          <w:sz w:val="15"/>
          <w:szCs w:val="15"/>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discussed in Note 1, on July 22, 2021, the Company consummated the Business Combination and received net cash proceeds of $510.0 million.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Pursuant to the Business Combination, the following occurred:</w:t>
      </w:r>
    </w:p>
    <w:p>
      <w:pPr>
        <w:spacing w:after="0" w:line="16" w:lineRule="exact"/>
        <w:rPr>
          <w:sz w:val="20"/>
          <w:szCs w:val="20"/>
          <w:color w:val="auto"/>
        </w:rPr>
      </w:pPr>
    </w:p>
    <w:p>
      <w:pPr>
        <w:jc w:val="both"/>
        <w:ind w:left="640" w:hanging="316"/>
        <w:spacing w:after="0" w:line="248"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Holders of 10,188 shares of CMLS’s Class A common stock sold in its initial public offering (the “public shares”) exercised their right to have such shares redeemed for a full pro rata portion of the trust account holding the proceeds from CMLS’s initial public offering (the “IPO”), which was approximately $10.00 per share, or $101,880 in aggregate.</w:t>
      </w:r>
    </w:p>
    <w:p>
      <w:pPr>
        <w:spacing w:after="0" w:line="141" w:lineRule="exact"/>
        <w:rPr>
          <w:rFonts w:ascii="Arial" w:cs="Arial" w:eastAsia="Arial" w:hAnsi="Arial"/>
          <w:sz w:val="18"/>
          <w:szCs w:val="18"/>
          <w:color w:val="auto"/>
        </w:rPr>
      </w:pPr>
    </w:p>
    <w:p>
      <w:pPr>
        <w:ind w:left="640" w:hanging="31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share of CMLS’s Class B common stock was automatically converted into common stock of the Company.</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37" w:lineRule="exact"/>
        <w:rPr>
          <w:rFonts w:ascii="Arial" w:cs="Arial" w:eastAsia="Arial" w:hAnsi="Arial"/>
          <w:sz w:val="18"/>
          <w:szCs w:val="18"/>
          <w:color w:val="auto"/>
        </w:rPr>
      </w:pPr>
    </w:p>
    <w:p>
      <w:pPr>
        <w:jc w:val="both"/>
        <w:ind w:left="640" w:hanging="316"/>
        <w:spacing w:after="0" w:line="277" w:lineRule="auto"/>
        <w:tabs>
          <w:tab w:leader="none" w:pos="635" w:val="left"/>
        </w:tabs>
        <w:numPr>
          <w:ilvl w:val="0"/>
          <w:numId w:val="49"/>
        </w:numPr>
        <w:rPr>
          <w:rFonts w:ascii="Arial" w:cs="Arial" w:eastAsia="Arial" w:hAnsi="Arial"/>
          <w:sz w:val="17"/>
          <w:szCs w:val="17"/>
          <w:color w:val="auto"/>
        </w:rPr>
      </w:pPr>
      <w:r>
        <w:rPr>
          <w:rFonts w:ascii="Arial" w:cs="Arial" w:eastAsia="Arial" w:hAnsi="Arial"/>
          <w:sz w:val="17"/>
          <w:szCs w:val="17"/>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“PIPE Investment”). Concurrently with the closing of the Business Combination, the Company consummated the PIPE Investment.</w:t>
      </w:r>
    </w:p>
    <w:p>
      <w:pPr>
        <w:spacing w:after="0" w:line="118" w:lineRule="exact"/>
        <w:rPr>
          <w:rFonts w:ascii="Arial" w:cs="Arial" w:eastAsia="Arial" w:hAnsi="Arial"/>
          <w:sz w:val="17"/>
          <w:szCs w:val="17"/>
          <w:color w:val="auto"/>
        </w:rPr>
      </w:pPr>
    </w:p>
    <w:p>
      <w:pPr>
        <w:ind w:left="640" w:hanging="316"/>
        <w:spacing w:after="0" w:line="365" w:lineRule="auto"/>
        <w:tabs>
          <w:tab w:leader="none" w:pos="635" w:val="left"/>
        </w:tabs>
        <w:numPr>
          <w:ilvl w:val="0"/>
          <w:numId w:val="49"/>
        </w:numPr>
        <w:rPr>
          <w:rFonts w:ascii="Arial" w:cs="Arial" w:eastAsia="Arial" w:hAnsi="Arial"/>
          <w:sz w:val="15"/>
          <w:szCs w:val="15"/>
          <w:color w:val="auto"/>
        </w:rPr>
      </w:pPr>
      <w:r>
        <w:rPr>
          <w:rFonts w:ascii="Arial" w:cs="Arial" w:eastAsia="Arial" w:hAnsi="Arial"/>
          <w:sz w:val="15"/>
          <w:szCs w:val="15"/>
          <w:color w:val="auto"/>
        </w:rPr>
        <w:t>After giving effect to the Merger, the redemption of public shares and the conversion of the CMLS Class B common stock as described above, and the consummation of the PIPE Investment, there were 240,190,402 shares of the Company’s common stock issued and outstanding.</w:t>
      </w:r>
    </w:p>
    <w:p>
      <w:pPr>
        <w:spacing w:after="0" w:line="7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Revenue Recognition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disaggregated revenue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Diagnostic test revenue:</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40"/>
              <w:spacing w:after="0"/>
              <w:rPr>
                <w:sz w:val="20"/>
                <w:szCs w:val="20"/>
                <w:color w:val="auto"/>
              </w:rPr>
            </w:pPr>
            <w:r>
              <w:rPr>
                <w:rFonts w:ascii="Arial" w:cs="Arial" w:eastAsia="Arial" w:hAnsi="Arial"/>
                <w:sz w:val="18"/>
                <w:szCs w:val="18"/>
                <w:color w:val="auto"/>
              </w:rPr>
              <w:t>Patients with third-party insurance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169,576</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138,153</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169,538</w:t>
            </w:r>
          </w:p>
        </w:tc>
      </w:tr>
      <w:tr>
        <w:trPr>
          <w:trHeight w:val="226"/>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Institutional customers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w:t>
            </w:r>
          </w:p>
        </w:tc>
      </w:tr>
      <w:tr>
        <w:trPr>
          <w:trHeight w:val="225"/>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Self-pay patients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5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diagnostic test revenue</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191,667</w:t>
            </w:r>
          </w:p>
        </w:tc>
      </w:tr>
      <w:tr>
        <w:trPr>
          <w:trHeight w:val="26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revenue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212,195</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Reassessment of variable consideration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Subsequent changes to the estimate of the transaction price, determined on a portfolio basis when applicable, are generally recorded as adjustments to revenue in the period of the change. The Company updates variable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7" w:right="339" w:bottom="1440" w:gutter="0" w:footer="0" w:header="0"/>
        </w:sectPr>
      </w:pPr>
    </w:p>
    <w:bookmarkStart w:id="130" w:name="page131"/>
    <w:bookmarkEnd w:id="1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consideration estimated quarterly. Our assessment performed at year-end did not result in material adjustments to the Company’s previously reported revenue or accounts receivable amounts.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beginning and ending balances of contract assets and contract liabilities is shown in the table below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Contract</w:t>
            </w:r>
          </w:p>
        </w:tc>
        <w:tc>
          <w:tcPr>
            <w:tcW w:w="20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4"/>
                <w:szCs w:val="14"/>
                <w:b w:val="1"/>
                <w:bCs w:val="1"/>
                <w:color w:val="auto"/>
              </w:rPr>
              <w:t>Contract</w:t>
            </w:r>
          </w:p>
        </w:tc>
      </w:tr>
      <w:tr>
        <w:trPr>
          <w:trHeight w:val="185"/>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6"/>
                <w:szCs w:val="16"/>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Liabilities</w:t>
            </w:r>
          </w:p>
        </w:tc>
      </w:tr>
      <w:tr>
        <w:trPr>
          <w:trHeight w:val="219"/>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r>
      <w:tr>
        <w:trPr>
          <w:trHeight w:val="225"/>
        </w:trPr>
        <w:tc>
          <w:tcPr>
            <w:tcW w:w="5940" w:type="dxa"/>
            <w:vAlign w:val="bottom"/>
          </w:tcPr>
          <w:p>
            <w:pPr>
              <w:ind w:left="20"/>
              <w:spacing w:after="0"/>
              <w:rPr>
                <w:sz w:val="20"/>
                <w:szCs w:val="20"/>
                <w:color w:val="auto"/>
              </w:rPr>
            </w:pPr>
            <w:r>
              <w:rPr>
                <w:rFonts w:ascii="Arial" w:cs="Arial" w:eastAsia="Arial" w:hAnsi="Arial"/>
                <w:sz w:val="18"/>
                <w:szCs w:val="18"/>
                <w:color w:val="auto"/>
              </w:rPr>
              <w:t>Contract asset additions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prepayments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w:t>
            </w:r>
          </w:p>
        </w:tc>
      </w:tr>
      <w:tr>
        <w:trPr>
          <w:trHeight w:val="225"/>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w:t>
            </w: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fulfill contracts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2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27"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314"/>
        <w:spacing w:after="0"/>
        <w:tabs>
          <w:tab w:leader="none" w:pos="3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fair value of financial instruments that were measured at fair value on a recurring basis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Public warrant liability</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14,463</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 liability</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Earn-out contingent liability</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10,244</w:t>
            </w:r>
          </w:p>
        </w:tc>
      </w:tr>
      <w:tr>
        <w:trPr>
          <w:trHeight w:val="244"/>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liabilities</w:t>
            </w: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829"/>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4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5"/>
                <w:szCs w:val="15"/>
                <w:color w:val="auto"/>
              </w:rPr>
            </w:pPr>
          </w:p>
        </w:tc>
        <w:tc>
          <w:tcPr>
            <w:tcW w:w="1220" w:type="dxa"/>
            <w:vAlign w:val="bottom"/>
          </w:tcPr>
          <w:p>
            <w:pPr>
              <w:jc w:val="right"/>
              <w:ind w:right="475"/>
              <w:spacing w:after="0"/>
              <w:rPr>
                <w:sz w:val="20"/>
                <w:szCs w:val="20"/>
                <w:color w:val="auto"/>
              </w:rPr>
            </w:pPr>
            <w:r>
              <w:rPr>
                <w:rFonts w:ascii="Arial" w:cs="Arial" w:eastAsia="Arial" w:hAnsi="Arial"/>
                <w:sz w:val="14"/>
                <w:szCs w:val="14"/>
                <w:b w:val="1"/>
                <w:bCs w:val="1"/>
                <w:color w:val="auto"/>
              </w:rPr>
              <w:t>Level 3</w:t>
            </w:r>
          </w:p>
        </w:tc>
      </w:tr>
      <w:tr>
        <w:trPr>
          <w:trHeight w:val="206"/>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Money market funds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92,940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88"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7"/>
          <w:szCs w:val="17"/>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 operating metrics. The key assumptions utilized in determining the valuation as of December 31, 2021 and Closing Date were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320" w:type="dxa"/>
            <w:vAlign w:val="bottom"/>
            <w:gridSpan w:val="2"/>
          </w:tcPr>
          <w:p>
            <w:pPr>
              <w:ind w:left="1200"/>
              <w:spacing w:after="0"/>
              <w:rPr>
                <w:sz w:val="20"/>
                <w:szCs w:val="20"/>
                <w:color w:val="auto"/>
              </w:rPr>
            </w:pPr>
            <w:r>
              <w:rPr>
                <w:rFonts w:ascii="Arial" w:cs="Arial" w:eastAsia="Arial" w:hAnsi="Arial"/>
                <w:sz w:val="14"/>
                <w:szCs w:val="14"/>
                <w:b w:val="1"/>
                <w:bCs w:val="1"/>
                <w:color w:val="auto"/>
              </w:rPr>
              <w:t>December 31, 2021</w:t>
            </w:r>
          </w:p>
        </w:tc>
        <w:tc>
          <w:tcPr>
            <w:tcW w:w="2580" w:type="dxa"/>
            <w:vAlign w:val="bottom"/>
          </w:tcPr>
          <w:p>
            <w:pPr>
              <w:ind w:left="1060"/>
              <w:spacing w:after="0"/>
              <w:rPr>
                <w:sz w:val="20"/>
                <w:szCs w:val="20"/>
                <w:color w:val="auto"/>
              </w:rPr>
            </w:pPr>
            <w:r>
              <w:rPr>
                <w:rFonts w:ascii="Arial" w:cs="Arial" w:eastAsia="Arial" w:hAnsi="Arial"/>
                <w:sz w:val="14"/>
                <w:szCs w:val="14"/>
                <w:b w:val="1"/>
                <w:bCs w:val="1"/>
                <w:color w:val="auto"/>
              </w:rPr>
              <w:t>Closing Date</w:t>
            </w:r>
          </w:p>
        </w:tc>
      </w:tr>
      <w:tr>
        <w:trPr>
          <w:trHeight w:val="224"/>
        </w:trPr>
        <w:tc>
          <w:tcPr>
            <w:tcW w:w="4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price</w:t>
            </w:r>
          </w:p>
        </w:tc>
        <w:tc>
          <w:tcPr>
            <w:tcW w:w="322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8"/>
              </w:rPr>
              <w:t>$4.46</w:t>
            </w:r>
          </w:p>
        </w:tc>
        <w:tc>
          <w:tcPr>
            <w:tcW w:w="100" w:type="dxa"/>
            <w:vAlign w:val="bottom"/>
            <w:tcBorders>
              <w:top w:val="single" w:sz="8" w:color="CCEEFF"/>
            </w:tcBorders>
            <w:shd w:val="clear" w:color="auto" w:fill="CCEEFF"/>
          </w:tcPr>
          <w:p>
            <w:pPr>
              <w:spacing w:after="0"/>
              <w:rPr>
                <w:sz w:val="19"/>
                <w:szCs w:val="19"/>
                <w:color w:val="auto"/>
              </w:rPr>
            </w:pPr>
          </w:p>
        </w:tc>
        <w:tc>
          <w:tcPr>
            <w:tcW w:w="2580" w:type="dxa"/>
            <w:vAlign w:val="bottom"/>
            <w:tcBorders>
              <w:top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7"/>
              </w:rPr>
              <w:t>$11.60</w:t>
            </w:r>
          </w:p>
        </w:tc>
      </w:tr>
      <w:tr>
        <w:trPr>
          <w:trHeight w:val="225"/>
        </w:trPr>
        <w:tc>
          <w:tcPr>
            <w:tcW w:w="4540" w:type="dxa"/>
            <w:vAlign w:val="bottom"/>
          </w:tcPr>
          <w:p>
            <w:pPr>
              <w:ind w:left="340"/>
              <w:spacing w:after="0"/>
              <w:rPr>
                <w:sz w:val="20"/>
                <w:szCs w:val="20"/>
                <w:color w:val="auto"/>
              </w:rPr>
            </w:pPr>
            <w:r>
              <w:rPr>
                <w:rFonts w:ascii="Arial" w:cs="Arial" w:eastAsia="Arial" w:hAnsi="Arial"/>
                <w:sz w:val="18"/>
                <w:szCs w:val="18"/>
                <w:color w:val="auto"/>
              </w:rPr>
              <w:t>Expected volatility</w:t>
            </w:r>
          </w:p>
        </w:tc>
        <w:tc>
          <w:tcPr>
            <w:tcW w:w="3220" w:type="dxa"/>
            <w:vAlign w:val="bottom"/>
          </w:tcPr>
          <w:p>
            <w:pPr>
              <w:jc w:val="center"/>
              <w:ind w:left="235"/>
              <w:spacing w:after="0"/>
              <w:rPr>
                <w:sz w:val="20"/>
                <w:szCs w:val="20"/>
                <w:color w:val="auto"/>
              </w:rPr>
            </w:pPr>
            <w:r>
              <w:rPr>
                <w:rFonts w:ascii="Arial" w:cs="Arial" w:eastAsia="Arial" w:hAnsi="Arial"/>
                <w:sz w:val="18"/>
                <w:szCs w:val="18"/>
                <w:color w:val="auto"/>
                <w:w w:val="90"/>
              </w:rPr>
              <w:t>62.5%</w:t>
            </w:r>
          </w:p>
        </w:tc>
        <w:tc>
          <w:tcPr>
            <w:tcW w:w="100" w:type="dxa"/>
            <w:vAlign w:val="bottom"/>
          </w:tcPr>
          <w:p>
            <w:pPr>
              <w:spacing w:after="0"/>
              <w:rPr>
                <w:sz w:val="19"/>
                <w:szCs w:val="19"/>
                <w:color w:val="auto"/>
              </w:rPr>
            </w:pPr>
          </w:p>
        </w:tc>
        <w:tc>
          <w:tcPr>
            <w:tcW w:w="2580" w:type="dxa"/>
            <w:vAlign w:val="bottom"/>
          </w:tcPr>
          <w:p>
            <w:pPr>
              <w:jc w:val="center"/>
              <w:ind w:left="235"/>
              <w:spacing w:after="0"/>
              <w:rPr>
                <w:sz w:val="20"/>
                <w:szCs w:val="20"/>
                <w:color w:val="auto"/>
              </w:rPr>
            </w:pPr>
            <w:r>
              <w:rPr>
                <w:rFonts w:ascii="Arial" w:cs="Arial" w:eastAsia="Arial" w:hAnsi="Arial"/>
                <w:sz w:val="18"/>
                <w:szCs w:val="18"/>
                <w:color w:val="auto"/>
                <w:w w:val="90"/>
              </w:rPr>
              <w:t>70.0%</w:t>
            </w:r>
          </w:p>
        </w:tc>
      </w:tr>
      <w:tr>
        <w:trPr>
          <w:trHeight w:val="226"/>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Expected term (in years)</w:t>
            </w:r>
          </w:p>
        </w:tc>
        <w:tc>
          <w:tcPr>
            <w:tcW w:w="322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1.6</w:t>
            </w:r>
          </w:p>
        </w:tc>
        <w:tc>
          <w:tcPr>
            <w:tcW w:w="100" w:type="dxa"/>
            <w:vAlign w:val="bottom"/>
            <w:shd w:val="clear" w:color="auto" w:fill="CCEEFF"/>
          </w:tcPr>
          <w:p>
            <w:pPr>
              <w:spacing w:after="0"/>
              <w:rPr>
                <w:sz w:val="19"/>
                <w:szCs w:val="19"/>
                <w:color w:val="auto"/>
              </w:rPr>
            </w:pPr>
          </w:p>
        </w:tc>
        <w:tc>
          <w:tcPr>
            <w:tcW w:w="2580" w:type="dxa"/>
            <w:vAlign w:val="bottom"/>
            <w:shd w:val="clear" w:color="auto" w:fill="CCEEFF"/>
          </w:tcPr>
          <w:p>
            <w:pPr>
              <w:jc w:val="center"/>
              <w:ind w:left="235"/>
              <w:spacing w:after="0"/>
              <w:rPr>
                <w:sz w:val="20"/>
                <w:szCs w:val="20"/>
                <w:color w:val="auto"/>
              </w:rPr>
            </w:pPr>
            <w:r>
              <w:rPr>
                <w:rFonts w:ascii="Arial" w:cs="Arial" w:eastAsia="Arial" w:hAnsi="Arial"/>
                <w:sz w:val="18"/>
                <w:szCs w:val="18"/>
                <w:color w:val="auto"/>
                <w:w w:val="87"/>
              </w:rPr>
              <w:t>2.0</w:t>
            </w:r>
          </w:p>
        </w:tc>
      </w:tr>
      <w:tr>
        <w:trPr>
          <w:trHeight w:val="224"/>
        </w:trPr>
        <w:tc>
          <w:tcPr>
            <w:tcW w:w="4540" w:type="dxa"/>
            <w:vAlign w:val="bottom"/>
          </w:tcPr>
          <w:p>
            <w:pPr>
              <w:ind w:left="340"/>
              <w:spacing w:after="0"/>
              <w:rPr>
                <w:sz w:val="20"/>
                <w:szCs w:val="20"/>
                <w:color w:val="auto"/>
              </w:rPr>
            </w:pPr>
            <w:r>
              <w:rPr>
                <w:rFonts w:ascii="Arial" w:cs="Arial" w:eastAsia="Arial" w:hAnsi="Arial"/>
                <w:sz w:val="18"/>
                <w:szCs w:val="18"/>
                <w:color w:val="auto"/>
              </w:rPr>
              <w:t>Risk-free interest rate</w:t>
            </w:r>
          </w:p>
        </w:tc>
        <w:tc>
          <w:tcPr>
            <w:tcW w:w="3220" w:type="dxa"/>
            <w:vAlign w:val="bottom"/>
          </w:tcPr>
          <w:p>
            <w:pPr>
              <w:jc w:val="center"/>
              <w:ind w:left="235"/>
              <w:spacing w:after="0"/>
              <w:rPr>
                <w:sz w:val="20"/>
                <w:szCs w:val="20"/>
                <w:color w:val="auto"/>
              </w:rPr>
            </w:pPr>
            <w:r>
              <w:rPr>
                <w:rFonts w:ascii="Arial" w:cs="Arial" w:eastAsia="Arial" w:hAnsi="Arial"/>
                <w:sz w:val="18"/>
                <w:szCs w:val="18"/>
                <w:color w:val="auto"/>
                <w:w w:val="90"/>
              </w:rPr>
              <w:t>0.58%</w:t>
            </w:r>
          </w:p>
        </w:tc>
        <w:tc>
          <w:tcPr>
            <w:tcW w:w="100" w:type="dxa"/>
            <w:vAlign w:val="bottom"/>
          </w:tcPr>
          <w:p>
            <w:pPr>
              <w:spacing w:after="0"/>
              <w:rPr>
                <w:sz w:val="19"/>
                <w:szCs w:val="19"/>
                <w:color w:val="auto"/>
              </w:rPr>
            </w:pPr>
          </w:p>
        </w:tc>
        <w:tc>
          <w:tcPr>
            <w:tcW w:w="2580" w:type="dxa"/>
            <w:vAlign w:val="bottom"/>
          </w:tcPr>
          <w:p>
            <w:pPr>
              <w:jc w:val="center"/>
              <w:ind w:left="235"/>
              <w:spacing w:after="0"/>
              <w:rPr>
                <w:sz w:val="20"/>
                <w:szCs w:val="20"/>
                <w:color w:val="auto"/>
              </w:rPr>
            </w:pPr>
            <w:r>
              <w:rPr>
                <w:rFonts w:ascii="Arial" w:cs="Arial" w:eastAsia="Arial" w:hAnsi="Arial"/>
                <w:sz w:val="18"/>
                <w:szCs w:val="18"/>
                <w:color w:val="auto"/>
                <w:w w:val="90"/>
              </w:rPr>
              <w:t>0.20%</w:t>
            </w:r>
          </w:p>
        </w:tc>
      </w:tr>
    </w:tbl>
    <w:p>
      <w:pPr>
        <w:spacing w:after="0" w:line="307" w:lineRule="exact"/>
        <w:rPr>
          <w:sz w:val="20"/>
          <w:szCs w:val="20"/>
          <w:color w:val="auto"/>
        </w:rPr>
      </w:pPr>
    </w:p>
    <w:p>
      <w:pPr>
        <w:jc w:val="both"/>
        <w:ind w:firstLine="318"/>
        <w:spacing w:after="0" w:line="226" w:lineRule="auto"/>
        <w:rPr>
          <w:sz w:val="20"/>
          <w:szCs w:val="20"/>
          <w:color w:val="auto"/>
        </w:rPr>
      </w:pPr>
      <w:r>
        <w:rPr>
          <w:rFonts w:ascii="Arial" w:cs="Arial" w:eastAsia="Arial" w:hAnsi="Arial"/>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208" w:lineRule="exact"/>
        <w:rPr>
          <w:sz w:val="20"/>
          <w:szCs w:val="20"/>
          <w:color w:val="auto"/>
        </w:rPr>
      </w:pPr>
    </w:p>
    <w:p>
      <w:pPr>
        <w:ind w:left="320" w:hanging="314"/>
        <w:spacing w:after="0"/>
        <w:tabs>
          <w:tab w:leader="none" w:pos="3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0"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92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22,818</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Equipment under capital leases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20,743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Capitalized software</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14,631</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under capital lease</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Construction in-progress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4,673</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other equipment</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r>
      <w:tr>
        <w:trPr>
          <w:trHeight w:val="21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property and equipment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93,209</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9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(30,099)</w:t>
            </w:r>
          </w:p>
        </w:tc>
      </w:tr>
      <w:tr>
        <w:trPr>
          <w:trHeight w:val="244"/>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920" w:type="dxa"/>
            <w:vAlign w:val="bottom"/>
            <w:tcBorders>
              <w:bottom w:val="single" w:sz="8" w:color="auto"/>
            </w:tcBorders>
            <w:shd w:val="clear" w:color="auto" w:fill="CCEEFF"/>
          </w:tcPr>
          <w:p>
            <w:pPr>
              <w:jc w:val="right"/>
              <w:ind w:right="738"/>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62,719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14,094</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821</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depreciation and amortization expenses</w:t>
            </w:r>
          </w:p>
        </w:tc>
        <w:tc>
          <w:tcPr>
            <w:tcW w:w="980" w:type="dxa"/>
            <w:vAlign w:val="bottom"/>
            <w:shd w:val="clear" w:color="auto" w:fill="CCEEFF"/>
          </w:tcPr>
          <w:p>
            <w:pPr>
              <w:jc w:val="right"/>
              <w:ind w:right="778"/>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21,807</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Related Party Transactions</w:t>
      </w:r>
    </w:p>
    <w:p>
      <w:pPr>
        <w:spacing w:after="0" w:line="18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June 1, 2017, the Company signed a contribution and funding agreement and other agreements with ISMMS, whereby ISMMS contributed certain assets and liabilities related to the Company’s operations,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7" w:right="339" w:bottom="1440" w:gutter="0" w:footer="0" w:header="0"/>
        </w:sectPr>
      </w:pPr>
    </w:p>
    <w:bookmarkStart w:id="133" w:name="page134"/>
    <w:bookmarkEnd w:id="1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6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0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62"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Total related party costs are included within cost of services and related party expenses in the consolidated statements of operations and comprehensive loss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of services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Related party expenses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9,452</w:t>
            </w:r>
          </w:p>
        </w:tc>
      </w:tr>
      <w:tr>
        <w:trPr>
          <w:trHeight w:val="23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related party costs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Long-Term Debt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 (the “SVB Agreement”)</w:t>
      </w:r>
    </w:p>
    <w:p>
      <w:pPr>
        <w:spacing w:after="0" w:line="138"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obligations under the SVB Agreement are secured by a first priority perfected security interest in substantially all of the Company’s assets except for</w:t>
      </w:r>
    </w:p>
    <w:p>
      <w:pPr>
        <w:spacing w:after="0" w:line="51" w:lineRule="exact"/>
        <w:rPr>
          <w:sz w:val="20"/>
          <w:szCs w:val="20"/>
          <w:color w:val="auto"/>
        </w:rPr>
      </w:pPr>
    </w:p>
    <w:p>
      <w:pPr>
        <w:jc w:val="both"/>
        <w:ind w:firstLine="6"/>
        <w:spacing w:after="0" w:line="248" w:lineRule="auto"/>
        <w:tabs>
          <w:tab w:leader="none" w:pos="2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22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27" w:right="339" w:bottom="1440" w:gutter="0" w:footer="0" w:header="0"/>
        </w:sectPr>
      </w:pPr>
    </w:p>
    <w:bookmarkStart w:id="134" w:name="page135"/>
    <w:bookmarkEnd w:id="1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greater than or equal to 1.25 to 1.0. The Borrower must also maintain certain trailing six-month minimum revenue targets through maturity if outstanding borrowings under the Revolver exceed $50.0 million.</w:t>
      </w:r>
    </w:p>
    <w:p>
      <w:pPr>
        <w:spacing w:after="0" w:line="20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amounts have been drawn under the SVB Agreement as of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Funding Commitment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2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04" w:lineRule="exact"/>
        <w:rPr>
          <w:sz w:val="20"/>
          <w:szCs w:val="20"/>
          <w:color w:val="auto"/>
        </w:rPr>
      </w:pPr>
    </w:p>
    <w:p>
      <w:pPr>
        <w:ind w:left="640" w:hanging="318"/>
        <w:spacing w:after="0" w:line="294" w:lineRule="auto"/>
        <w:rPr>
          <w:sz w:val="20"/>
          <w:szCs w:val="20"/>
          <w:color w:val="auto"/>
        </w:rPr>
      </w:pPr>
      <w:r>
        <w:rPr>
          <w:rFonts w:ascii="Arial" w:cs="Arial" w:eastAsia="Arial" w:hAnsi="Arial"/>
          <w:sz w:val="17"/>
          <w:szCs w:val="17"/>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104"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135" w:lineRule="exact"/>
        <w:rPr>
          <w:sz w:val="20"/>
          <w:szCs w:val="20"/>
          <w:color w:val="auto"/>
        </w:rPr>
      </w:pPr>
    </w:p>
    <w:p>
      <w:pPr>
        <w:ind w:left="640" w:hanging="318"/>
        <w:spacing w:after="0" w:line="255" w:lineRule="auto"/>
        <w:rPr>
          <w:sz w:val="20"/>
          <w:szCs w:val="20"/>
          <w:color w:val="auto"/>
        </w:rPr>
      </w:pPr>
      <w:r>
        <w:rPr>
          <w:rFonts w:ascii="Arial" w:cs="Arial" w:eastAsia="Arial" w:hAnsi="Arial"/>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7" w:right="339" w:bottom="1440" w:gutter="0" w:footer="0" w:header="0"/>
        </w:sectPr>
      </w:pPr>
    </w:p>
    <w:bookmarkStart w:id="135" w:name="page136"/>
    <w:bookmarkEnd w:id="1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outstanding loan balance from the DECD was $11.0 million at December 31, 2021 and 2020.</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71"/>
        </w:trPr>
        <w:tc>
          <w:tcPr>
            <w:tcW w:w="9680" w:type="dxa"/>
            <w:vAlign w:val="bottom"/>
          </w:tcPr>
          <w:p>
            <w:pPr>
              <w:ind w:left="320"/>
              <w:spacing w:after="0"/>
              <w:rPr>
                <w:sz w:val="20"/>
                <w:szCs w:val="20"/>
                <w:color w:val="auto"/>
              </w:rPr>
            </w:pPr>
            <w:r>
              <w:rPr>
                <w:rFonts w:ascii="Arial" w:cs="Arial" w:eastAsia="Arial" w:hAnsi="Arial"/>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Master Loan Agreement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5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rPr>
          <w:sz w:val="20"/>
          <w:szCs w:val="20"/>
          <w:color w:val="auto"/>
        </w:rPr>
      </w:pPr>
      <w:r>
        <w:rPr>
          <w:rFonts w:ascii="Arial" w:cs="Arial" w:eastAsia="Arial" w:hAnsi="Arial"/>
          <w:sz w:val="18"/>
          <w:szCs w:val="18"/>
          <w:b w:val="1"/>
          <w:bCs w:val="1"/>
          <w:i w:val="1"/>
          <w:iCs w:val="1"/>
          <w:color w:val="auto"/>
        </w:rPr>
        <w:t>2020 Master Lease Agreement</w:t>
      </w:r>
    </w:p>
    <w:p>
      <w:pPr>
        <w:spacing w:after="0" w:line="1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recorded the $3.6 million proceeds as restricted cash on the consolidated balance sheets at December 31, 2020. The outstanding loan balance was $3.6 million at December 31, 2020. In July 2021, the 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27" w:right="339" w:bottom="1440" w:gutter="0" w:footer="0" w:header="0"/>
        </w:sectPr>
      </w:pPr>
    </w:p>
    <w:bookmarkStart w:id="136" w:name="page137"/>
    <w:bookmarkEnd w:id="1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w w:val="95"/>
              </w:rPr>
              <w:t>Future minimum payments under non-cancelable operating leases as of December 31, 2021 are as follows (in thousands):</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7"/>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4,474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45,463</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obligations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7" w:right="339" w:bottom="1440" w:gutter="0" w:footer="0" w:header="0"/>
        </w:sectPr>
      </w:pPr>
    </w:p>
    <w:bookmarkStart w:id="137" w:name="page138"/>
    <w:bookmarkEnd w:id="1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100" w:firstLine="318"/>
        <w:spacing w:after="0" w:line="365" w:lineRule="auto"/>
        <w:rPr>
          <w:sz w:val="20"/>
          <w:szCs w:val="20"/>
          <w:color w:val="auto"/>
        </w:rPr>
      </w:pPr>
      <w:r>
        <w:rPr>
          <w:rFonts w:ascii="Arial" w:cs="Arial" w:eastAsia="Arial" w:hAnsi="Arial"/>
          <w:sz w:val="15"/>
          <w:szCs w:val="15"/>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3,584</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49,883</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(43,728)</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18"/>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Assets acquired under capital leases was $0.6 million, $7.5 million and $9.8 million for the years ended December 31, 2021, 2020 and 2019,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related to capital leases was $2.3 million, $2.2 million and $0.7 million for the years ended December 31, 2021, 2020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sets forth purchase obligations as of December 31, 2021 with a remaining term of at least one year (in thousands):</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198"/>
        </w:trPr>
        <w:tc>
          <w:tcPr>
            <w:tcW w:w="3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Total Commitment</w:t>
            </w:r>
          </w:p>
        </w:tc>
      </w:tr>
      <w:tr>
        <w:trPr>
          <w:trHeight w:val="219"/>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Materials, services and reagents provider</w:t>
            </w: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5"/>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Software provider</w:t>
            </w: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3,092</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6"/>
        </w:trPr>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36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Equipment provider</w:t>
            </w: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 enters into contracts with suppliers to purchase materials needed for diagnostic testing. These contracts generally do not require multiple-year purchase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91"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97"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91"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40"/>
          </w:cols>
          <w:pgMar w:left="320" w:top="127" w:right="239" w:bottom="1440" w:gutter="0" w:footer="0" w:header="0"/>
        </w:sectPr>
      </w:pPr>
    </w:p>
    <w:bookmarkStart w:id="138" w:name="page139"/>
    <w:bookmarkEnd w:id="1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Stock-Based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there was an aggregate of 15,467,838 shares available for grants of stock options or other awards under the 2021 Plan.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5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27" w:right="339" w:bottom="1440" w:gutter="0" w:footer="0" w:header="0"/>
        </w:sectPr>
      </w:pPr>
    </w:p>
    <w:bookmarkStart w:id="139" w:name="page140"/>
    <w:bookmarkEnd w:id="1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statements as of July 22, 2021. An incremental expense of $0.4 million resulting from the modification event was recorded in the year ended December 31, 2021.</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stock options granted under the 2021 Plan are accounted for as equity awards.</w:t>
      </w:r>
    </w:p>
    <w:p>
      <w:pPr>
        <w:spacing w:after="0" w:line="177"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Stock Options</w:t>
            </w: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1"/>
                <w:szCs w:val="11"/>
                <w:color w:val="auto"/>
              </w:rPr>
            </w:pPr>
          </w:p>
        </w:tc>
        <w:tc>
          <w:tcPr>
            <w:tcW w:w="13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Contractual Life</w:t>
            </w:r>
          </w:p>
        </w:tc>
        <w:tc>
          <w:tcPr>
            <w:tcW w:w="1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Exercise Price</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(years)</w:t>
            </w:r>
          </w:p>
        </w:tc>
        <w:tc>
          <w:tcPr>
            <w:tcW w:w="120" w:type="dxa"/>
            <w:vAlign w:val="bottom"/>
          </w:tcPr>
          <w:p>
            <w:pPr>
              <w:spacing w:after="0"/>
              <w:rPr>
                <w:sz w:val="16"/>
                <w:szCs w:val="16"/>
                <w:color w:val="auto"/>
              </w:rPr>
            </w:pPr>
          </w:p>
        </w:tc>
        <w:tc>
          <w:tcPr>
            <w:tcW w:w="1380" w:type="dxa"/>
            <w:vAlign w:val="bottom"/>
          </w:tcPr>
          <w:p>
            <w:pPr>
              <w:jc w:val="right"/>
              <w:ind w:right="49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9"/>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32,339,970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159,899</w:t>
            </w:r>
          </w:p>
        </w:tc>
        <w:tc>
          <w:tcPr>
            <w:tcW w:w="0" w:type="dxa"/>
            <w:vAlign w:val="bottom"/>
          </w:tcPr>
          <w:p>
            <w:pPr>
              <w:spacing w:after="0"/>
              <w:rPr>
                <w:sz w:val="1"/>
                <w:szCs w:val="1"/>
                <w:color w:val="auto"/>
              </w:rPr>
            </w:pPr>
          </w:p>
        </w:tc>
      </w:tr>
      <w:tr>
        <w:trPr>
          <w:trHeight w:val="225"/>
        </w:trPr>
        <w:tc>
          <w:tcPr>
            <w:tcW w:w="556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3,474,905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(2,248,705)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forfeited and canceled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(2,660,627)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30,905,543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109,887</w:t>
            </w:r>
          </w:p>
        </w:tc>
        <w:tc>
          <w:tcPr>
            <w:tcW w:w="0" w:type="dxa"/>
            <w:vAlign w:val="bottom"/>
          </w:tcPr>
          <w:p>
            <w:pPr>
              <w:spacing w:after="0"/>
              <w:rPr>
                <w:sz w:val="1"/>
                <w:szCs w:val="1"/>
                <w:color w:val="auto"/>
              </w:rPr>
            </w:pPr>
          </w:p>
        </w:tc>
      </w:tr>
      <w:tr>
        <w:trPr>
          <w:trHeight w:val="224"/>
        </w:trPr>
        <w:tc>
          <w:tcPr>
            <w:tcW w:w="5560" w:type="dxa"/>
            <w:vAlign w:val="bottom"/>
          </w:tcPr>
          <w:p>
            <w:pPr>
              <w:ind w:left="180"/>
              <w:spacing w:after="0"/>
              <w:rPr>
                <w:sz w:val="20"/>
                <w:szCs w:val="20"/>
                <w:color w:val="auto"/>
              </w:rPr>
            </w:pPr>
            <w:r>
              <w:rPr>
                <w:rFonts w:ascii="Arial" w:cs="Arial" w:eastAsia="Arial" w:hAnsi="Arial"/>
                <w:sz w:val="18"/>
                <w:szCs w:val="18"/>
                <w:color w:val="auto"/>
              </w:rPr>
              <w:t>Options exercisable at 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22,930,309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92,974</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Nonvested options outstanding at the end of the year was 7,975,234 with weighted average grant-date fair value of $8.38.</w:t>
      </w:r>
    </w:p>
    <w:p>
      <w:pPr>
        <w:spacing w:after="0" w:line="19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56"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fair value of the stock option awards for the period ended December 31, 2021, and as of December 31, 2020, and 2019 were estimated using the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60.00%</w:t>
            </w:r>
          </w:p>
        </w:tc>
      </w:tr>
      <w:tr>
        <w:trPr>
          <w:trHeight w:val="225"/>
        </w:trPr>
        <w:tc>
          <w:tcPr>
            <w:tcW w:w="608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60.00%</w:t>
            </w:r>
          </w:p>
        </w:tc>
      </w:tr>
      <w:tr>
        <w:trPr>
          <w:trHeight w:val="22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0.50–1.49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3.00–5.00</w:t>
            </w:r>
          </w:p>
        </w:tc>
      </w:tr>
      <w:tr>
        <w:trPr>
          <w:trHeight w:val="225"/>
        </w:trPr>
        <w:tc>
          <w:tcPr>
            <w:tcW w:w="60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1.40%–1.43%</w:t>
            </w:r>
          </w:p>
        </w:tc>
      </w:tr>
      <w:tr>
        <w:trPr>
          <w:trHeight w:val="226"/>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9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4"/>
        </w:trPr>
        <w:tc>
          <w:tcPr>
            <w:tcW w:w="6080" w:type="dxa"/>
            <w:vAlign w:val="bottom"/>
          </w:tcPr>
          <w:p>
            <w:pPr>
              <w:ind w:left="20"/>
              <w:spacing w:after="0"/>
              <w:rPr>
                <w:sz w:val="20"/>
                <w:szCs w:val="20"/>
                <w:color w:val="auto"/>
              </w:rPr>
            </w:pPr>
            <w:r>
              <w:rPr>
                <w:rFonts w:ascii="Arial" w:cs="Arial" w:eastAsia="Arial" w:hAnsi="Arial"/>
                <w:sz w:val="18"/>
                <w:szCs w:val="18"/>
                <w:color w:val="auto"/>
              </w:rPr>
              <w:t>Fair value of Class A common stock</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$7.62-$11.60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$5.49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$0.77</w:t>
            </w:r>
          </w:p>
        </w:tc>
      </w:tr>
    </w:tbl>
    <w:p>
      <w:pPr>
        <w:spacing w:after="0" w:line="227" w:lineRule="exact"/>
        <w:rPr>
          <w:sz w:val="20"/>
          <w:szCs w:val="20"/>
          <w:color w:val="auto"/>
        </w:rPr>
      </w:pPr>
    </w:p>
    <w:p>
      <w:pPr>
        <w:ind w:right="280" w:firstLine="318"/>
        <w:spacing w:after="0" w:line="237" w:lineRule="auto"/>
        <w:rPr>
          <w:sz w:val="20"/>
          <w:szCs w:val="20"/>
          <w:color w:val="auto"/>
        </w:rPr>
      </w:pPr>
      <w:r>
        <w:rPr>
          <w:rFonts w:ascii="Arial" w:cs="Arial" w:eastAsia="Arial" w:hAnsi="Arial"/>
          <w:sz w:val="17"/>
          <w:szCs w:val="17"/>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27" w:right="339" w:bottom="1440" w:gutter="0" w:footer="0" w:header="0"/>
        </w:sectPr>
      </w:pPr>
    </w:p>
    <w:bookmarkStart w:id="140" w:name="page141"/>
    <w:bookmarkEnd w:id="1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100" w:type="dxa"/>
            <w:vAlign w:val="bottom"/>
            <w:gridSpan w:val="2"/>
          </w:tcPr>
          <w:p>
            <w:pPr>
              <w:ind w:left="480"/>
              <w:spacing w:after="0"/>
              <w:rPr>
                <w:sz w:val="20"/>
                <w:szCs w:val="20"/>
                <w:color w:val="auto"/>
              </w:rPr>
            </w:pPr>
            <w:r>
              <w:rPr>
                <w:rFonts w:ascii="Arial" w:cs="Arial" w:eastAsia="Arial" w:hAnsi="Arial"/>
                <w:sz w:val="14"/>
                <w:szCs w:val="14"/>
                <w:b w:val="1"/>
                <w:bCs w:val="1"/>
                <w:color w:val="auto"/>
              </w:rPr>
              <w:t>Restricted Stock Units</w:t>
            </w:r>
          </w:p>
        </w:tc>
        <w:tc>
          <w:tcPr>
            <w:tcW w:w="2380" w:type="dxa"/>
            <w:vAlign w:val="bottom"/>
          </w:tcPr>
          <w:p>
            <w:pPr>
              <w:jc w:val="right"/>
              <w:ind w:right="57"/>
              <w:spacing w:after="0"/>
              <w:rPr>
                <w:sz w:val="20"/>
                <w:szCs w:val="20"/>
                <w:color w:val="auto"/>
              </w:rPr>
            </w:pPr>
            <w:r>
              <w:rPr>
                <w:rFonts w:ascii="Arial" w:cs="Arial" w:eastAsia="Arial" w:hAnsi="Arial"/>
                <w:sz w:val="14"/>
                <w:szCs w:val="14"/>
                <w:b w:val="1"/>
                <w:bCs w:val="1"/>
                <w:color w:val="auto"/>
              </w:rPr>
              <w:t>Weighted Average Grant Date</w:t>
            </w:r>
          </w:p>
        </w:tc>
      </w:tr>
      <w:tr>
        <w:trPr>
          <w:trHeight w:val="185"/>
        </w:trPr>
        <w:tc>
          <w:tcPr>
            <w:tcW w:w="57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CCEEFF"/>
            </w:tcBorders>
          </w:tcPr>
          <w:p>
            <w:pPr>
              <w:spacing w:after="0"/>
              <w:rPr>
                <w:sz w:val="16"/>
                <w:szCs w:val="16"/>
                <w:color w:val="auto"/>
              </w:rPr>
            </w:pPr>
          </w:p>
        </w:tc>
        <w:tc>
          <w:tcPr>
            <w:tcW w:w="23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Fair Value Per Unit</w:t>
            </w:r>
          </w:p>
        </w:tc>
      </w:tr>
      <w:tr>
        <w:trPr>
          <w:trHeight w:val="21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December 31, 2020</w:t>
            </w:r>
          </w:p>
        </w:tc>
        <w:tc>
          <w:tcPr>
            <w:tcW w:w="2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700" w:type="dxa"/>
            <w:vAlign w:val="bottom"/>
          </w:tcPr>
          <w:p>
            <w:pPr>
              <w:ind w:left="500"/>
              <w:spacing w:after="0"/>
              <w:rPr>
                <w:sz w:val="20"/>
                <w:szCs w:val="20"/>
                <w:color w:val="auto"/>
              </w:rPr>
            </w:pPr>
            <w:r>
              <w:rPr>
                <w:rFonts w:ascii="Arial" w:cs="Arial" w:eastAsia="Arial" w:hAnsi="Arial"/>
                <w:sz w:val="18"/>
                <w:szCs w:val="18"/>
                <w:color w:val="auto"/>
              </w:rPr>
              <w:t>Restricted Stock Units granted</w:t>
            </w:r>
          </w:p>
        </w:tc>
        <w:tc>
          <w:tcPr>
            <w:tcW w:w="2000" w:type="dxa"/>
            <w:vAlign w:val="bottom"/>
          </w:tcPr>
          <w:p>
            <w:pPr>
              <w:jc w:val="right"/>
              <w:spacing w:after="0"/>
              <w:rPr>
                <w:sz w:val="20"/>
                <w:szCs w:val="20"/>
                <w:color w:val="auto"/>
              </w:rPr>
            </w:pPr>
            <w:r>
              <w:rPr>
                <w:rFonts w:ascii="Arial" w:cs="Arial" w:eastAsia="Arial" w:hAnsi="Arial"/>
                <w:sz w:val="18"/>
                <w:szCs w:val="18"/>
                <w:color w:val="auto"/>
              </w:rPr>
              <w:t>14,250,909</w:t>
            </w:r>
          </w:p>
        </w:tc>
        <w:tc>
          <w:tcPr>
            <w:tcW w:w="10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26"/>
        </w:trPr>
        <w:tc>
          <w:tcPr>
            <w:tcW w:w="5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Restricted Stock Units vested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(1,466,010)</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5"/>
        </w:trPr>
        <w:tc>
          <w:tcPr>
            <w:tcW w:w="5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Restricted Stock Units forfeited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19"/>
        </w:trPr>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at December 31, 2021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12,589,558</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bl>
    <w:p>
      <w:pPr>
        <w:spacing w:after="0" w:line="2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Earn-out RSUs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 (SAR) Activity</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27" w:right="339" w:bottom="1440" w:gutter="0" w:footer="0" w:header="0"/>
        </w:sectPr>
      </w:pPr>
    </w:p>
    <w:bookmarkStart w:id="141" w:name="page142"/>
    <w:bookmarkEnd w:id="1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Stock-based compensation expense is included within the consolidated statements of operations and comprehensive loss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(Restated) (1)</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22,567</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219,421</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120,231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5,482</w:t>
            </w:r>
          </w:p>
        </w:tc>
      </w:tr>
      <w:tr>
        <w:trPr>
          <w:trHeight w:val="20"/>
        </w:trPr>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(1) Refer to Note 2, “Summary of Significant Accounting Policies.” for further details and discussions.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200" w:lineRule="exact"/>
        <w:rPr>
          <w:sz w:val="20"/>
          <w:szCs w:val="20"/>
          <w:color w:val="auto"/>
        </w:rPr>
      </w:pPr>
    </w:p>
    <w:p>
      <w:pPr>
        <w:spacing w:after="0" w:line="3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Redeemable Convertible Preferred Stock</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shares of Redeemable Convertible Preferred Stock outstanding as of December 31, 2021. Redeemable Convertible Preferred Stock as of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consisted of the following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Redeemable Convertible Preferred Stock</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 Authorized</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Shares Issued and</w:t>
            </w:r>
          </w:p>
        </w:tc>
        <w:tc>
          <w:tcPr>
            <w:tcW w:w="320" w:type="dxa"/>
            <w:vAlign w:val="bottom"/>
          </w:tcPr>
          <w:p>
            <w:pPr>
              <w:spacing w:after="0"/>
              <w:rPr>
                <w:sz w:val="14"/>
                <w:szCs w:val="14"/>
                <w:color w:val="auto"/>
              </w:rPr>
            </w:pPr>
          </w:p>
        </w:tc>
        <w:tc>
          <w:tcPr>
            <w:tcW w:w="13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Aggregate Liquidation</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vMerge w:val="continue"/>
          </w:tcPr>
          <w:p>
            <w:pPr>
              <w:spacing w:after="0"/>
              <w:rPr>
                <w:sz w:val="16"/>
                <w:szCs w:val="16"/>
                <w:color w:val="auto"/>
              </w:rPr>
            </w:pPr>
          </w:p>
        </w:tc>
        <w:tc>
          <w:tcPr>
            <w:tcW w:w="1660" w:type="dxa"/>
            <w:vAlign w:val="bottom"/>
            <w:tcBorders>
              <w:bottom w:val="single" w:sz="8" w:color="auto"/>
            </w:tcBorders>
            <w:gridSpan w:val="2"/>
            <w:vMerge w:val="continue"/>
          </w:tcPr>
          <w:p>
            <w:pPr>
              <w:spacing w:after="0"/>
              <w:rPr>
                <w:sz w:val="16"/>
                <w:szCs w:val="16"/>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Outstanding</w:t>
            </w: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55,399,943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Series A-2</w:t>
            </w:r>
          </w:p>
        </w:tc>
        <w:tc>
          <w:tcPr>
            <w:tcW w:w="1580" w:type="dxa"/>
            <w:vAlign w:val="bottom"/>
          </w:tcPr>
          <w:p>
            <w:pPr>
              <w:jc w:val="right"/>
              <w:spacing w:after="0"/>
              <w:rPr>
                <w:sz w:val="20"/>
                <w:szCs w:val="20"/>
                <w:color w:val="auto"/>
              </w:rPr>
            </w:pPr>
            <w:r>
              <w:rPr>
                <w:rFonts w:ascii="Arial" w:cs="Arial" w:eastAsia="Arial" w:hAnsi="Arial"/>
                <w:sz w:val="18"/>
                <w:szCs w:val="18"/>
                <w:color w:val="auto"/>
              </w:rPr>
              <w:t>64,718,940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49,700,364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46,480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49,342</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204,302</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Series C</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24,497,317</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121,397</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Redeemable Convertible Preferred Stock</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186,554,160</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171,535,213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334,439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Common Stock</w:t>
      </w:r>
    </w:p>
    <w:p>
      <w:pPr>
        <w:spacing w:after="0" w:line="1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27" w:right="339" w:bottom="1440" w:gutter="0" w:footer="0" w:header="0"/>
        </w:sectPr>
      </w:pPr>
    </w:p>
    <w:bookmarkStart w:id="142" w:name="page143"/>
    <w:bookmarkEnd w:id="1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before incomes taxes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52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Domestic</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74"/>
              <w:spacing w:after="0"/>
              <w:rPr>
                <w:sz w:val="20"/>
                <w:szCs w:val="20"/>
                <w:color w:val="auto"/>
              </w:rPr>
            </w:pPr>
            <w:r>
              <w:rPr>
                <w:rFonts w:ascii="Arial" w:cs="Arial" w:eastAsia="Arial" w:hAnsi="Arial"/>
                <w:sz w:val="18"/>
                <w:szCs w:val="18"/>
                <w:color w:val="auto"/>
                <w:w w:val="88"/>
              </w:rPr>
              <w:t>(245,390)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9"/>
              </w:rPr>
              <w:t>(29,704)</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88"/>
              </w:rPr>
              <w:t>(245,390)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(29,704)</w:t>
            </w:r>
          </w:p>
        </w:tc>
      </w:tr>
      <w:tr>
        <w:trPr>
          <w:trHeight w:val="299"/>
        </w:trPr>
        <w:tc>
          <w:tcPr>
            <w:tcW w:w="6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83"/>
        </w:trPr>
        <w:tc>
          <w:tcPr>
            <w:tcW w:w="6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800" w:type="dxa"/>
            <w:vAlign w:val="bottom"/>
            <w:gridSpan w:val="5"/>
            <w:shd w:val="clear" w:color="auto" w:fill="CCEEFF"/>
          </w:tcPr>
          <w:p>
            <w:pPr>
              <w:jc w:val="right"/>
              <w:ind w:right="152"/>
              <w:spacing w:after="0"/>
              <w:rPr>
                <w:sz w:val="20"/>
                <w:szCs w:val="20"/>
                <w:color w:val="auto"/>
              </w:rPr>
            </w:pPr>
            <w:r>
              <w:rPr>
                <w:rFonts w:ascii="Arial" w:cs="Arial" w:eastAsia="Arial" w:hAnsi="Arial"/>
                <w:sz w:val="18"/>
                <w:szCs w:val="18"/>
                <w:color w:val="auto"/>
              </w:rPr>
              <w:t>— — % $</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2"/>
        </w:trPr>
        <w:tc>
          <w:tcPr>
            <w:tcW w:w="6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25"/>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2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25"/>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gridSpan w:val="2"/>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r>
      <w:tr>
        <w:trPr>
          <w:trHeight w:val="218"/>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674"/>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9"/>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Total Tax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1280" w:type="dxa"/>
            <w:vAlign w:val="bottom"/>
            <w:gridSpan w:val="2"/>
          </w:tcPr>
          <w:p>
            <w:pPr>
              <w:jc w:val="center"/>
              <w:ind w:left="454"/>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152"/>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6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taxes at statutory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21.0%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21.0%</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156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3.5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1660" w:type="dxa"/>
            <w:vAlign w:val="bottom"/>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Non-deductible stock-based compensation</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(11.3)</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(7.8)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(3.3)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(5.7)</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Permanent Items</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(0.5)</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17.0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(32.0)</w:t>
            </w:r>
          </w:p>
        </w:tc>
        <w:tc>
          <w:tcPr>
            <w:tcW w:w="1660" w:type="dxa"/>
            <w:vAlign w:val="bottom"/>
            <w:gridSpan w:val="2"/>
          </w:tcPr>
          <w:p>
            <w:pPr>
              <w:jc w:val="center"/>
              <w:ind w:left="35"/>
              <w:spacing w:after="0"/>
              <w:rPr>
                <w:sz w:val="20"/>
                <w:szCs w:val="20"/>
                <w:color w:val="auto"/>
              </w:rPr>
            </w:pPr>
            <w:r>
              <w:rPr>
                <w:rFonts w:ascii="Arial" w:cs="Arial" w:eastAsia="Arial" w:hAnsi="Arial"/>
                <w:sz w:val="18"/>
                <w:szCs w:val="18"/>
                <w:color w:val="auto"/>
                <w:w w:val="89"/>
              </w:rPr>
              <w:t>(15.9)</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3"/>
              </w:rPr>
              <w:t>(24.1)</w:t>
            </w:r>
          </w:p>
        </w:tc>
      </w:tr>
      <w:tr>
        <w:trPr>
          <w:trHeight w:val="24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27" w:right="339" w:bottom="1440" w:gutter="0" w:footer="0" w:header="0"/>
        </w:sectPr>
      </w:pPr>
    </w:p>
    <w:bookmarkStart w:id="143" w:name="page144"/>
    <w:bookmarkEnd w:id="1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44,583</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costs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Unearned revenue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employer taxes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Obsolete inventory reserve</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9"/>
        </w:trPr>
        <w:tc>
          <w:tcPr>
            <w:tcW w:w="8020" w:type="dxa"/>
            <w:vAlign w:val="bottom"/>
          </w:tcPr>
          <w:p>
            <w:pPr>
              <w:ind w:left="24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8"/>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(155,668)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(58,264)</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2"/>
        </w:trPr>
        <w:tc>
          <w:tcPr>
            <w:tcW w:w="8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6"/>
        </w:trPr>
        <w:tc>
          <w:tcPr>
            <w:tcW w:w="8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Property and equipment</w:t>
            </w: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25"/>
        </w:trPr>
        <w:tc>
          <w:tcPr>
            <w:tcW w:w="80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Capitalized software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w:t>
            </w:r>
          </w:p>
        </w:tc>
      </w:tr>
      <w:tr>
        <w:trPr>
          <w:trHeight w:val="244"/>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3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Arial" w:cs="Arial" w:eastAsia="Arial" w:hAnsi="Arial"/>
                <w:sz w:val="18"/>
                <w:szCs w:val="18"/>
                <w:color w:val="auto"/>
              </w:rPr>
              <w:t>Net deferred tax assets</w:t>
            </w:r>
          </w:p>
        </w:tc>
        <w:tc>
          <w:tcPr>
            <w:tcW w:w="380" w:type="dxa"/>
            <w:vAlign w:val="bottom"/>
          </w:tcPr>
          <w:p>
            <w:pPr>
              <w:jc w:val="right"/>
              <w:ind w:right="192"/>
              <w:spacing w:after="0" w:line="198"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line="198"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92"/>
              <w:spacing w:after="0" w:line="198"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1660" w:type="dxa"/>
            <w:vAlign w:val="bottom"/>
            <w:gridSpan w:val="2"/>
          </w:tcPr>
          <w:p>
            <w:pPr>
              <w:ind w:left="540"/>
              <w:spacing w:after="0"/>
              <w:rPr>
                <w:sz w:val="20"/>
                <w:szCs w:val="20"/>
                <w:color w:val="auto"/>
              </w:rPr>
            </w:pPr>
            <w:r>
              <w:rPr>
                <w:rFonts w:ascii="Arial" w:cs="Arial" w:eastAsia="Arial" w:hAnsi="Arial"/>
                <w:sz w:val="14"/>
                <w:szCs w:val="14"/>
                <w:b w:val="1"/>
                <w:bCs w:val="1"/>
                <w:color w:val="auto"/>
              </w:rPr>
              <w:t>Amount</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period</w:t>
            </w:r>
          </w:p>
        </w:tc>
      </w:tr>
      <w:tr>
        <w:trPr>
          <w:trHeight w:val="211"/>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Federal (pre-2018 net operating losses)</w:t>
            </w:r>
          </w:p>
        </w:tc>
        <w:tc>
          <w:tcPr>
            <w:tcW w:w="1560" w:type="dxa"/>
            <w:vAlign w:val="bottom"/>
          </w:tcPr>
          <w:p>
            <w:pPr>
              <w:jc w:val="right"/>
              <w:spacing w:after="0"/>
              <w:rPr>
                <w:sz w:val="20"/>
                <w:szCs w:val="20"/>
                <w:color w:val="auto"/>
              </w:rPr>
            </w:pPr>
            <w:r>
              <w:rPr>
                <w:rFonts w:ascii="Arial" w:cs="Arial" w:eastAsia="Arial" w:hAnsi="Arial"/>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2036-2037</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tcPr>
          <w:p>
            <w:pPr>
              <w:jc w:val="right"/>
              <w:spacing w:after="0"/>
              <w:rPr>
                <w:sz w:val="20"/>
                <w:szCs w:val="20"/>
                <w:color w:val="auto"/>
              </w:rPr>
            </w:pPr>
            <w:r>
              <w:rPr>
                <w:rFonts w:ascii="Arial" w:cs="Arial" w:eastAsia="Arial" w:hAnsi="Arial"/>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2028-2042</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2038-2040</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Connecticut research and experimental</w:t>
            </w:r>
          </w:p>
        </w:tc>
        <w:tc>
          <w:tcPr>
            <w:tcW w:w="1560" w:type="dxa"/>
            <w:vAlign w:val="bottom"/>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2034-2035</w:t>
            </w:r>
          </w:p>
        </w:tc>
      </w:tr>
      <w:tr>
        <w:trPr>
          <w:trHeight w:val="226"/>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 expiration</w:t>
            </w: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the following deferred tax valuation allowance balances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27" w:right="339" w:bottom="1440" w:gutter="0" w:footer="0" w:header="0"/>
        </w:sectPr>
      </w:pPr>
    </w:p>
    <w:bookmarkStart w:id="144" w:name="page145"/>
    <w:bookmarkEnd w:id="1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40" w:type="dxa"/>
        <w:tblCellMar>
          <w:top w:w="0" w:type="dxa"/>
          <w:left w:w="0" w:type="dxa"/>
          <w:bottom w:w="0" w:type="dxa"/>
          <w:right w:w="0" w:type="dxa"/>
        </w:tblCellMar>
      </w:tblPr>
      <w:tr>
        <w:trPr>
          <w:trHeight w:val="189"/>
        </w:trPr>
        <w:tc>
          <w:tcPr>
            <w:tcW w:w="1120" w:type="dxa"/>
            <w:vAlign w:val="bottom"/>
            <w:tcBorders>
              <w:bottom w:val="single" w:sz="8" w:color="auto"/>
            </w:tcBorders>
          </w:tcPr>
          <w:p>
            <w:pPr>
              <w:jc w:val="center"/>
              <w:ind w:left="116"/>
              <w:spacing w:after="0"/>
              <w:rPr>
                <w:sz w:val="20"/>
                <w:szCs w:val="20"/>
                <w:color w:val="auto"/>
              </w:rPr>
            </w:pPr>
            <w:r>
              <w:rPr>
                <w:rFonts w:ascii="Arial" w:cs="Arial" w:eastAsia="Arial" w:hAnsi="Arial"/>
                <w:sz w:val="14"/>
                <w:szCs w:val="14"/>
                <w:b w:val="1"/>
                <w:bCs w:val="1"/>
                <w:color w:val="auto"/>
                <w:w w:val="92"/>
              </w:rPr>
              <w:t>Year</w:t>
            </w:r>
          </w:p>
        </w:tc>
        <w:tc>
          <w:tcPr>
            <w:tcW w:w="298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rPr>
              <w:t>Balance at the Beginning of Period</w:t>
            </w:r>
          </w:p>
        </w:tc>
        <w:tc>
          <w:tcPr>
            <w:tcW w:w="2280" w:type="dxa"/>
            <w:vAlign w:val="bottom"/>
            <w:tcBorders>
              <w:bottom w:val="single" w:sz="8" w:color="auto"/>
            </w:tcBorders>
          </w:tcPr>
          <w:p>
            <w:pPr>
              <w:jc w:val="right"/>
              <w:ind w:right="1096"/>
              <w:spacing w:after="0"/>
              <w:rPr>
                <w:sz w:val="20"/>
                <w:szCs w:val="20"/>
                <w:color w:val="auto"/>
              </w:rPr>
            </w:pPr>
            <w:r>
              <w:rPr>
                <w:rFonts w:ascii="Arial" w:cs="Arial" w:eastAsia="Arial" w:hAnsi="Arial"/>
                <w:sz w:val="14"/>
                <w:szCs w:val="14"/>
                <w:b w:val="1"/>
                <w:bCs w:val="1"/>
                <w:color w:val="auto"/>
              </w:rPr>
              <w:t>Additions</w:t>
            </w:r>
          </w:p>
        </w:tc>
        <w:tc>
          <w:tcPr>
            <w:tcW w:w="2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Write-Offs/Other</w:t>
            </w:r>
          </w:p>
        </w:tc>
        <w:tc>
          <w:tcPr>
            <w:tcW w:w="2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Balance at the End of Period</w:t>
            </w:r>
          </w:p>
        </w:tc>
      </w:tr>
      <w:tr>
        <w:trPr>
          <w:trHeight w:val="224"/>
        </w:trPr>
        <w:tc>
          <w:tcPr>
            <w:tcW w:w="11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9"/>
              </w:rPr>
              <w:t>2021</w:t>
            </w:r>
          </w:p>
        </w:tc>
        <w:tc>
          <w:tcPr>
            <w:tcW w:w="12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58,264</w:t>
            </w:r>
          </w:p>
        </w:tc>
        <w:tc>
          <w:tcPr>
            <w:tcW w:w="2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97,404</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155,668</w:t>
            </w:r>
          </w:p>
        </w:tc>
      </w:tr>
      <w:tr>
        <w:trPr>
          <w:trHeight w:val="225"/>
        </w:trPr>
        <w:tc>
          <w:tcPr>
            <w:tcW w:w="1120" w:type="dxa"/>
            <w:vAlign w:val="bottom"/>
          </w:tcPr>
          <w:p>
            <w:pPr>
              <w:jc w:val="center"/>
              <w:ind w:left="116"/>
              <w:spacing w:after="0"/>
              <w:rPr>
                <w:sz w:val="20"/>
                <w:szCs w:val="20"/>
                <w:color w:val="auto"/>
              </w:rPr>
            </w:pPr>
            <w:r>
              <w:rPr>
                <w:rFonts w:ascii="Arial" w:cs="Arial" w:eastAsia="Arial" w:hAnsi="Arial"/>
                <w:sz w:val="18"/>
                <w:szCs w:val="18"/>
                <w:color w:val="auto"/>
                <w:w w:val="89"/>
              </w:rPr>
              <w:t>2020</w:t>
            </w:r>
          </w:p>
        </w:tc>
        <w:tc>
          <w:tcPr>
            <w:tcW w:w="1200" w:type="dxa"/>
            <w:vAlign w:val="bottom"/>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12"/>
              <w:spacing w:after="0"/>
              <w:rPr>
                <w:sz w:val="20"/>
                <w:szCs w:val="20"/>
                <w:color w:val="auto"/>
              </w:rPr>
            </w:pPr>
            <w:r>
              <w:rPr>
                <w:rFonts w:ascii="Arial" w:cs="Arial" w:eastAsia="Arial" w:hAnsi="Arial"/>
                <w:sz w:val="18"/>
                <w:szCs w:val="18"/>
                <w:color w:val="auto"/>
              </w:rPr>
              <w:t>20,082</w:t>
            </w:r>
          </w:p>
        </w:tc>
        <w:tc>
          <w:tcPr>
            <w:tcW w:w="2280" w:type="dxa"/>
            <w:vAlign w:val="bottom"/>
          </w:tcPr>
          <w:p>
            <w:pPr>
              <w:jc w:val="right"/>
              <w:ind w:right="276"/>
              <w:spacing w:after="0"/>
              <w:rPr>
                <w:sz w:val="20"/>
                <w:szCs w:val="20"/>
                <w:color w:val="auto"/>
              </w:rPr>
            </w:pPr>
            <w:r>
              <w:rPr>
                <w:rFonts w:ascii="Arial" w:cs="Arial" w:eastAsia="Arial" w:hAnsi="Arial"/>
                <w:sz w:val="18"/>
                <w:szCs w:val="18"/>
                <w:color w:val="auto"/>
              </w:rPr>
              <w:t>38,182</w:t>
            </w:r>
          </w:p>
        </w:tc>
        <w:tc>
          <w:tcPr>
            <w:tcW w:w="2040" w:type="dxa"/>
            <w:vAlign w:val="bottom"/>
          </w:tcPr>
          <w:p>
            <w:pPr>
              <w:ind w:left="17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58,264</w:t>
            </w:r>
          </w:p>
        </w:tc>
      </w:tr>
      <w:tr>
        <w:trPr>
          <w:trHeight w:val="226"/>
        </w:trPr>
        <w:tc>
          <w:tcPr>
            <w:tcW w:w="1120" w:type="dxa"/>
            <w:vAlign w:val="bottom"/>
            <w:shd w:val="clear" w:color="auto" w:fill="CCEEFF"/>
          </w:tcPr>
          <w:p>
            <w:pPr>
              <w:jc w:val="center"/>
              <w:ind w:left="116"/>
              <w:spacing w:after="0"/>
              <w:rPr>
                <w:sz w:val="20"/>
                <w:szCs w:val="20"/>
                <w:color w:val="auto"/>
              </w:rPr>
            </w:pPr>
            <w:r>
              <w:rPr>
                <w:rFonts w:ascii="Arial" w:cs="Arial" w:eastAsia="Arial" w:hAnsi="Arial"/>
                <w:sz w:val="18"/>
                <w:szCs w:val="18"/>
                <w:color w:val="auto"/>
                <w:w w:val="89"/>
              </w:rPr>
              <w:t>2019</w:t>
            </w:r>
          </w:p>
        </w:tc>
        <w:tc>
          <w:tcPr>
            <w:tcW w:w="12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12,928</w:t>
            </w:r>
          </w:p>
        </w:tc>
        <w:tc>
          <w:tcPr>
            <w:tcW w:w="228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7,154</w:t>
            </w:r>
          </w:p>
        </w:tc>
        <w:tc>
          <w:tcPr>
            <w:tcW w:w="20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20,082</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2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9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 reconciliation of the beginning and ending amounts of unrecognized tax benefits for the years ended December 31, 2021, 2020 and 2019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127" w:right="339" w:bottom="1440" w:gutter="0" w:footer="0" w:header="0"/>
        </w:sectPr>
      </w:pPr>
    </w:p>
    <w:bookmarkStart w:id="145" w:name="page146"/>
    <w:bookmarkEnd w:id="1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3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78"/>
        </w:trPr>
        <w:tc>
          <w:tcPr>
            <w:tcW w:w="636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3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64"/>
        </w:trPr>
        <w:tc>
          <w:tcPr>
            <w:tcW w:w="6360" w:type="dxa"/>
            <w:vAlign w:val="bottom"/>
          </w:tcPr>
          <w:p>
            <w:pPr>
              <w:ind w:left="240"/>
              <w:spacing w:after="0"/>
              <w:rPr>
                <w:sz w:val="20"/>
                <w:szCs w:val="20"/>
                <w:color w:val="auto"/>
              </w:rPr>
            </w:pPr>
            <w:r>
              <w:rPr>
                <w:rFonts w:ascii="Arial" w:cs="Arial" w:eastAsia="Arial" w:hAnsi="Arial"/>
                <w:sz w:val="18"/>
                <w:szCs w:val="18"/>
                <w:color w:val="auto"/>
              </w:rPr>
              <w:t>Gross increases – tax positions in current period</w:t>
            </w:r>
          </w:p>
        </w:tc>
        <w:tc>
          <w:tcPr>
            <w:tcW w:w="1080" w:type="dxa"/>
            <w:vAlign w:val="bottom"/>
          </w:tcPr>
          <w:p>
            <w:pPr>
              <w:spacing w:after="0"/>
              <w:rPr>
                <w:sz w:val="23"/>
                <w:szCs w:val="23"/>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31"/>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80" w:type="dxa"/>
            <w:vAlign w:val="bottom"/>
            <w:tcBorders>
              <w:top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8"/>
        </w:trPr>
        <w:tc>
          <w:tcPr>
            <w:tcW w:w="6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3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11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Net Loss per Share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(245,390)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(241,340)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(32,743)</w:t>
            </w: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6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89"/>
              </w:rPr>
              <w:t>Denominator for basic and diluted earnings per share-weighted-average common shares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108,077,439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(264,056)</w:t>
            </w:r>
          </w:p>
        </w:tc>
      </w:tr>
    </w:tbl>
    <w:p>
      <w:pPr>
        <w:spacing w:after="0" w:line="2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summarize the outstanding shares of potentially dilutive securities that were excluded from the computation of diluted net loss per share attributable to common stockholders for the period presented because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27" w:right="339" w:bottom="1440" w:gutter="0" w:footer="0" w:header="0"/>
        </w:sectPr>
      </w:pPr>
    </w:p>
    <w:bookmarkStart w:id="146" w:name="page147"/>
    <w:bookmarkEnd w:id="1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gridSpan w:val="2"/>
          </w:tcPr>
          <w:p>
            <w:pPr>
              <w:spacing w:after="0"/>
              <w:rPr>
                <w:sz w:val="20"/>
                <w:szCs w:val="20"/>
                <w:color w:val="auto"/>
              </w:rPr>
            </w:pPr>
            <w:r>
              <w:rPr>
                <w:rFonts w:ascii="Arial" w:cs="Arial" w:eastAsia="Arial" w:hAnsi="Arial"/>
                <w:sz w:val="18"/>
                <w:szCs w:val="18"/>
                <w:color w:val="auto"/>
              </w:rPr>
              <w:t>including</w:t>
            </w:r>
          </w:p>
        </w:tc>
        <w:tc>
          <w:tcPr>
            <w:tcW w:w="1480" w:type="dxa"/>
            <w:vAlign w:val="bottom"/>
          </w:tcPr>
          <w:p>
            <w:pPr>
              <w:ind w:left="40"/>
              <w:spacing w:after="0"/>
              <w:rPr>
                <w:sz w:val="20"/>
                <w:szCs w:val="20"/>
                <w:color w:val="auto"/>
              </w:rPr>
            </w:pPr>
            <w:r>
              <w:rPr>
                <w:rFonts w:ascii="Arial" w:cs="Arial" w:eastAsia="Arial" w:hAnsi="Arial"/>
                <w:sz w:val="18"/>
                <w:szCs w:val="18"/>
                <w:color w:val="auto"/>
              </w:rPr>
              <w:t>them</w:t>
            </w:r>
          </w:p>
        </w:tc>
        <w:tc>
          <w:tcPr>
            <w:tcW w:w="2620" w:type="dxa"/>
            <w:vAlign w:val="bottom"/>
          </w:tcPr>
          <w:p>
            <w:pPr>
              <w:ind w:left="560"/>
              <w:spacing w:after="0"/>
              <w:rPr>
                <w:sz w:val="20"/>
                <w:szCs w:val="20"/>
                <w:color w:val="auto"/>
              </w:rPr>
            </w:pPr>
            <w:r>
              <w:rPr>
                <w:rFonts w:ascii="Arial" w:cs="Arial" w:eastAsia="Arial" w:hAnsi="Arial"/>
                <w:sz w:val="18"/>
                <w:szCs w:val="18"/>
                <w:color w:val="auto"/>
              </w:rPr>
              <w:t>would</w:t>
            </w:r>
          </w:p>
        </w:tc>
        <w:tc>
          <w:tcPr>
            <w:tcW w:w="1560" w:type="dxa"/>
            <w:vAlign w:val="bottom"/>
          </w:tcPr>
          <w:p>
            <w:pPr>
              <w:jc w:val="right"/>
              <w:ind w:right="1114"/>
              <w:spacing w:after="0"/>
              <w:rPr>
                <w:sz w:val="20"/>
                <w:szCs w:val="20"/>
                <w:color w:val="auto"/>
              </w:rPr>
            </w:pPr>
            <w:r>
              <w:rPr>
                <w:rFonts w:ascii="Arial" w:cs="Arial" w:eastAsia="Arial" w:hAnsi="Arial"/>
                <w:sz w:val="18"/>
                <w:szCs w:val="18"/>
                <w:color w:val="auto"/>
                <w:w w:val="86"/>
              </w:rPr>
              <w:t>have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color w:val="auto"/>
              </w:rPr>
              <w:t>been</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anti-dilutive:</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Outstanding options and RSUs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35,519,867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22,491,757</w:t>
            </w:r>
          </w:p>
        </w:tc>
        <w:tc>
          <w:tcPr>
            <w:tcW w:w="0" w:type="dxa"/>
            <w:vAlign w:val="bottom"/>
          </w:tcPr>
          <w:p>
            <w:pPr>
              <w:spacing w:after="0"/>
              <w:rPr>
                <w:sz w:val="1"/>
                <w:szCs w:val="1"/>
                <w:color w:val="auto"/>
              </w:rPr>
            </w:pPr>
          </w:p>
        </w:tc>
      </w:tr>
      <w:tr>
        <w:trPr>
          <w:trHeight w:val="238"/>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Outstanding warrants</w:t>
            </w:r>
          </w:p>
        </w:tc>
        <w:tc>
          <w:tcPr>
            <w:tcW w:w="14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21,994,972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Outstanding earn-out shares</w:t>
            </w:r>
          </w:p>
        </w:tc>
        <w:tc>
          <w:tcPr>
            <w:tcW w:w="14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16,351,897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Outstanding earn-out RSUs</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2,669,679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121,298,525</w:t>
            </w:r>
          </w:p>
        </w:tc>
        <w:tc>
          <w:tcPr>
            <w:tcW w:w="0" w:type="dxa"/>
            <w:vAlign w:val="bottom"/>
          </w:tcPr>
          <w:p>
            <w:pPr>
              <w:spacing w:after="0"/>
              <w:rPr>
                <w:sz w:val="1"/>
                <w:szCs w:val="1"/>
                <w:color w:val="auto"/>
              </w:rPr>
            </w:pPr>
          </w:p>
        </w:tc>
      </w:tr>
      <w:tr>
        <w:trPr>
          <w:trHeight w:val="21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76,536,415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143,790,282</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15.</w:t>
            </w:r>
          </w:p>
        </w:tc>
        <w:tc>
          <w:tcPr>
            <w:tcW w:w="35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Supplemental Financial Information</w:t>
            </w:r>
          </w:p>
        </w:tc>
        <w:tc>
          <w:tcPr>
            <w:tcW w:w="26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40" w:type="dxa"/>
            <w:vAlign w:val="bottom"/>
            <w:vMerge w:val="continue"/>
          </w:tcPr>
          <w:p>
            <w:pPr>
              <w:spacing w:after="0"/>
              <w:rPr>
                <w:sz w:val="24"/>
                <w:szCs w:val="24"/>
                <w:color w:val="auto"/>
              </w:rPr>
            </w:pPr>
          </w:p>
        </w:tc>
        <w:tc>
          <w:tcPr>
            <w:tcW w:w="3500" w:type="dxa"/>
            <w:vAlign w:val="bottom"/>
            <w:gridSpan w:val="2"/>
            <w:vMerge w:val="continue"/>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6360" w:type="dxa"/>
            <w:vAlign w:val="bottom"/>
            <w:gridSpan w:val="4"/>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40" w:type="dxa"/>
            <w:vAlign w:val="bottom"/>
            <w:tcBorders>
              <w:bottom w:val="single" w:sz="8" w:color="CCEEFF"/>
            </w:tcBorders>
          </w:tcPr>
          <w:p>
            <w:pPr>
              <w:spacing w:after="0"/>
              <w:rPr>
                <w:sz w:val="15"/>
                <w:szCs w:val="15"/>
                <w:color w:val="auto"/>
              </w:rPr>
            </w:pPr>
          </w:p>
        </w:tc>
        <w:tc>
          <w:tcPr>
            <w:tcW w:w="202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26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9"/>
        </w:trPr>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Accrued bonus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9,821</w:t>
            </w: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Accrued payroll</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Accrued benefits</w:t>
            </w:r>
          </w:p>
        </w:tc>
        <w:tc>
          <w:tcPr>
            <w:tcW w:w="14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5"/>
        </w:trPr>
        <w:tc>
          <w:tcPr>
            <w:tcW w:w="24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Accrued commissions</w:t>
            </w:r>
          </w:p>
        </w:tc>
        <w:tc>
          <w:tcPr>
            <w:tcW w:w="14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6"/>
        </w:trPr>
        <w:tc>
          <w:tcPr>
            <w:tcW w:w="24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6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5"/>
        </w:trPr>
        <w:tc>
          <w:tcPr>
            <w:tcW w:w="24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39"/>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other liabilities</w:t>
            </w:r>
          </w:p>
        </w:tc>
        <w:tc>
          <w:tcPr>
            <w:tcW w:w="148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29,968</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28,137</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87"/>
              </w:rPr>
              <w:t>16.</w:t>
            </w:r>
          </w:p>
        </w:tc>
        <w:tc>
          <w:tcPr>
            <w:tcW w:w="20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b w:val="1"/>
                <w:bCs w:val="1"/>
                <w:color w:val="auto"/>
              </w:rPr>
              <w:t>Subsequent Events</w:t>
            </w:r>
          </w:p>
        </w:tc>
        <w:tc>
          <w:tcPr>
            <w:tcW w:w="148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4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GeneDx Acquisition</w:t>
            </w:r>
          </w:p>
        </w:tc>
        <w:tc>
          <w:tcPr>
            <w:tcW w:w="1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January 14, 2022, the Company entered into an Agreement and Plan of Merger and Reorganization (the “Merger Agreement”) with GeneDx, Inc., a New Jersey corporation (“GeneDx”) and a wholly-owned subsidiary of OPKO Health, inc, and the other parties thereto.</w:t>
      </w:r>
    </w:p>
    <w:p>
      <w:pPr>
        <w:spacing w:after="0" w:line="201"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17"/>
          <w:szCs w:val="17"/>
          <w:color w:val="auto"/>
        </w:rPr>
        <w:t>Subject to the terms and conditions of the Merger Agreement, the Company agreed to pay to OPKO Health Inc., of (i) $150 million in cash at the closing of the acquisition (the “Closing”), subject to certain adjustments as provided in the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Merger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Agreements and PIPE Investment (Private Placement)</w:t>
      </w:r>
    </w:p>
    <w:p>
      <w:pPr>
        <w:spacing w:after="0" w:line="21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On January 14, 2022, concurrently with the execution of the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27" w:right="339" w:bottom="1440" w:gutter="0" w:footer="0" w:header="0"/>
        </w:sectPr>
      </w:pPr>
    </w:p>
    <w:bookmarkStart w:id="147" w:name="page148"/>
    <w:bookmarkEnd w:id="1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on that evaluation, our Chief Executive Officer and Chief Financial Officer concluded that our disclosure controls and procedures were not effective as of December 31, 2021 because of the material weaknesses in internal control over financial reporting discussed below.</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Notwithstanding the material weakness in internal control over financial reporting described below, our management has concluded that our consolidated financial statements included in this Annual Report on Form 10-K are fairly stated in all material respects in accordance with accounting principles generally accepted in the United States of America.</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4" w:lineRule="exact"/>
        <w:rPr>
          <w:sz w:val="20"/>
          <w:szCs w:val="20"/>
          <w:color w:val="auto"/>
        </w:rPr>
      </w:pPr>
    </w:p>
    <w:p>
      <w:pPr>
        <w:ind w:right="20" w:firstLine="318"/>
        <w:spacing w:after="0" w:line="249" w:lineRule="auto"/>
        <w:rPr>
          <w:sz w:val="20"/>
          <w:szCs w:val="20"/>
          <w:color w:val="auto"/>
        </w:rPr>
      </w:pPr>
      <w:r>
        <w:rPr>
          <w:rFonts w:ascii="Arial" w:cs="Arial" w:eastAsia="Arial" w:hAnsi="Arial"/>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262" w:lineRule="exact"/>
        <w:rPr>
          <w:sz w:val="20"/>
          <w:szCs w:val="20"/>
          <w:color w:val="auto"/>
        </w:rPr>
      </w:pPr>
    </w:p>
    <w:p>
      <w:pPr>
        <w:ind w:left="640" w:hanging="316"/>
        <w:spacing w:after="0" w:line="232"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36" w:lineRule="exact"/>
        <w:rPr>
          <w:rFonts w:ascii="Arial" w:cs="Arial" w:eastAsia="Arial" w:hAnsi="Arial"/>
          <w:sz w:val="21"/>
          <w:szCs w:val="21"/>
          <w:color w:val="auto"/>
        </w:rPr>
      </w:pPr>
    </w:p>
    <w:p>
      <w:pPr>
        <w:jc w:val="both"/>
        <w:ind w:left="640" w:hanging="316"/>
        <w:spacing w:after="0" w:line="276" w:lineRule="auto"/>
        <w:tabs>
          <w:tab w:leader="none" w:pos="635" w:val="left"/>
        </w:tabs>
        <w:numPr>
          <w:ilvl w:val="0"/>
          <w:numId w:val="54"/>
        </w:numPr>
        <w:rPr>
          <w:rFonts w:ascii="Arial" w:cs="Arial" w:eastAsia="Arial" w:hAnsi="Arial"/>
          <w:sz w:val="19"/>
          <w:szCs w:val="19"/>
          <w:color w:val="auto"/>
        </w:rPr>
      </w:pPr>
      <w:r>
        <w:rPr>
          <w:rFonts w:ascii="Arial" w:cs="Arial" w:eastAsia="Arial" w:hAnsi="Arial"/>
          <w:sz w:val="16"/>
          <w:szCs w:val="16"/>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 – Goodwill and Other – Internal-Use Software; and the application of ASC 840, Leases, ASC 340-40, Contracts with Customers and SEC Regulation S-X Article 5.</w:t>
      </w:r>
    </w:p>
    <w:p>
      <w:pPr>
        <w:spacing w:after="0" w:line="107" w:lineRule="exact"/>
        <w:rPr>
          <w:rFonts w:ascii="Arial" w:cs="Arial" w:eastAsia="Arial" w:hAnsi="Arial"/>
          <w:sz w:val="19"/>
          <w:szCs w:val="19"/>
          <w:color w:val="auto"/>
        </w:rPr>
      </w:pPr>
    </w:p>
    <w:p>
      <w:pPr>
        <w:ind w:left="640" w:hanging="316"/>
        <w:spacing w:after="0" w:line="232" w:lineRule="auto"/>
        <w:tabs>
          <w:tab w:leader="none" w:pos="635" w:val="left"/>
        </w:tabs>
        <w:numPr>
          <w:ilvl w:val="0"/>
          <w:numId w:val="54"/>
        </w:numPr>
        <w:rPr>
          <w:rFonts w:ascii="Arial" w:cs="Arial" w:eastAsia="Arial" w:hAnsi="Arial"/>
          <w:sz w:val="21"/>
          <w:szCs w:val="21"/>
          <w:color w:val="auto"/>
        </w:rPr>
      </w:pPr>
      <w:r>
        <w:rPr>
          <w:rFonts w:ascii="Arial" w:cs="Arial" w:eastAsia="Arial" w:hAnsi="Arial"/>
          <w:sz w:val="18"/>
          <w:szCs w:val="18"/>
          <w:color w:val="auto"/>
        </w:rPr>
        <w:t>We had not developed and effectively communicated to our employees our accounting policies and procedures, which resulted in inconsistent practices. Since these entity level programs have a pervasive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27" w:right="339" w:bottom="1440" w:gutter="0" w:footer="0" w:header="0"/>
        </w:sectPr>
      </w:pPr>
    </w:p>
    <w:bookmarkStart w:id="148" w:name="page149"/>
    <w:bookmarkEnd w:id="1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effect across the organization, management has determined that these circumstances constitute a material weakness.</w:t>
      </w:r>
    </w:p>
    <w:p>
      <w:pPr>
        <w:spacing w:after="0" w:line="151" w:lineRule="exact"/>
        <w:rPr>
          <w:sz w:val="20"/>
          <w:szCs w:val="20"/>
          <w:color w:val="auto"/>
        </w:rPr>
      </w:pPr>
    </w:p>
    <w:p>
      <w:pPr>
        <w:ind w:left="640" w:hanging="316"/>
        <w:spacing w:after="0" w:line="232" w:lineRule="auto"/>
        <w:tabs>
          <w:tab w:leader="none" w:pos="635" w:val="left"/>
        </w:tabs>
        <w:numPr>
          <w:ilvl w:val="0"/>
          <w:numId w:val="55"/>
        </w:numPr>
        <w:rPr>
          <w:rFonts w:ascii="Arial" w:cs="Arial" w:eastAsia="Arial" w:hAnsi="Arial"/>
          <w:sz w:val="21"/>
          <w:szCs w:val="21"/>
          <w:color w:val="auto"/>
        </w:rPr>
      </w:pPr>
      <w:r>
        <w:rPr>
          <w:rFonts w:ascii="Arial" w:cs="Arial" w:eastAsia="Arial" w:hAnsi="Arial"/>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36" w:lineRule="exact"/>
        <w:rPr>
          <w:rFonts w:ascii="Arial" w:cs="Arial" w:eastAsia="Arial" w:hAnsi="Arial"/>
          <w:sz w:val="21"/>
          <w:szCs w:val="21"/>
          <w:color w:val="auto"/>
        </w:rPr>
      </w:pPr>
    </w:p>
    <w:p>
      <w:pPr>
        <w:jc w:val="both"/>
        <w:ind w:left="640" w:hanging="316"/>
        <w:spacing w:after="0"/>
        <w:tabs>
          <w:tab w:leader="none" w:pos="635" w:val="left"/>
        </w:tabs>
        <w:numPr>
          <w:ilvl w:val="0"/>
          <w:numId w:val="55"/>
        </w:numPr>
        <w:rPr>
          <w:rFonts w:ascii="Arial" w:cs="Arial" w:eastAsia="Arial" w:hAnsi="Arial"/>
          <w:sz w:val="21"/>
          <w:szCs w:val="21"/>
          <w:color w:val="auto"/>
        </w:rPr>
      </w:pPr>
      <w:r>
        <w:rPr>
          <w:rFonts w:ascii="Arial" w:cs="Arial" w:eastAsia="Arial" w:hAnsi="Arial"/>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24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67" w:lineRule="exact"/>
        <w:rPr>
          <w:sz w:val="20"/>
          <w:szCs w:val="20"/>
          <w:color w:val="auto"/>
        </w:rPr>
      </w:pPr>
    </w:p>
    <w:p>
      <w:pPr>
        <w:jc w:val="both"/>
        <w:ind w:left="640" w:hanging="316"/>
        <w:spacing w:after="0" w:line="237" w:lineRule="auto"/>
        <w:tabs>
          <w:tab w:leader="none" w:pos="635" w:val="left"/>
        </w:tabs>
        <w:numPr>
          <w:ilvl w:val="0"/>
          <w:numId w:val="56"/>
        </w:numPr>
        <w:rPr>
          <w:rFonts w:ascii="Arial" w:cs="Arial" w:eastAsia="Arial" w:hAnsi="Arial"/>
          <w:sz w:val="21"/>
          <w:szCs w:val="21"/>
          <w:color w:val="auto"/>
        </w:rPr>
      </w:pPr>
      <w:r>
        <w:rPr>
          <w:rFonts w:ascii="Arial" w:cs="Arial" w:eastAsia="Arial" w:hAnsi="Arial"/>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34" w:lineRule="exact"/>
        <w:rPr>
          <w:rFonts w:ascii="Arial" w:cs="Arial" w:eastAsia="Arial" w:hAnsi="Arial"/>
          <w:sz w:val="21"/>
          <w:szCs w:val="21"/>
          <w:color w:val="auto"/>
        </w:rPr>
      </w:pPr>
    </w:p>
    <w:p>
      <w:pPr>
        <w:jc w:val="both"/>
        <w:ind w:left="640" w:hanging="316"/>
        <w:spacing w:after="0" w:line="276" w:lineRule="auto"/>
        <w:tabs>
          <w:tab w:leader="none" w:pos="635" w:val="left"/>
        </w:tabs>
        <w:numPr>
          <w:ilvl w:val="0"/>
          <w:numId w:val="56"/>
        </w:numPr>
        <w:rPr>
          <w:rFonts w:ascii="Arial" w:cs="Arial" w:eastAsia="Arial" w:hAnsi="Arial"/>
          <w:sz w:val="19"/>
          <w:szCs w:val="19"/>
          <w:color w:val="auto"/>
        </w:rPr>
      </w:pPr>
      <w:r>
        <w:rPr>
          <w:rFonts w:ascii="Arial" w:cs="Arial" w:eastAsia="Arial" w:hAnsi="Arial"/>
          <w:sz w:val="16"/>
          <w:szCs w:val="16"/>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08" w:lineRule="exact"/>
        <w:rPr>
          <w:rFonts w:ascii="Arial" w:cs="Arial" w:eastAsia="Arial" w:hAnsi="Arial"/>
          <w:sz w:val="19"/>
          <w:szCs w:val="19"/>
          <w:color w:val="auto"/>
        </w:rPr>
      </w:pPr>
    </w:p>
    <w:p>
      <w:pPr>
        <w:ind w:left="640" w:hanging="316"/>
        <w:spacing w:after="0" w:line="232" w:lineRule="auto"/>
        <w:tabs>
          <w:tab w:leader="none" w:pos="635" w:val="left"/>
        </w:tabs>
        <w:numPr>
          <w:ilvl w:val="0"/>
          <w:numId w:val="56"/>
        </w:numPr>
        <w:rPr>
          <w:rFonts w:ascii="Arial" w:cs="Arial" w:eastAsia="Arial" w:hAnsi="Arial"/>
          <w:sz w:val="21"/>
          <w:szCs w:val="21"/>
          <w:color w:val="auto"/>
        </w:rPr>
      </w:pPr>
      <w:r>
        <w:rPr>
          <w:rFonts w:ascii="Arial" w:cs="Arial" w:eastAsia="Arial" w:hAnsi="Arial"/>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36" w:lineRule="exact"/>
        <w:rPr>
          <w:rFonts w:ascii="Arial" w:cs="Arial" w:eastAsia="Arial" w:hAnsi="Arial"/>
          <w:sz w:val="21"/>
          <w:szCs w:val="21"/>
          <w:color w:val="auto"/>
        </w:rPr>
      </w:pPr>
    </w:p>
    <w:p>
      <w:pPr>
        <w:ind w:left="640" w:hanging="316"/>
        <w:spacing w:after="0" w:line="252" w:lineRule="auto"/>
        <w:tabs>
          <w:tab w:leader="none" w:pos="6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We engaged outside consultants to assist us in the evaluation of our Enterprise Resource Planning (“ERP”) system in order to mitigate the internal control gaps and limitations with the current configuration, and to enhance the information technology general controls environment.</w:t>
      </w:r>
    </w:p>
    <w:p>
      <w:pPr>
        <w:spacing w:after="0" w:line="123" w:lineRule="exact"/>
        <w:rPr>
          <w:rFonts w:ascii="Arial" w:cs="Arial" w:eastAsia="Arial" w:hAnsi="Arial"/>
          <w:sz w:val="20"/>
          <w:szCs w:val="20"/>
          <w:color w:val="auto"/>
        </w:rPr>
      </w:pPr>
    </w:p>
    <w:p>
      <w:pPr>
        <w:ind w:left="640" w:right="20" w:hanging="316"/>
        <w:spacing w:after="0" w:line="232" w:lineRule="auto"/>
        <w:tabs>
          <w:tab w:leader="none" w:pos="635" w:val="left"/>
        </w:tabs>
        <w:numPr>
          <w:ilvl w:val="0"/>
          <w:numId w:val="56"/>
        </w:numPr>
        <w:rPr>
          <w:rFonts w:ascii="Arial" w:cs="Arial" w:eastAsia="Arial" w:hAnsi="Arial"/>
          <w:sz w:val="21"/>
          <w:szCs w:val="21"/>
          <w:color w:val="auto"/>
        </w:rPr>
      </w:pPr>
      <w:r>
        <w:rPr>
          <w:rFonts w:ascii="Arial" w:cs="Arial" w:eastAsia="Arial" w:hAnsi="Arial"/>
          <w:sz w:val="18"/>
          <w:szCs w:val="18"/>
          <w:color w:val="auto"/>
        </w:rPr>
        <w:t>Our remediation activities are continuing during 2022. In addition to the above actions, we expect to engage in additional activities, including, but not limited to:</w:t>
      </w:r>
    </w:p>
    <w:p>
      <w:pPr>
        <w:spacing w:after="0" w:line="118" w:lineRule="exact"/>
        <w:rPr>
          <w:rFonts w:ascii="Arial" w:cs="Arial" w:eastAsia="Arial" w:hAnsi="Arial"/>
          <w:sz w:val="21"/>
          <w:szCs w:val="21"/>
          <w:color w:val="auto"/>
        </w:rPr>
      </w:pPr>
    </w:p>
    <w:p>
      <w:pPr>
        <w:ind w:left="640" w:hanging="316"/>
        <w:spacing w:after="0"/>
        <w:tabs>
          <w:tab w:leader="none" w:pos="640" w:val="left"/>
        </w:tabs>
        <w:numPr>
          <w:ilvl w:val="0"/>
          <w:numId w:val="56"/>
        </w:numPr>
        <w:rPr>
          <w:rFonts w:ascii="Arial" w:cs="Arial" w:eastAsia="Arial" w:hAnsi="Arial"/>
          <w:sz w:val="21"/>
          <w:szCs w:val="21"/>
          <w:color w:val="auto"/>
        </w:rPr>
      </w:pPr>
      <w:r>
        <w:rPr>
          <w:rFonts w:ascii="Arial" w:cs="Arial" w:eastAsia="Arial" w:hAnsi="Arial"/>
          <w:sz w:val="18"/>
          <w:szCs w:val="18"/>
          <w:color w:val="auto"/>
        </w:rPr>
        <w:t>Hiring more technical accounting resources to enhance our control environment;</w:t>
      </w:r>
    </w:p>
    <w:p>
      <w:pPr>
        <w:spacing w:after="0" w:line="134" w:lineRule="exact"/>
        <w:rPr>
          <w:rFonts w:ascii="Arial" w:cs="Arial" w:eastAsia="Arial" w:hAnsi="Arial"/>
          <w:sz w:val="21"/>
          <w:szCs w:val="21"/>
          <w:color w:val="auto"/>
        </w:rPr>
      </w:pPr>
    </w:p>
    <w:p>
      <w:pPr>
        <w:ind w:left="640" w:hanging="316"/>
        <w:spacing w:after="0" w:line="252" w:lineRule="auto"/>
        <w:tabs>
          <w:tab w:leader="none" w:pos="635" w:val="left"/>
        </w:tabs>
        <w:numPr>
          <w:ilvl w:val="0"/>
          <w:numId w:val="56"/>
        </w:numPr>
        <w:rPr>
          <w:rFonts w:ascii="Arial" w:cs="Arial" w:eastAsia="Arial" w:hAnsi="Arial"/>
          <w:sz w:val="20"/>
          <w:szCs w:val="20"/>
          <w:color w:val="auto"/>
        </w:rPr>
      </w:pPr>
      <w:r>
        <w:rPr>
          <w:rFonts w:ascii="Arial" w:cs="Arial" w:eastAsia="Arial" w:hAnsi="Arial"/>
          <w:sz w:val="17"/>
          <w:szCs w:val="17"/>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127" w:right="339" w:bottom="1440" w:gutter="0" w:footer="0" w:header="0"/>
        </w:sectPr>
      </w:pPr>
    </w:p>
    <w:bookmarkStart w:id="149" w:name="page150"/>
    <w:bookmarkEnd w:id="1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40" w:hanging="316"/>
        <w:spacing w:after="0" w:line="254" w:lineRule="auto"/>
        <w:tabs>
          <w:tab w:leader="none" w:pos="635" w:val="left"/>
        </w:tabs>
        <w:numPr>
          <w:ilvl w:val="0"/>
          <w:numId w:val="57"/>
        </w:numPr>
        <w:rPr>
          <w:rFonts w:ascii="Arial" w:cs="Arial" w:eastAsia="Arial" w:hAnsi="Arial"/>
          <w:sz w:val="20"/>
          <w:szCs w:val="20"/>
          <w:color w:val="auto"/>
        </w:rPr>
      </w:pPr>
      <w:r>
        <w:rPr>
          <w:rFonts w:ascii="Arial" w:cs="Arial" w:eastAsia="Arial" w:hAnsi="Arial"/>
          <w:sz w:val="17"/>
          <w:szCs w:val="17"/>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24" w:lineRule="exact"/>
        <w:rPr>
          <w:rFonts w:ascii="Arial" w:cs="Arial" w:eastAsia="Arial" w:hAnsi="Arial"/>
          <w:sz w:val="20"/>
          <w:szCs w:val="20"/>
          <w:color w:val="auto"/>
        </w:rPr>
      </w:pPr>
    </w:p>
    <w:p>
      <w:pPr>
        <w:ind w:left="640" w:hanging="316"/>
        <w:spacing w:after="0" w:line="232" w:lineRule="auto"/>
        <w:tabs>
          <w:tab w:leader="none" w:pos="635" w:val="left"/>
        </w:tabs>
        <w:numPr>
          <w:ilvl w:val="0"/>
          <w:numId w:val="57"/>
        </w:numPr>
        <w:rPr>
          <w:rFonts w:ascii="Arial" w:cs="Arial" w:eastAsia="Arial" w:hAnsi="Arial"/>
          <w:sz w:val="21"/>
          <w:szCs w:val="21"/>
          <w:color w:val="auto"/>
        </w:rPr>
      </w:pPr>
      <w:r>
        <w:rPr>
          <w:rFonts w:ascii="Arial" w:cs="Arial" w:eastAsia="Arial" w:hAnsi="Arial"/>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9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2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 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discussed elsewhere in this Annual Report on Form 10-K, we completed our business combination with CMLS on July 22, 2021. Prior to the business combination, CMLS was a special purpose acquisition company formed for the purpose of effecting a merger, capital stock exchange, asset acquisition, stock purchase, reorganization or other similar business combination with one or more operating businesses. As a result, CMLS’s previously existing internal controls are no longer applicable or comprehensive enough as of December 31, 2021, as CMLS’s operations prior to the business combination were insignificant compared to those of our consolidated company post-business combination.</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are engaged in the process of design and implementation of our internal control over financial reporting in a manner commensurate with the scale of our operations subsequent to the business combination, including the enhancement of our internal and external technical accounting resources (as well as to address the material weaknesses discussed above). However, the design of internal control over financial reporting for our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There was no change in our internal control over financial reporting that occurred during the fiscal year ended December 31, 2021 covered by this Annual Report on Form 10-K that has materially affected, or is reasonably likely to materially affect, our internal control over financial reporting, other than as described herein. We are continuing to take steps to remediate the material weakness in our internal control over financial reporting, as discussed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controls, will prevent all error and all fraud. A control system,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27" w:right="339" w:bottom="1440" w:gutter="0" w:footer="0" w:header="0"/>
        </w:sectPr>
      </w:pPr>
    </w:p>
    <w:bookmarkStart w:id="150" w:name="page151"/>
    <w:bookmarkEnd w:id="1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240"/>
          </w:cols>
          <w:pgMar w:left="320" w:top="127" w:right="339" w:bottom="1440" w:gutter="0" w:footer="0" w:header="0"/>
          <w:type w:val="continuous"/>
        </w:sectPr>
      </w:pPr>
    </w:p>
    <w:bookmarkStart w:id="151" w:name="page152"/>
    <w:bookmarkEnd w:id="151"/>
    <w:p>
      <w:pPr>
        <w:spacing w:after="0" w:line="99"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names, ages as of February 22, 2022, and certain other information regarding our executive officers and directors: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Age</w:t>
            </w:r>
          </w:p>
        </w:tc>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24"/>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Eric Schadt, Ph.D.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Jason Ryan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Chairman and Director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Isaac Ro</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 Clark, J.D.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 and General Counsel</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Anthony Prentice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Product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Kareem Saad</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Karen White</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People Officer</w:t>
            </w:r>
          </w:p>
        </w:tc>
      </w:tr>
      <w:tr>
        <w:trPr>
          <w:trHeight w:val="226"/>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Dennis Charney, M.D.</w:t>
            </w:r>
            <w:r>
              <w:rPr>
                <w:rFonts w:ascii="Arial" w:cs="Arial" w:eastAsia="Arial" w:hAnsi="Arial"/>
                <w:sz w:val="22"/>
                <w:szCs w:val="22"/>
                <w:color w:val="auto"/>
                <w:vertAlign w:val="superscript"/>
              </w:rPr>
              <w:t>(5)</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 D. Casdin</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Emily Leproust, Ph.D.</w:t>
            </w:r>
            <w:r>
              <w:rPr>
                <w:rFonts w:ascii="Arial" w:cs="Arial" w:eastAsia="Arial" w:hAnsi="Arial"/>
                <w:sz w:val="22"/>
                <w:szCs w:val="22"/>
                <w:color w:val="auto"/>
                <w:vertAlign w:val="superscript"/>
              </w:rPr>
              <w:t>(5)</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Keith A. Meister</w:t>
            </w:r>
            <w:r>
              <w:rPr>
                <w:rFonts w:ascii="Arial" w:cs="Arial" w:eastAsia="Arial" w:hAnsi="Arial"/>
                <w:sz w:val="22"/>
                <w:szCs w:val="22"/>
                <w:color w:val="auto"/>
                <w:vertAlign w:val="superscript"/>
              </w:rPr>
              <w:t>(1)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Michael Pellini, M.D.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6"/>
        </w:trPr>
        <w:tc>
          <w:tcPr>
            <w:tcW w:w="518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Joshua Ruch</w:t>
            </w:r>
            <w:r>
              <w:rPr>
                <w:rFonts w:ascii="Arial" w:cs="Arial" w:eastAsia="Arial" w:hAnsi="Arial"/>
                <w:sz w:val="22"/>
                <w:szCs w:val="22"/>
                <w:color w:val="auto"/>
                <w:vertAlign w:val="superscript"/>
              </w:rPr>
              <w:t>(2)(4)</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Rachel Sherman, M.D., M.P.H., F.A.C.P.</w:t>
            </w:r>
            <w:r>
              <w:rPr>
                <w:rFonts w:ascii="Arial" w:cs="Arial" w:eastAsia="Arial" w:hAnsi="Arial"/>
                <w:sz w:val="22"/>
                <w:szCs w:val="22"/>
                <w:color w:val="auto"/>
                <w:vertAlign w:val="superscript"/>
              </w:rPr>
              <w:t>(3)(6)</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8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5"/>
        </w:trPr>
        <w:tc>
          <w:tcPr>
            <w:tcW w:w="51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(6)</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Chair of the Audit Committee</w:t>
      </w:r>
    </w:p>
    <w:p>
      <w:pPr>
        <w:ind w:left="320" w:hanging="314"/>
        <w:spacing w:after="0" w:line="237"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ind w:left="320" w:hanging="314"/>
        <w:spacing w:after="0" w:line="237"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ind w:left="320" w:hanging="314"/>
        <w:spacing w:after="0" w:line="237"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20" w:hanging="314"/>
        <w:spacing w:after="0" w:line="237" w:lineRule="auto"/>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4"/>
        <w:spacing w:after="0"/>
        <w:tabs>
          <w:tab w:leader="none" w:pos="3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Eric Schadt, Ph.D.</w:t>
      </w:r>
      <w:r>
        <w:rPr>
          <w:rFonts w:ascii="Arial" w:cs="Arial" w:eastAsia="Arial" w:hAnsi="Arial"/>
          <w:sz w:val="15"/>
          <w:szCs w:val="15"/>
          <w:color w:val="auto"/>
        </w:rPr>
        <w:t>, has served as our Chief Executive Officer and as a member of our Board since July 2021. Dr. Schadt was the founder of Legacy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Sema4 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2" w:name="page153"/>
    <w:bookmarkEnd w:id="152"/>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Jason Ryan </w:t>
      </w:r>
      <w:r>
        <w:rPr>
          <w:rFonts w:ascii="Arial" w:cs="Arial" w:eastAsia="Arial" w:hAnsi="Arial"/>
          <w:sz w:val="17"/>
          <w:szCs w:val="17"/>
          <w:color w:val="auto"/>
        </w:rPr>
        <w:t>has served as a member of our Board since July 2021, and as our Executive Chairman since January 2022. Mr. Ryan served as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and Financial Officer of Magenta Therapeutics, Inc., a biotechnology company, from January 2019 to November 2020. Prior to joining Magenta Therapeutics, Inc., Mr. Ryan previously served as Chief Financial Officer of Foundation Medicine, Inc., a molecular information company 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b w:val="1"/>
          <w:bCs w:val="1"/>
          <w:i w:val="1"/>
          <w:iCs w:val="1"/>
          <w:color w:val="auto"/>
        </w:rPr>
        <w:t xml:space="preserve">Isaac Ro </w:t>
      </w:r>
      <w:r>
        <w:rPr>
          <w:rFonts w:ascii="Arial" w:cs="Arial" w:eastAsia="Arial" w:hAnsi="Arial"/>
          <w:sz w:val="15"/>
          <w:szCs w:val="15"/>
          <w:color w:val="auto"/>
        </w:rPr>
        <w:t>has served as our Chief Financial Officer since July 2021. Mr. Ro previously served as Legacy Sema4’s Chief Financial Officer from February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9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b w:val="1"/>
          <w:bCs w:val="1"/>
          <w:i w:val="1"/>
          <w:iCs w:val="1"/>
          <w:color w:val="auto"/>
        </w:rPr>
        <w:t>Daniel Clark, J.D.</w:t>
      </w:r>
      <w:r>
        <w:rPr>
          <w:rFonts w:ascii="Arial" w:cs="Arial" w:eastAsia="Arial" w:hAnsi="Arial"/>
          <w:sz w:val="18"/>
          <w:szCs w:val="18"/>
          <w:color w:val="auto"/>
        </w:rPr>
        <w:t>, has served as our General Counsel since July 2021. Mr. Clark previously served as Legacy Sema4’s General Counsel from March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4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b w:val="1"/>
          <w:bCs w:val="1"/>
          <w:i w:val="1"/>
          <w:iCs w:val="1"/>
          <w:color w:val="auto"/>
        </w:rPr>
        <w:t xml:space="preserve">Anthony Prentice </w:t>
      </w:r>
      <w:r>
        <w:rPr>
          <w:rFonts w:ascii="Arial" w:cs="Arial" w:eastAsia="Arial" w:hAnsi="Arial"/>
          <w:sz w:val="17"/>
          <w:szCs w:val="17"/>
          <w:color w:val="auto"/>
        </w:rPr>
        <w:t>has served as our Chief Product Officer since July 2021. Mr. Prentice previously served as Legacy Sema4’s Chief Product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Kareem Saad </w:t>
      </w:r>
      <w:r>
        <w:rPr>
          <w:rFonts w:ascii="Arial" w:cs="Arial" w:eastAsia="Arial" w:hAnsi="Arial"/>
          <w:sz w:val="15"/>
          <w:szCs w:val="15"/>
          <w:color w:val="auto"/>
        </w:rPr>
        <w:t>has served as our Chief Business Officer since July 2021. Mr. Saad previously served as Legacy Sema4’s Chief Business Officer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0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b w:val="1"/>
          <w:bCs w:val="1"/>
          <w:i w:val="1"/>
          <w:iCs w:val="1"/>
          <w:color w:val="auto"/>
        </w:rPr>
        <w:t xml:space="preserve">Karen White </w:t>
      </w:r>
      <w:r>
        <w:rPr>
          <w:rFonts w:ascii="Arial" w:cs="Arial" w:eastAsia="Arial" w:hAnsi="Arial"/>
          <w:sz w:val="18"/>
          <w:szCs w:val="18"/>
          <w:color w:val="auto"/>
        </w:rPr>
        <w:t>has served as our Chief People Officer since July 2021. Ms. White previously served as Legacy Sema4’s Chief People Officer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2020 to July 2021. Prior to joining Sema4, Ms. White was 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399" w:right="339" w:bottom="1440" w:gutter="0" w:footer="0" w:header="0"/>
        </w:sectPr>
      </w:pPr>
    </w:p>
    <w:bookmarkStart w:id="153" w:name="page154"/>
    <w:bookmarkEnd w:id="153"/>
    <w:p>
      <w:pPr>
        <w:jc w:val="both"/>
        <w:spacing w:after="0" w:line="309" w:lineRule="auto"/>
        <w:rPr>
          <w:sz w:val="20"/>
          <w:szCs w:val="20"/>
          <w:color w:val="auto"/>
        </w:rPr>
      </w:pPr>
      <w:r>
        <w:rPr>
          <w:rFonts w:ascii="Arial" w:cs="Arial" w:eastAsia="Arial" w:hAnsi="Arial"/>
          <w:sz w:val="15"/>
          <w:szCs w:val="15"/>
          <w:color w:val="auto"/>
        </w:rPr>
        <w:t>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 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b w:val="1"/>
          <w:bCs w:val="1"/>
          <w:i w:val="1"/>
          <w:iCs w:val="1"/>
          <w:color w:val="auto"/>
        </w:rPr>
        <w:t xml:space="preserve">Dennis Charney, M.D., </w:t>
      </w:r>
      <w:r>
        <w:rPr>
          <w:rFonts w:ascii="Arial" w:cs="Arial" w:eastAsia="Arial" w:hAnsi="Arial"/>
          <w:sz w:val="15"/>
          <w:szCs w:val="15"/>
          <w:color w:val="auto"/>
        </w:rPr>
        <w:t>has served as a member of our Board since July 2021, and previously served as a member of Legacy Sema4’s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32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 xml:space="preserve">Eli D. Casdin </w:t>
      </w:r>
      <w:r>
        <w:rPr>
          <w:rFonts w:ascii="Arial" w:cs="Arial" w:eastAsia="Arial" w:hAnsi="Arial"/>
          <w:sz w:val="15"/>
          <w:szCs w:val="15"/>
          <w:color w:val="auto"/>
        </w:rPr>
        <w:t>has served as a member of our Board since July 2020, and from, previously served as the Chief Executive Officer of CMLS from July 2020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31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b w:val="1"/>
          <w:bCs w:val="1"/>
          <w:i w:val="1"/>
          <w:iCs w:val="1"/>
          <w:color w:val="auto"/>
        </w:rPr>
        <w:t xml:space="preserve">Emily Leproust, Ph.D., </w:t>
      </w:r>
      <w:r>
        <w:rPr>
          <w:rFonts w:ascii="Arial" w:cs="Arial" w:eastAsia="Arial" w:hAnsi="Arial"/>
          <w:sz w:val="15"/>
          <w:szCs w:val="15"/>
          <w:color w:val="auto"/>
        </w:rPr>
        <w:t>has served as a member of our Board since September 2020. Dr. Leproust has been President and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Twist 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399" w:right="339" w:bottom="1440" w:gutter="0" w:footer="0" w:header="0"/>
        </w:sectPr>
      </w:pPr>
    </w:p>
    <w:bookmarkStart w:id="154" w:name="page155"/>
    <w:bookmarkEnd w:id="154"/>
    <w:p>
      <w:pPr>
        <w:jc w:val="both"/>
        <w:ind w:firstLine="318"/>
        <w:spacing w:after="0" w:line="263" w:lineRule="auto"/>
        <w:rPr>
          <w:sz w:val="20"/>
          <w:szCs w:val="20"/>
          <w:color w:val="auto"/>
        </w:rPr>
      </w:pPr>
      <w:r>
        <w:rPr>
          <w:rFonts w:ascii="Arial" w:cs="Arial" w:eastAsia="Arial" w:hAnsi="Arial"/>
          <w:sz w:val="17"/>
          <w:szCs w:val="17"/>
          <w:b w:val="1"/>
          <w:bCs w:val="1"/>
          <w:i w:val="1"/>
          <w:iCs w:val="1"/>
          <w:color w:val="auto"/>
        </w:rPr>
        <w:t xml:space="preserve">Keith Meister </w:t>
      </w:r>
      <w:r>
        <w:rPr>
          <w:rFonts w:ascii="Arial" w:cs="Arial" w:eastAsia="Arial" w:hAnsi="Arial"/>
          <w:sz w:val="17"/>
          <w:szCs w:val="17"/>
          <w:color w:val="auto"/>
        </w:rPr>
        <w:t>has served as a member of our Board since January 2022, and previously served as the Chairman of the Board of CMLS from July 2020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2021. He founded Corvex 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b w:val="1"/>
          <w:bCs w:val="1"/>
          <w:i w:val="1"/>
          <w:iCs w:val="1"/>
          <w:color w:val="auto"/>
        </w:rPr>
        <w:t>Michael Pellini, M.D.</w:t>
      </w:r>
      <w:r>
        <w:rPr>
          <w:rFonts w:ascii="Arial" w:cs="Arial" w:eastAsia="Arial" w:hAnsi="Arial"/>
          <w:sz w:val="15"/>
          <w:szCs w:val="15"/>
          <w:color w:val="auto"/>
        </w:rPr>
        <w:t>, has served as a member of our Board since July 2021, and previously served as a member of Legacy Sema4’s board of directors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0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b w:val="1"/>
          <w:bCs w:val="1"/>
          <w:i w:val="1"/>
          <w:iCs w:val="1"/>
          <w:color w:val="auto"/>
        </w:rPr>
        <w:t xml:space="preserve">Joshua Ruch </w:t>
      </w:r>
      <w:r>
        <w:rPr>
          <w:rFonts w:ascii="Arial" w:cs="Arial" w:eastAsia="Arial" w:hAnsi="Arial"/>
          <w:sz w:val="17"/>
          <w:szCs w:val="17"/>
          <w:color w:val="auto"/>
        </w:rPr>
        <w:t>has served as a member of our Board since July 2021, and previously served as the Chairman of our Board from July 2021 to January 2022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b w:val="1"/>
          <w:bCs w:val="1"/>
          <w:i w:val="1"/>
          <w:iCs w:val="1"/>
          <w:color w:val="auto"/>
        </w:rPr>
        <w:t xml:space="preserve">Rachel Sherman, M.D., </w:t>
      </w:r>
      <w:r>
        <w:rPr>
          <w:rFonts w:ascii="Arial" w:cs="Arial" w:eastAsia="Arial" w:hAnsi="Arial"/>
          <w:sz w:val="17"/>
          <w:szCs w:val="17"/>
          <w:color w:val="auto"/>
        </w:rPr>
        <w:t>M.P.H., F.A.C.P., has served as a member of our Board since July 2021, previously served as a member of Legacy Sema4’s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399" w:right="339" w:bottom="1440" w:gutter="0" w:footer="0" w:header="0"/>
        </w:sectPr>
      </w:pPr>
    </w:p>
    <w:bookmarkStart w:id="155" w:name="page156"/>
    <w:bookmarkEnd w:id="155"/>
    <w:p>
      <w:pPr>
        <w:jc w:val="both"/>
        <w:spacing w:after="0" w:line="248" w:lineRule="auto"/>
        <w:rPr>
          <w:sz w:val="20"/>
          <w:szCs w:val="20"/>
          <w:color w:val="auto"/>
        </w:rPr>
      </w:pPr>
      <w:r>
        <w:rPr>
          <w:rFonts w:ascii="Arial" w:cs="Arial" w:eastAsia="Arial" w:hAnsi="Arial"/>
          <w:sz w:val="18"/>
          <w:szCs w:val="18"/>
          <w:color w:val="auto"/>
        </w:rPr>
        <w:t>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 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4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b w:val="1"/>
          <w:bCs w:val="1"/>
          <w:i w:val="1"/>
          <w:iCs w:val="1"/>
          <w:color w:val="auto"/>
        </w:rPr>
        <w:t xml:space="preserve">Nat Turner </w:t>
      </w:r>
      <w:r>
        <w:rPr>
          <w:rFonts w:ascii="Arial" w:cs="Arial" w:eastAsia="Arial" w:hAnsi="Arial"/>
          <w:sz w:val="15"/>
          <w:szCs w:val="15"/>
          <w:color w:val="auto"/>
        </w:rPr>
        <w:t>has served as a member of our Board since July 2021. Mr. Turner is currently CEO of Collectors Universe, an authentication and grading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are no familial relationships among our executive officers or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Arial" w:cs="Arial" w:eastAsia="Arial" w:hAnsi="Arial"/>
          <w:sz w:val="15"/>
          <w:szCs w:val="15"/>
          <w:i w:val="1"/>
          <w:iCs w:val="1"/>
          <w:color w:val="auto"/>
        </w:rPr>
        <w:t>www.Sema4.com.</w:t>
      </w:r>
      <w:r>
        <w:rPr>
          <w:rFonts w:ascii="Arial" w:cs="Arial" w:eastAsia="Arial" w:hAnsi="Arial"/>
          <w:sz w:val="15"/>
          <w:szCs w:val="15"/>
          <w:color w:val="auto"/>
        </w:rPr>
        <w:t xml:space="preserve"> Information contained on or accessible through our website is not a part of this Annual Report, and the inclusion of such website address in this Annual Report is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43" w:lineRule="exact"/>
        <w:rPr>
          <w:sz w:val="20"/>
          <w:szCs w:val="20"/>
          <w:color w:val="auto"/>
        </w:rPr>
      </w:pPr>
    </w:p>
    <w:p>
      <w:pPr>
        <w:ind w:left="640" w:hanging="316"/>
        <w:spacing w:after="0" w:line="264" w:lineRule="auto"/>
        <w:tabs>
          <w:tab w:leader="none" w:pos="6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auditors our quarterly and annual financial results and earnings releases, our annual audited and quarterly unaudited financial statements and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399" w:right="339" w:bottom="1440" w:gutter="0" w:footer="0" w:header="0"/>
        </w:sectPr>
      </w:pPr>
    </w:p>
    <w:bookmarkStart w:id="156" w:name="page157"/>
    <w:bookmarkEnd w:id="156"/>
    <w:p>
      <w:pPr>
        <w:ind w:left="640"/>
        <w:spacing w:after="0" w:line="264" w:lineRule="auto"/>
        <w:rPr>
          <w:sz w:val="20"/>
          <w:szCs w:val="20"/>
          <w:color w:val="auto"/>
        </w:rPr>
      </w:pPr>
      <w:r>
        <w:rPr>
          <w:rFonts w:ascii="Arial" w:cs="Arial" w:eastAsia="Arial" w:hAnsi="Arial"/>
          <w:sz w:val="18"/>
          <w:szCs w:val="18"/>
          <w:color w:val="auto"/>
        </w:rPr>
        <w:t>and quarterly reports on Form 10-K and 10-Q and recommend to the Board whether the annual financial statements should be included in our Annual Report on Form 10-K;</w:t>
      </w:r>
    </w:p>
    <w:p>
      <w:pPr>
        <w:spacing w:after="0" w:line="128"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selecting and hiring the independent registered public accounting firm;</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monitoring the qualifications, independence and performance of our independent auditors;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preparation of the audit committee report to be included in the proxy statement for our annual meeting;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overseeing our accounting and financial reporting processes, including our financial statement audits and the integrity of our financial statements;</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related-person transactions;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overseeing our financial risks, enterprise exposures, cybersecurity risks and other risks as it deems necessary or appropriate.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38" w:lineRule="exact"/>
        <w:rPr>
          <w:sz w:val="20"/>
          <w:szCs w:val="20"/>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recommending, approving and reviewing executive officer compensation arrangements, plans, policies and programs;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evaluating and recommending non-employee director compensation arrangements for determination by our Board;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our cash-based and equity-based compensation plans; and</w:t>
      </w:r>
    </w:p>
    <w:p>
      <w:pPr>
        <w:spacing w:after="0" w:line="164" w:lineRule="exact"/>
        <w:rPr>
          <w:rFonts w:ascii="Arial" w:cs="Arial" w:eastAsia="Arial" w:hAnsi="Arial"/>
          <w:sz w:val="18"/>
          <w:szCs w:val="18"/>
          <w:color w:val="auto"/>
        </w:rPr>
      </w:pPr>
    </w:p>
    <w:p>
      <w:pPr>
        <w:ind w:left="320" w:right="1580" w:firstLine="4"/>
        <w:spacing w:after="0" w:line="455" w:lineRule="auto"/>
        <w:tabs>
          <w:tab w:leader="none" w:pos="633" w:val="left"/>
        </w:tabs>
        <w:numPr>
          <w:ilvl w:val="0"/>
          <w:numId w:val="61"/>
        </w:numPr>
        <w:rPr>
          <w:rFonts w:ascii="Arial" w:cs="Arial" w:eastAsia="Arial" w:hAnsi="Arial"/>
          <w:sz w:val="17"/>
          <w:szCs w:val="17"/>
          <w:color w:val="auto"/>
        </w:rPr>
      </w:pPr>
      <w:r>
        <w:rPr>
          <w:rFonts w:ascii="Arial" w:cs="Arial" w:eastAsia="Arial" w:hAnsi="Arial"/>
          <w:sz w:val="17"/>
          <w:szCs w:val="17"/>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41"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Assisting in developing a peer group of publicly traded companies to be used to help assess the competitiveness of executive compensation;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Assisting in ensuring a competitive compensation framework;</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Meeting regularly with the compensation committee to review all elements of executive compensation, including the competitiveness of our executive compensation program;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Assisting in the competitive assessment of the short-term cash and long-term equity incentive plans designs;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1399" w:right="339" w:bottom="1440" w:gutter="0" w:footer="0" w:header="0"/>
        </w:sectPr>
      </w:pPr>
    </w:p>
    <w:bookmarkStart w:id="157" w:name="page158"/>
    <w:bookmarkEnd w:id="157"/>
    <w:p>
      <w:pPr>
        <w:ind w:left="640" w:hanging="31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Assisting in the risk assessment of our compensation program.</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Outside of its services to the compensation committee, Radford provides no other services to us. The compensation committee evaluated the independence of Radford and determined that it is independent. The compensation committee also determined that Radford’s work for the Company in 2021 did not raise any conflicts of interest.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and Executive Officers in Compensation Decisions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84" w:lineRule="exact"/>
        <w:rPr>
          <w:sz w:val="20"/>
          <w:szCs w:val="20"/>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identifying, considering and recommending candidates for membership on our Board;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advising our Board on other corporate governance matters.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and Committee Meetings and Attendance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Board and its committees meet throughout the year on a pre-determined schedule and also hold special meetings and act by written consent from time to time.</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1399" w:right="339" w:bottom="1440" w:gutter="0" w:footer="0" w:header="0"/>
        </w:sectPr>
      </w:pPr>
    </w:p>
    <w:bookmarkStart w:id="158" w:name="page159"/>
    <w:bookmarkEnd w:id="158"/>
    <w:p>
      <w:pPr>
        <w:ind w:right="620"/>
        <w:spacing w:after="0" w:line="430" w:lineRule="auto"/>
        <w:rPr>
          <w:sz w:val="20"/>
          <w:szCs w:val="20"/>
          <w:color w:val="auto"/>
        </w:rPr>
      </w:pPr>
      <w:r>
        <w:rPr>
          <w:rFonts w:ascii="Arial" w:cs="Arial" w:eastAsia="Arial" w:hAnsi="Arial"/>
          <w:sz w:val="18"/>
          <w:szCs w:val="18"/>
          <w:color w:val="auto"/>
        </w:rPr>
        <w:t xml:space="preserve">directors are sufficiently attentive and available to fulfill their duties and so long as directors comply at all times with our conflict of interests policies. </w:t>
      </w:r>
      <w:r>
        <w:rPr>
          <w:rFonts w:ascii="Arial" w:cs="Arial" w:eastAsia="Arial" w:hAnsi="Arial"/>
          <w:sz w:val="18"/>
          <w:szCs w:val="18"/>
          <w:b w:val="1"/>
          <w:bCs w:val="1"/>
          <w:i w:val="1"/>
          <w:iCs w:val="1"/>
          <w:color w:val="auto"/>
        </w:rPr>
        <w:t>Director Attendance at Annual Meetings</w:t>
      </w:r>
    </w:p>
    <w:p>
      <w:pPr>
        <w:jc w:val="both"/>
        <w:ind w:firstLine="318"/>
        <w:spacing w:after="0" w:line="255" w:lineRule="auto"/>
        <w:rPr>
          <w:sz w:val="20"/>
          <w:szCs w:val="20"/>
          <w:color w:val="auto"/>
        </w:rPr>
      </w:pPr>
      <w:r>
        <w:rPr>
          <w:rFonts w:ascii="Arial" w:cs="Arial" w:eastAsia="Arial" w:hAnsi="Arial"/>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8"/>
          <w:szCs w:val="18"/>
          <w:i w:val="1"/>
          <w:iCs w:val="1"/>
          <w:color w:val="auto"/>
        </w:rPr>
        <w:t>www.Sema4.com.</w:t>
      </w:r>
      <w:r>
        <w:rPr>
          <w:rFonts w:ascii="Arial" w:cs="Arial" w:eastAsia="Arial" w:hAnsi="Arial"/>
          <w:sz w:val="18"/>
          <w:szCs w:val="18"/>
          <w:color w:val="auto"/>
        </w:rPr>
        <w:t xml:space="preserve"> Information contained on or accessible through such website is not a part of this Annual Report, and the inclusion of the website address in this Annual Report is an inactive textual reference only. We intend to disclose any amendments to the Code of Business Conduct and Ethics, or any waivers of its requirements, on its website to the extent required by the applicable rules and exchange requirements.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Arial" w:cs="Arial" w:eastAsia="Arial" w:hAnsi="Arial"/>
          <w:sz w:val="15"/>
          <w:szCs w:val="15"/>
          <w:i w:val="1"/>
          <w:iCs w:val="1"/>
          <w:color w:val="auto"/>
        </w:rPr>
        <w:t>www.Sema4.com</w:t>
      </w:r>
      <w:r>
        <w:rPr>
          <w:rFonts w:ascii="Arial" w:cs="Arial" w:eastAsia="Arial" w:hAnsi="Arial"/>
          <w:sz w:val="15"/>
          <w:szCs w:val="15"/>
          <w:color w:val="auto"/>
        </w:rPr>
        <w:t>. Information contained on or accessible through such website is not a part of this Annual Report, and the inclusion of the website address in this Annual Report is an inactive textual reference only.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Section 16(a) of the Exchange Act requires our directors, executive officers, and any persons who own more than 10% of our common stock, to file initial reports of ownership and reports of changes in ownership with the SEC. Based solely on our review of the forms filed with the SEC and written representations from the directors and executive officers, we believe that all Section 16(a) filing requirements were timely met in the fiscal year ended December 31, 2021, with the exception of: a Form 4 with respect to the issuance of restricted stock units (“RSUs”) and an associated sale to cover transaction in respect of tax withholding obligations in connection with the vesting and settlement of a portion of the RSUs, which was filed one day late on October 6, 2021 on behalf of Shawn Assad; a Form 4 with respect to a sale to cover transaction in respect of tax withholding obligations in connection with the vesting and settlement of RSUs, which was filed one day late on November 15, 2021 on behalf of Shawn Assad; Forms 4 with respect to the issuance of RSUs and associated sale to cover transactions in respect of tax withholding obligations in connection with the vesting and settlement of a portion of the RSUs, which were filed four days late on November 2, 2021 on behalf of each of Shawn Assad, Daniel Clark, James Coffin, Anthony Prentice, Isaac Ro, Kareem Saad, Eric Schadt, and Karen White; a Form 5 with respect to the exercise of shares underlying the option grant, which was filed eighty-three days late on February 7, 2022 on behalf of Daniel Clark; and a Form 3 that was filed 29 days late on August 30, 2021, which was due within 10 calendar days of July 22, 2021, following the closing of the business combination, by BTO Sema4 Holdings L.P., BTO Holdings Manager L.L.C., Blackstone Tactical Opportunities Associates L.L.C., BTOA L.L.C., Blackstone Family Tactical Opportunities Investment Partnership III ESC L.P., BTO Side-by-Side GP L.L.C., Blackstone Holdings III L.P., Blackstone Holdings III GP L.P., Blackstone Holdings III GP Management L.L.C., Blackstone Tactical Opportunities Fund – FD L.P., Blackstone Tactical Opportunities Associates III – NQ L.P., BTO DE GP – NQ L.L.C., Blackstone Holdings II L.P., Blackstone Aqua Master Sub-Fund, a sub-fund of Blackstone Global Master Fund ICAV, Blackstone Alternative Solutions L.L.C., Blackstone Holdings I L.P., Blackstone Holdings I/II GP L.L.C., Blackstone Inc., Blackstone Group Management L.L.C. and Stephen A. Schwarzman.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1399" w:right="339" w:bottom="1440" w:gutter="0" w:footer="0" w:header="0"/>
        </w:sectPr>
      </w:pPr>
    </w:p>
    <w:bookmarkStart w:id="159" w:name="page160"/>
    <w:bookmarkEnd w:id="159"/>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our Executive Compensation Program</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our Named Executive Officers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tables and accompanying narrative disclosure set forth information about the compensation earned by our named executive officers for the year ended December 31, 2021, who were:</w:t>
      </w:r>
    </w:p>
    <w:p>
      <w:pPr>
        <w:spacing w:after="0" w:line="128"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Eric Schadt, Ph.D., our Chief Executive Officer,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Isaac Ro, our Chief Financial Officer,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James Coffin, Ph.D., our former President and Chief Operating Officer.</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Summary Compensation Table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Option</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6" w:lineRule="exact"/>
              <w:rPr>
                <w:sz w:val="20"/>
                <w:szCs w:val="20"/>
                <w:color w:val="auto"/>
              </w:rPr>
            </w:pPr>
            <w:r>
              <w:rPr>
                <w:rFonts w:ascii="Arial" w:cs="Arial" w:eastAsia="Arial" w:hAnsi="Arial"/>
                <w:sz w:val="14"/>
                <w:szCs w:val="14"/>
                <w:b w:val="1"/>
                <w:bCs w:val="1"/>
                <w:color w:val="auto"/>
              </w:rPr>
              <w:t>Stock Awards</w:t>
            </w:r>
          </w:p>
        </w:tc>
        <w:tc>
          <w:tcPr>
            <w:tcW w:w="1300" w:type="dxa"/>
            <w:vAlign w:val="bottom"/>
            <w:gridSpan w:val="2"/>
          </w:tcPr>
          <w:p>
            <w:pPr>
              <w:jc w:val="center"/>
              <w:ind w:right="80"/>
              <w:spacing w:after="0" w:line="156"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ind w:left="360"/>
              <w:spacing w:after="0" w:line="156" w:lineRule="exact"/>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Salary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Bonus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Compensation ($)</w:t>
            </w:r>
            <w:r>
              <w:rPr>
                <w:rFonts w:ascii="Arial" w:cs="Arial" w:eastAsia="Arial" w:hAnsi="Arial"/>
                <w:sz w:val="18"/>
                <w:szCs w:val="18"/>
                <w:b w:val="1"/>
                <w:bCs w:val="1"/>
                <w:color w:val="auto"/>
                <w:w w:val="91"/>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26"/>
        </w:trPr>
        <w:tc>
          <w:tcPr>
            <w:tcW w:w="306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color w:val="auto"/>
              </w:rPr>
              <w:t xml:space="preserve">Eric Schadt, Ph.D. </w:t>
            </w:r>
            <w:r>
              <w:rPr>
                <w:rFonts w:ascii="Arial" w:cs="Arial" w:eastAsia="Arial" w:hAnsi="Arial"/>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650,000</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513,000</w:t>
            </w:r>
          </w:p>
        </w:tc>
        <w:tc>
          <w:tcPr>
            <w:tcW w:w="100" w:type="dxa"/>
            <w:vAlign w:val="bottom"/>
            <w:shd w:val="clear" w:color="auto" w:fill="CCEEFF"/>
          </w:tcPr>
          <w:p>
            <w:pPr>
              <w:spacing w:after="0"/>
              <w:rPr>
                <w:sz w:val="10"/>
                <w:szCs w:val="10"/>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10,699,239</w:t>
            </w:r>
          </w:p>
        </w:tc>
        <w:tc>
          <w:tcPr>
            <w:tcW w:w="8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3,867,064</w:t>
            </w:r>
          </w:p>
        </w:tc>
        <w:tc>
          <w:tcPr>
            <w:tcW w:w="100" w:type="dxa"/>
            <w:vAlign w:val="bottom"/>
            <w:shd w:val="clear" w:color="auto" w:fill="CCEEFF"/>
          </w:tcPr>
          <w:p>
            <w:pPr>
              <w:spacing w:after="0"/>
              <w:rPr>
                <w:sz w:val="10"/>
                <w:szCs w:val="10"/>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41,533</w:t>
            </w:r>
          </w:p>
        </w:tc>
        <w:tc>
          <w:tcPr>
            <w:tcW w:w="1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15,770,836</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180"/>
              <w:spacing w:after="0"/>
              <w:rPr>
                <w:sz w:val="20"/>
                <w:szCs w:val="20"/>
                <w:color w:val="auto"/>
              </w:rPr>
            </w:pPr>
            <w:r>
              <w:rPr>
                <w:rFonts w:ascii="Arial" w:cs="Arial" w:eastAsia="Arial" w:hAnsi="Arial"/>
                <w:sz w:val="14"/>
                <w:szCs w:val="14"/>
                <w:i w:val="1"/>
                <w:iCs w:val="1"/>
                <w:color w:val="auto"/>
              </w:rPr>
              <w:t>Director</w:t>
            </w:r>
          </w:p>
        </w:tc>
        <w:tc>
          <w:tcPr>
            <w:tcW w:w="6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0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643,846</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1,770,474</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13,756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2,968,076</w:t>
            </w:r>
          </w:p>
        </w:tc>
        <w:tc>
          <w:tcPr>
            <w:tcW w:w="0" w:type="dxa"/>
            <w:vAlign w:val="bottom"/>
          </w:tcPr>
          <w:p>
            <w:pPr>
              <w:spacing w:after="0"/>
              <w:rPr>
                <w:sz w:val="1"/>
                <w:szCs w:val="1"/>
                <w:color w:val="auto"/>
              </w:rPr>
            </w:pPr>
          </w:p>
        </w:tc>
      </w:tr>
      <w:tr>
        <w:trPr>
          <w:trHeight w:val="133"/>
        </w:trPr>
        <w:tc>
          <w:tcPr>
            <w:tcW w:w="3060" w:type="dxa"/>
            <w:vAlign w:val="bottom"/>
          </w:tcPr>
          <w:p>
            <w:pPr>
              <w:ind w:left="20"/>
              <w:spacing w:after="0" w:line="133" w:lineRule="exact"/>
              <w:rPr>
                <w:sz w:val="20"/>
                <w:szCs w:val="20"/>
                <w:color w:val="auto"/>
              </w:rPr>
            </w:pPr>
            <w:r>
              <w:rPr>
                <w:rFonts w:ascii="Arial" w:cs="Arial" w:eastAsia="Arial" w:hAnsi="Arial"/>
                <w:sz w:val="14"/>
                <w:szCs w:val="14"/>
                <w:color w:val="auto"/>
              </w:rPr>
              <w:t>Isaac Ro</w:t>
            </w: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353,846</w:t>
            </w:r>
          </w:p>
        </w:tc>
        <w:tc>
          <w:tcPr>
            <w:tcW w:w="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2,633,103</w:t>
            </w:r>
          </w:p>
        </w:tc>
        <w:tc>
          <w:tcPr>
            <w:tcW w:w="10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11,040,064</w:t>
            </w:r>
          </w:p>
        </w:tc>
        <w:tc>
          <w:tcPr>
            <w:tcW w:w="0" w:type="dxa"/>
            <w:vAlign w:val="bottom"/>
          </w:tcPr>
          <w:p>
            <w:pPr>
              <w:spacing w:after="0"/>
              <w:rPr>
                <w:sz w:val="1"/>
                <w:szCs w:val="1"/>
                <w:color w:val="auto"/>
              </w:rPr>
            </w:pPr>
          </w:p>
        </w:tc>
      </w:tr>
      <w:tr>
        <w:trPr>
          <w:trHeight w:val="183"/>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530,397</w:t>
            </w:r>
          </w:p>
        </w:tc>
        <w:tc>
          <w:tcPr>
            <w:tcW w:w="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180,370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3,155,535</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1,104,874</w:t>
            </w:r>
          </w:p>
        </w:tc>
        <w:tc>
          <w:tcPr>
            <w:tcW w:w="10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4,988,576</w:t>
            </w: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ind w:left="20"/>
              <w:spacing w:after="0" w:line="186" w:lineRule="exact"/>
              <w:rPr>
                <w:sz w:val="20"/>
                <w:szCs w:val="20"/>
                <w:color w:val="auto"/>
              </w:rPr>
            </w:pPr>
            <w:r>
              <w:rPr>
                <w:rFonts w:ascii="Arial" w:cs="Arial" w:eastAsia="Arial" w:hAnsi="Arial"/>
                <w:sz w:val="14"/>
                <w:szCs w:val="14"/>
                <w:i w:val="1"/>
                <w:iCs w:val="1"/>
                <w:color w:val="auto"/>
              </w:rPr>
              <w:t>Former President and Chief Operating Officer</w:t>
            </w:r>
            <w:r>
              <w:rPr>
                <w:rFonts w:ascii="Arial" w:cs="Arial" w:eastAsia="Arial" w:hAnsi="Arial"/>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0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524,615</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1,521,973</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300" w:hanging="314"/>
        <w:spacing w:after="0" w:line="237" w:lineRule="auto"/>
        <w:tabs>
          <w:tab w:leader="none" w:pos="31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20" w:right="140" w:hanging="314"/>
        <w:spacing w:after="0" w:line="237" w:lineRule="auto"/>
        <w:tabs>
          <w:tab w:leader="none" w:pos="312"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Annual Report. In determining the total value of the equity awards, we have considered all grants issued during the year as earned by the respective executive officers.</w:t>
      </w:r>
    </w:p>
    <w:p>
      <w:pPr>
        <w:ind w:left="320" w:right="600" w:hanging="314"/>
        <w:spacing w:after="0" w:line="237" w:lineRule="auto"/>
        <w:tabs>
          <w:tab w:leader="none" w:pos="31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4"/>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Bonuses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Awards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1393"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concerning outstanding equity awards held by each of our named executive officers as of December 31,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gridSpan w:val="3"/>
          </w:tcPr>
          <w:p>
            <w:pPr>
              <w:jc w:val="right"/>
              <w:ind w:right="223"/>
              <w:spacing w:after="0"/>
              <w:rPr>
                <w:sz w:val="20"/>
                <w:szCs w:val="20"/>
                <w:color w:val="auto"/>
              </w:rPr>
            </w:pPr>
            <w:r>
              <w:rPr>
                <w:rFonts w:ascii="Arial" w:cs="Arial" w:eastAsia="Arial" w:hAnsi="Arial"/>
                <w:sz w:val="14"/>
                <w:szCs w:val="14"/>
                <w:b w:val="1"/>
                <w:bCs w:val="1"/>
                <w:color w:val="auto"/>
                <w:w w:val="89"/>
              </w:rPr>
              <w:t>Option Awards</w:t>
            </w:r>
            <w:r>
              <w:rPr>
                <w:rFonts w:ascii="Arial" w:cs="Arial" w:eastAsia="Arial" w:hAnsi="Arial"/>
                <w:sz w:val="18"/>
                <w:szCs w:val="18"/>
                <w:b w:val="1"/>
                <w:bCs w:val="1"/>
                <w:color w:val="auto"/>
                <w:w w:val="89"/>
                <w:vertAlign w:val="superscript"/>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4"/>
          </w:tcPr>
          <w:p>
            <w:pPr>
              <w:jc w:val="right"/>
              <w:ind w:right="781"/>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6"/>
              </w:rPr>
              <w:t>Market Value of</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spacing w:after="0"/>
              <w:rPr>
                <w:sz w:val="13"/>
                <w:szCs w:val="13"/>
                <w:color w:val="auto"/>
              </w:rPr>
            </w:pPr>
          </w:p>
        </w:tc>
        <w:tc>
          <w:tcPr>
            <w:tcW w:w="10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8"/>
              </w:rPr>
              <w:t>Shares or Units</w:t>
            </w:r>
          </w:p>
        </w:tc>
        <w:tc>
          <w:tcPr>
            <w:tcW w:w="0" w:type="dxa"/>
            <w:vAlign w:val="bottom"/>
          </w:tcPr>
          <w:p>
            <w:pPr>
              <w:spacing w:after="0"/>
              <w:rPr>
                <w:sz w:val="1"/>
                <w:szCs w:val="1"/>
                <w:color w:val="auto"/>
              </w:rPr>
            </w:pPr>
          </w:p>
        </w:tc>
      </w:tr>
      <w:tr>
        <w:trPr>
          <w:trHeight w:val="159"/>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Number of Securities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8"/>
              </w:rPr>
              <w:t>Shares or Units</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41"/>
              <w:spacing w:after="0" w:line="159" w:lineRule="exact"/>
              <w:rPr>
                <w:sz w:val="20"/>
                <w:szCs w:val="20"/>
                <w:color w:val="auto"/>
              </w:rPr>
            </w:pPr>
            <w:r>
              <w:rPr>
                <w:rFonts w:ascii="Arial" w:cs="Arial" w:eastAsia="Arial" w:hAnsi="Arial"/>
                <w:sz w:val="14"/>
                <w:szCs w:val="14"/>
                <w:b w:val="1"/>
                <w:bCs w:val="1"/>
                <w:color w:val="auto"/>
                <w:w w:val="90"/>
              </w:rPr>
              <w:t>of Stock That</w:t>
            </w:r>
          </w:p>
        </w:tc>
        <w:tc>
          <w:tcPr>
            <w:tcW w:w="0" w:type="dxa"/>
            <w:vAlign w:val="bottom"/>
          </w:tcPr>
          <w:p>
            <w:pPr>
              <w:spacing w:after="0"/>
              <w:rPr>
                <w:sz w:val="1"/>
                <w:szCs w:val="1"/>
                <w:color w:val="auto"/>
              </w:rPr>
            </w:pPr>
          </w:p>
        </w:tc>
      </w:tr>
      <w:tr>
        <w:trPr>
          <w:trHeight w:val="156"/>
        </w:trPr>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Unexercised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3"/>
              </w:rPr>
              <w:t>Option</w:t>
            </w: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2"/>
              </w:rPr>
              <w:t>of Stock That</w:t>
            </w:r>
          </w:p>
        </w:tc>
        <w:tc>
          <w:tcPr>
            <w:tcW w:w="520" w:type="dxa"/>
            <w:vAlign w:val="bottom"/>
          </w:tcPr>
          <w:p>
            <w:pPr>
              <w:spacing w:after="0"/>
              <w:rPr>
                <w:sz w:val="13"/>
                <w:szCs w:val="13"/>
                <w:color w:val="auto"/>
              </w:rPr>
            </w:pPr>
          </w:p>
        </w:tc>
        <w:tc>
          <w:tcPr>
            <w:tcW w:w="108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w w:val="90"/>
              </w:rPr>
              <w:t>Have Not Vested</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Option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Have Not Vested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41"/>
              <w:spacing w:after="0" w:line="162" w:lineRule="exact"/>
              <w:rPr>
                <w:sz w:val="20"/>
                <w:szCs w:val="20"/>
                <w:color w:val="auto"/>
              </w:rPr>
            </w:pPr>
            <w:r>
              <w:rPr>
                <w:rFonts w:ascii="Arial" w:cs="Arial" w:eastAsia="Arial" w:hAnsi="Arial"/>
                <w:sz w:val="14"/>
                <w:szCs w:val="14"/>
                <w:b w:val="1"/>
                <w:bCs w:val="1"/>
                <w:color w:val="auto"/>
                <w:w w:val="93"/>
              </w:rPr>
              <w:t>($)</w:t>
            </w:r>
            <w:r>
              <w:rPr>
                <w:rFonts w:ascii="Arial" w:cs="Arial" w:eastAsia="Arial" w:hAnsi="Arial"/>
                <w:sz w:val="18"/>
                <w:szCs w:val="18"/>
                <w:b w:val="1"/>
                <w:bCs w:val="1"/>
                <w:color w:val="auto"/>
                <w:w w:val="93"/>
                <w:vertAlign w:val="superscript"/>
              </w:rPr>
              <w:t>(*)</w:t>
            </w:r>
          </w:p>
        </w:tc>
        <w:tc>
          <w:tcPr>
            <w:tcW w:w="0" w:type="dxa"/>
            <w:vAlign w:val="bottom"/>
          </w:tcPr>
          <w:p>
            <w:pPr>
              <w:spacing w:after="0"/>
              <w:rPr>
                <w:sz w:val="1"/>
                <w:szCs w:val="1"/>
                <w:color w:val="auto"/>
              </w:rPr>
            </w:pPr>
          </w:p>
        </w:tc>
      </w:tr>
      <w:tr>
        <w:trPr>
          <w:trHeight w:val="184"/>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1240" w:type="dxa"/>
            <w:vAlign w:val="bottom"/>
          </w:tcPr>
          <w:p>
            <w:pPr>
              <w:jc w:val="right"/>
              <w:ind w:right="201"/>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Exercisable (#)</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Unexercisable (#)</w:t>
            </w:r>
          </w:p>
        </w:tc>
        <w:tc>
          <w:tcPr>
            <w:tcW w:w="104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Expiration 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Eric Schadt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6/1/2017</w:t>
            </w:r>
            <w:r>
              <w:rPr>
                <w:rFonts w:ascii="Arial" w:cs="Arial" w:eastAsia="Arial" w:hAnsi="Arial"/>
                <w:sz w:val="20"/>
                <w:szCs w:val="20"/>
                <w:color w:val="auto"/>
                <w:vertAlign w:val="superscript"/>
              </w:rPr>
              <w:t>(2)</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5/31/2027</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10/17/2019</w:t>
            </w:r>
            <w:r>
              <w:rPr>
                <w:rFonts w:ascii="Arial" w:cs="Arial" w:eastAsia="Arial" w:hAnsi="Arial"/>
                <w:sz w:val="20"/>
                <w:szCs w:val="20"/>
                <w:color w:val="auto"/>
                <w:vertAlign w:val="superscript"/>
              </w:rPr>
              <w:t>(3)</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851,357</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510,815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10/16/2029</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340" w:type="dxa"/>
            <w:vAlign w:val="bottom"/>
            <w:gridSpan w:val="3"/>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0"/>
                <w:szCs w:val="20"/>
                <w:color w:val="auto"/>
                <w:vertAlign w:val="superscript"/>
              </w:rPr>
              <w:t>(4)</w:t>
            </w:r>
          </w:p>
        </w:tc>
        <w:tc>
          <w:tcPr>
            <w:tcW w:w="14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1,300,203</w:t>
            </w:r>
          </w:p>
        </w:tc>
        <w:tc>
          <w:tcPr>
            <w:tcW w:w="13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1,011,285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400" w:type="dxa"/>
            <w:vAlign w:val="bottom"/>
            <w:gridSpan w:val="2"/>
            <w:vMerge w:val="continue"/>
            <w:shd w:val="clear" w:color="auto" w:fill="CCEEFF"/>
          </w:tcPr>
          <w:p>
            <w:pPr>
              <w:spacing w:after="0"/>
              <w:rPr>
                <w:sz w:val="7"/>
                <w:szCs w:val="7"/>
                <w:color w:val="auto"/>
              </w:rPr>
            </w:pPr>
          </w:p>
        </w:tc>
        <w:tc>
          <w:tcPr>
            <w:tcW w:w="1340" w:type="dxa"/>
            <w:vAlign w:val="bottom"/>
            <w:gridSpan w:val="3"/>
            <w:vMerge w:val="continue"/>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788,125</w:t>
            </w:r>
          </w:p>
        </w:tc>
        <w:tc>
          <w:tcPr>
            <w:tcW w:w="1040" w:type="dxa"/>
            <w:vAlign w:val="bottom"/>
            <w:gridSpan w:val="3"/>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040" w:type="dxa"/>
            <w:vAlign w:val="bottom"/>
            <w:gridSpan w:val="3"/>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1,182,187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5,272,552</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223,830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309,334</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(7)</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35,054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48,444</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197,635</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273,133</w:t>
            </w:r>
          </w:p>
        </w:tc>
        <w:tc>
          <w:tcPr>
            <w:tcW w:w="0" w:type="dxa"/>
            <w:vAlign w:val="bottom"/>
          </w:tcPr>
          <w:p>
            <w:pPr>
              <w:spacing w:after="0"/>
              <w:rPr>
                <w:sz w:val="1"/>
                <w:szCs w:val="1"/>
                <w:color w:val="auto"/>
              </w:rPr>
            </w:pPr>
          </w:p>
        </w:tc>
      </w:tr>
      <w:tr>
        <w:trPr>
          <w:trHeight w:val="397"/>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(8)</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83,818</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115,836</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(9)</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201,720</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278,778</w:t>
            </w:r>
          </w:p>
        </w:tc>
        <w:tc>
          <w:tcPr>
            <w:tcW w:w="0" w:type="dxa"/>
            <w:vAlign w:val="bottom"/>
          </w:tcPr>
          <w:p>
            <w:pPr>
              <w:spacing w:after="0"/>
              <w:rPr>
                <w:sz w:val="1"/>
                <w:szCs w:val="1"/>
                <w:color w:val="auto"/>
              </w:rPr>
            </w:pPr>
          </w:p>
        </w:tc>
      </w:tr>
      <w:tr>
        <w:trPr>
          <w:trHeight w:val="110"/>
        </w:trPr>
        <w:tc>
          <w:tcPr>
            <w:tcW w:w="2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180" w:type="dxa"/>
            <w:vAlign w:val="bottom"/>
          </w:tcPr>
          <w:p>
            <w:pPr>
              <w:ind w:left="20"/>
              <w:spacing w:after="0"/>
              <w:rPr>
                <w:sz w:val="20"/>
                <w:szCs w:val="20"/>
                <w:color w:val="auto"/>
              </w:rPr>
            </w:pPr>
            <w:r>
              <w:rPr>
                <w:rFonts w:ascii="Arial" w:cs="Arial" w:eastAsia="Arial" w:hAnsi="Arial"/>
                <w:sz w:val="16"/>
                <w:szCs w:val="16"/>
                <w:color w:val="auto"/>
              </w:rPr>
              <w:t>Isaac Ro</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(10)</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108,507</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470,197</w:t>
            </w:r>
          </w:p>
        </w:tc>
        <w:tc>
          <w:tcPr>
            <w:tcW w:w="1040" w:type="dxa"/>
            <w:vAlign w:val="bottom"/>
            <w:gridSpan w:val="3"/>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8"/>
        </w:trPr>
        <w:tc>
          <w:tcPr>
            <w:tcW w:w="21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(10)</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812,500</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3,623,750</w:t>
            </w:r>
          </w:p>
        </w:tc>
        <w:tc>
          <w:tcPr>
            <w:tcW w:w="0" w:type="dxa"/>
            <w:vAlign w:val="bottom"/>
          </w:tcPr>
          <w:p>
            <w:pPr>
              <w:spacing w:after="0"/>
              <w:rPr>
                <w:sz w:val="1"/>
                <w:szCs w:val="1"/>
                <w:color w:val="auto"/>
              </w:rPr>
            </w:pPr>
          </w:p>
        </w:tc>
      </w:tr>
      <w:tr>
        <w:trPr>
          <w:trHeight w:val="398"/>
        </w:trPr>
        <w:tc>
          <w:tcPr>
            <w:tcW w:w="21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(11)</w:t>
            </w:r>
          </w:p>
        </w:tc>
        <w:tc>
          <w:tcPr>
            <w:tcW w:w="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197,848</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273,428</w:t>
            </w:r>
          </w:p>
        </w:tc>
        <w:tc>
          <w:tcPr>
            <w:tcW w:w="0" w:type="dxa"/>
            <w:vAlign w:val="bottom"/>
          </w:tcPr>
          <w:p>
            <w:pPr>
              <w:spacing w:after="0"/>
              <w:rPr>
                <w:sz w:val="1"/>
                <w:szCs w:val="1"/>
                <w:color w:val="auto"/>
              </w:rPr>
            </w:pPr>
          </w:p>
        </w:tc>
      </w:tr>
      <w:tr>
        <w:trPr>
          <w:trHeight w:val="110"/>
        </w:trPr>
        <w:tc>
          <w:tcPr>
            <w:tcW w:w="218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14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James Coffin</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8/31/2017</w:t>
            </w:r>
            <w:r>
              <w:rPr>
                <w:rFonts w:ascii="Arial" w:cs="Arial" w:eastAsia="Arial" w:hAnsi="Arial"/>
                <w:sz w:val="20"/>
                <w:szCs w:val="20"/>
                <w:color w:val="auto"/>
                <w:vertAlign w:val="superscript"/>
              </w:rPr>
              <w:t>(12)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$0.1529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8/30/2027</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2/18/2020</w:t>
            </w:r>
            <w:r>
              <w:rPr>
                <w:rFonts w:ascii="Arial" w:cs="Arial" w:eastAsia="Arial" w:hAnsi="Arial"/>
                <w:sz w:val="20"/>
                <w:szCs w:val="20"/>
                <w:color w:val="auto"/>
                <w:vertAlign w:val="superscript"/>
              </w:rPr>
              <w:t>(4)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457,659</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355,961</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$0.7659</w:t>
            </w:r>
          </w:p>
        </w:tc>
        <w:tc>
          <w:tcPr>
            <w:tcW w:w="8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2/17/2030</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2"/>
        </w:trPr>
        <w:tc>
          <w:tcPr>
            <w:tcW w:w="2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225,179</w:t>
            </w:r>
          </w:p>
        </w:tc>
        <w:tc>
          <w:tcPr>
            <w:tcW w:w="104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$7.62</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9/30/2031</w:t>
            </w:r>
          </w:p>
        </w:tc>
        <w:tc>
          <w:tcPr>
            <w:tcW w:w="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7"/>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10/1/2021</w:t>
            </w:r>
            <w:r>
              <w:rPr>
                <w:rFonts w:ascii="Arial" w:cs="Arial" w:eastAsia="Arial" w:hAnsi="Arial"/>
                <w:sz w:val="20"/>
                <w:szCs w:val="20"/>
                <w:color w:val="auto"/>
                <w:vertAlign w:val="superscript"/>
              </w:rPr>
              <w:t>(5)</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337,767</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1,506,442</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(6)</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189,119</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261,363</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(13)</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40,155</w:t>
            </w:r>
          </w:p>
        </w:tc>
        <w:tc>
          <w:tcPr>
            <w:tcW w:w="0" w:type="dxa"/>
            <w:vAlign w:val="bottom"/>
          </w:tcPr>
          <w:p>
            <w:pPr>
              <w:spacing w:after="0"/>
              <w:rPr>
                <w:sz w:val="1"/>
                <w:szCs w:val="1"/>
                <w:color w:val="auto"/>
              </w:rPr>
            </w:pPr>
          </w:p>
        </w:tc>
      </w:tr>
      <w:tr>
        <w:trPr>
          <w:trHeight w:val="398"/>
        </w:trPr>
        <w:tc>
          <w:tcPr>
            <w:tcW w:w="2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12/9/2021</w:t>
            </w:r>
            <w:r>
              <w:rPr>
                <w:rFonts w:ascii="Arial" w:cs="Arial" w:eastAsia="Arial" w:hAnsi="Arial"/>
                <w:sz w:val="20"/>
                <w:szCs w:val="20"/>
                <w:color w:val="auto"/>
                <w:vertAlign w:val="superscript"/>
              </w:rPr>
              <w:t>(14)</w:t>
            </w:r>
          </w:p>
        </w:tc>
        <w:tc>
          <w:tcPr>
            <w:tcW w:w="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41,946</w:t>
            </w: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57,968</w:t>
            </w:r>
          </w:p>
        </w:tc>
        <w:tc>
          <w:tcPr>
            <w:tcW w:w="0" w:type="dxa"/>
            <w:vAlign w:val="bottom"/>
          </w:tcPr>
          <w:p>
            <w:pPr>
              <w:spacing w:after="0"/>
              <w:rPr>
                <w:sz w:val="1"/>
                <w:szCs w:val="1"/>
                <w:color w:val="auto"/>
              </w:rPr>
            </w:pPr>
          </w:p>
        </w:tc>
      </w:tr>
      <w:tr>
        <w:trPr>
          <w:trHeight w:val="110"/>
        </w:trPr>
        <w:tc>
          <w:tcPr>
            <w:tcW w:w="2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closing market price of our Class A common stock on December 31, 2021 was $4.46 per share.</w:t>
      </w:r>
    </w:p>
    <w:p>
      <w:pPr>
        <w:ind w:left="320" w:right="2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4"/>
        <w:spacing w:after="0" w:line="237"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ind w:left="320" w:right="2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2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6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ind w:left="320" w:right="80" w:hanging="314"/>
        <w:spacing w:after="0" w:line="237"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20" w:right="40" w:hanging="314"/>
        <w:spacing w:after="0" w:line="242" w:lineRule="auto"/>
        <w:tabs>
          <w:tab w:leader="none" w:pos="31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ectPr>
          <w:pgSz w:w="11900" w:h="16838" w:orient="portrait"/>
          <w:cols w:equalWidth="0" w:num="1">
            <w:col w:w="11240"/>
          </w:cols>
          <w:pgMar w:left="320" w:top="1393" w:right="339"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1240"/>
          </w:cols>
          <w:pgMar w:left="320" w:top="1393" w:right="339" w:bottom="537" w:gutter="0" w:footer="0" w:header="0"/>
          <w:type w:val="continuous"/>
        </w:sectPr>
      </w:pPr>
    </w:p>
    <w:bookmarkStart w:id="162" w:name="page163"/>
    <w:bookmarkEnd w:id="162"/>
    <w:p>
      <w:pPr>
        <w:spacing w:after="0" w:line="33" w:lineRule="exact"/>
        <w:rPr>
          <w:sz w:val="20"/>
          <w:szCs w:val="20"/>
          <w:color w:val="auto"/>
        </w:rPr>
      </w:pPr>
    </w:p>
    <w:p>
      <w:pPr>
        <w:ind w:left="320" w:right="60" w:hanging="314"/>
        <w:spacing w:after="0" w:line="249" w:lineRule="auto"/>
        <w:tabs>
          <w:tab w:leader="none" w:pos="312"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five semi-annual periods, subject to the officer’s continued service to us on each service-based vesting date.</w:t>
      </w:r>
    </w:p>
    <w:p>
      <w:pPr>
        <w:spacing w:after="0" w:line="1" w:lineRule="exact"/>
        <w:rPr>
          <w:rFonts w:ascii="Arial" w:cs="Arial" w:eastAsia="Arial" w:hAnsi="Arial"/>
          <w:sz w:val="14"/>
          <w:szCs w:val="14"/>
          <w:color w:val="auto"/>
        </w:rPr>
      </w:pPr>
    </w:p>
    <w:p>
      <w:pPr>
        <w:ind w:left="320" w:right="80" w:hanging="314"/>
        <w:spacing w:after="0" w:line="237" w:lineRule="auto"/>
        <w:tabs>
          <w:tab w:leader="none" w:pos="312"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ind w:left="320" w:right="40" w:hanging="314"/>
        <w:spacing w:after="0" w:line="276" w:lineRule="auto"/>
        <w:tabs>
          <w:tab w:leader="none" w:pos="317" w:val="left"/>
        </w:tabs>
        <w:numPr>
          <w:ilvl w:val="0"/>
          <w:numId w:val="69"/>
        </w:numPr>
        <w:rPr>
          <w:rFonts w:ascii="Arial" w:cs="Arial" w:eastAsia="Arial" w:hAnsi="Arial"/>
          <w:sz w:val="12"/>
          <w:szCs w:val="12"/>
          <w:color w:val="auto"/>
        </w:rPr>
      </w:pPr>
      <w:r>
        <w:rPr>
          <w:rFonts w:ascii="Arial" w:cs="Arial" w:eastAsia="Arial" w:hAnsi="Arial"/>
          <w:sz w:val="12"/>
          <w:szCs w:val="12"/>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w:t>
      </w:r>
    </w:p>
    <w:p>
      <w:pPr>
        <w:ind w:left="320"/>
        <w:spacing w:after="0" w:line="237" w:lineRule="auto"/>
        <w:rPr>
          <w:rFonts w:ascii="Arial" w:cs="Arial" w:eastAsia="Arial" w:hAnsi="Arial"/>
          <w:sz w:val="12"/>
          <w:szCs w:val="12"/>
          <w:color w:val="auto"/>
        </w:rPr>
      </w:pPr>
      <w:r>
        <w:rPr>
          <w:rFonts w:ascii="Arial" w:cs="Arial" w:eastAsia="Arial" w:hAnsi="Arial"/>
          <w:sz w:val="14"/>
          <w:szCs w:val="14"/>
          <w:color w:val="auto"/>
        </w:rPr>
        <w:t>(b) upon termination of the service provider’s employment by us without cause or by the service provider for good reason in connection with a change in control transaction.</w:t>
      </w:r>
    </w:p>
    <w:p>
      <w:pPr>
        <w:ind w:left="320" w:right="20" w:hanging="314"/>
        <w:spacing w:after="0" w:line="237" w:lineRule="auto"/>
        <w:tabs>
          <w:tab w:leader="none" w:pos="31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ind w:left="320" w:hanging="314"/>
        <w:spacing w:after="0" w:line="237" w:lineRule="auto"/>
        <w:tabs>
          <w:tab w:leader="none" w:pos="3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shares underlying the stock option are fully vested.</w:t>
      </w:r>
    </w:p>
    <w:p>
      <w:pPr>
        <w:jc w:val="both"/>
        <w:ind w:left="320" w:right="80" w:hanging="314"/>
        <w:spacing w:after="0" w:line="237" w:lineRule="auto"/>
        <w:tabs>
          <w:tab w:leader="none" w:pos="31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ind w:left="320" w:right="40" w:hanging="314"/>
        <w:spacing w:after="0" w:line="242" w:lineRule="auto"/>
        <w:tabs>
          <w:tab w:leader="none" w:pos="317"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Our Current Named Executive Officers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Arial" w:cs="Arial" w:eastAsia="Arial" w:hAnsi="Arial"/>
          <w:sz w:val="15"/>
          <w:szCs w:val="15"/>
          <w:i w:val="1"/>
          <w:iCs w:val="1"/>
          <w:color w:val="auto"/>
        </w:rPr>
        <w:t>Potential Payments</w:t>
      </w:r>
      <w:r>
        <w:rPr>
          <w:rFonts w:ascii="Arial" w:cs="Arial" w:eastAsia="Arial" w:hAnsi="Arial"/>
          <w:sz w:val="15"/>
          <w:szCs w:val="15"/>
          <w:color w:val="auto"/>
        </w:rPr>
        <w:t xml:space="preserve"> </w:t>
      </w:r>
      <w:r>
        <w:rPr>
          <w:rFonts w:ascii="Arial" w:cs="Arial" w:eastAsia="Arial" w:hAnsi="Arial"/>
          <w:sz w:val="15"/>
          <w:szCs w:val="15"/>
          <w:i w:val="1"/>
          <w:iCs w:val="1"/>
          <w:color w:val="auto"/>
        </w:rPr>
        <w:t>upon Termination or Change in Control</w:t>
      </w:r>
      <w:r>
        <w:rPr>
          <w:rFonts w:ascii="Arial" w:cs="Arial" w:eastAsia="Arial" w:hAnsi="Arial"/>
          <w:sz w:val="15"/>
          <w:szCs w:val="15"/>
          <w:color w:val="auto"/>
        </w:rPr>
        <w:t>.” In addition, Dr’s Schadt’s and Mr. Ro’s employment agreements provided for each to receive certain equity-based</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 awards following the closing of the business combination, which awards were granted under the 2021 Equity Incentive Plan (the “2021 EIP”) and are subject to service-based vesting conditions. For more information, see “—</w:t>
      </w:r>
      <w:r>
        <w:rPr>
          <w:rFonts w:ascii="Arial" w:cs="Arial" w:eastAsia="Arial" w:hAnsi="Arial"/>
          <w:sz w:val="15"/>
          <w:szCs w:val="15"/>
          <w:i w:val="1"/>
          <w:iCs w:val="1"/>
          <w:color w:val="auto"/>
        </w:rPr>
        <w:t>Outstanding Equity Awards at 2021 Fiscal Year-End</w:t>
      </w:r>
      <w:r>
        <w:rPr>
          <w:rFonts w:ascii="Arial" w:cs="Arial" w:eastAsia="Arial" w:hAnsi="Arial"/>
          <w:sz w:val="15"/>
          <w:szCs w:val="15"/>
          <w:color w:val="auto"/>
        </w:rPr>
        <w:t>.”</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3" w:name="page164"/>
    <w:bookmarkEnd w:id="163"/>
    <w:p>
      <w:pPr>
        <w:jc w:val="both"/>
        <w:ind w:right="20"/>
        <w:spacing w:after="0" w:line="264" w:lineRule="auto"/>
        <w:rPr>
          <w:sz w:val="20"/>
          <w:szCs w:val="20"/>
          <w:color w:val="auto"/>
        </w:rPr>
      </w:pPr>
      <w:r>
        <w:rPr>
          <w:rFonts w:ascii="Arial" w:cs="Arial" w:eastAsia="Arial" w:hAnsi="Arial"/>
          <w:sz w:val="18"/>
          <w:szCs w:val="18"/>
          <w:color w:val="auto"/>
        </w:rPr>
        <w:t>of continued coverage under our group health benefit plans, and accelerated vesting of his outstanding equity-based compensation awards, subject to his execution of a release of claims.</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described above in “—</w:t>
      </w:r>
      <w:r>
        <w:rPr>
          <w:rFonts w:ascii="Arial" w:cs="Arial" w:eastAsia="Arial" w:hAnsi="Arial"/>
          <w:sz w:val="18"/>
          <w:szCs w:val="18"/>
          <w:i w:val="1"/>
          <w:iCs w:val="1"/>
          <w:color w:val="auto"/>
        </w:rPr>
        <w:t>Outstanding Equity Awards at 2021 Fiscal Year-End</w:t>
      </w:r>
      <w:r>
        <w:rPr>
          <w:rFonts w:ascii="Arial" w:cs="Arial" w:eastAsia="Arial" w:hAnsi="Arial"/>
          <w:sz w:val="18"/>
          <w:szCs w:val="18"/>
          <w:color w:val="auto"/>
        </w:rPr>
        <w:t>”, a portion of the stock options held by Dr. Schadt would vest upon a change in control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with Our Former Named Executive Officer</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connection with Dr. Coffin’s departure from our company in February 2022, we and Dr. Coffin entered into a separation agreement (the “Separation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Agreement”), pursuant to which Dr. Coffin received the following severance benefits in exchange for his execution of release of claims:</w:t>
      </w:r>
    </w:p>
    <w:p>
      <w:pPr>
        <w:spacing w:after="0" w:line="153" w:lineRule="exact"/>
        <w:rPr>
          <w:sz w:val="20"/>
          <w:szCs w:val="20"/>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severance payment equal to 12 months of Dr. Coffin’s annual base salary in the amount of $550,000;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discretionary 2021 annual bonus payment in the amount of $180,370;</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12 months of reimbursement of COBRA continuation benefits;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extended period to exercise certain of Dr. Coffin’s vested stock options through May 30,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2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Shares reserved. </w:t>
      </w:r>
      <w:r>
        <w:rPr>
          <w:rFonts w:ascii="Arial" w:cs="Arial" w:eastAsia="Arial" w:hAnsi="Arial"/>
          <w:sz w:val="17"/>
          <w:szCs w:val="17"/>
          <w:color w:val="auto"/>
        </w:rPr>
        <w:t>We initially reserved 32,734,983 shares of Class A common stock for issuance pursuant to awards granted under the 2021 EIP,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shares set forth below will again be available for issuance pursuant to awards granted under our 2021 EIP:</w:t>
      </w:r>
    </w:p>
    <w:p>
      <w:pPr>
        <w:spacing w:after="0" w:line="164" w:lineRule="exact"/>
        <w:rPr>
          <w:sz w:val="20"/>
          <w:szCs w:val="20"/>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options or SARs granted under our 2021 EIP that cease to be subject to the option or SAR for any reason other than exercise of the option or SAR;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subsequently forfeited or repurchased by us at the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399" w:right="339" w:bottom="1440" w:gutter="0" w:footer="0" w:header="0"/>
        </w:sectPr>
      </w:pPr>
    </w:p>
    <w:bookmarkStart w:id="164" w:name="page165"/>
    <w:bookmarkEnd w:id="164"/>
    <w:p>
      <w:pPr>
        <w:ind w:left="640" w:hanging="31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otherwise terminate without such shares being issued;</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subject to awards granted under our 2021 EIP that are surrendered, cancelled, or exchanged for cash or a different award (or combination thereof);</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subject to awards granted under the 2021 EIP that are forfeited or repurchased by us at the original price after the effective date of the 2021 EIP; and</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shares subject to awards under the 2021 EIP that are used to pay the exercise price of an option or withheld to satisfy the tax withholding obligations related to any award.</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2021 EIP will be administered by our compensation committee, or by our Board acting in place of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2021 EIP provides for the grant of both incentive stock options intended to qualify under Section 422 of the Code,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Restricted stock awards (“</w:t>
      </w:r>
      <w:r>
        <w:rPr>
          <w:rFonts w:ascii="Arial" w:cs="Arial" w:eastAsia="Arial" w:hAnsi="Arial"/>
          <w:sz w:val="18"/>
          <w:szCs w:val="18"/>
          <w:color w:val="auto"/>
        </w:rPr>
        <w:t>RSA</w:t>
      </w:r>
      <w:r>
        <w:rPr>
          <w:rFonts w:ascii="Arial" w:cs="Arial" w:eastAsia="Arial" w:hAnsi="Arial"/>
          <w:sz w:val="18"/>
          <w:szCs w:val="18"/>
          <w:i w:val="1"/>
          <w:iCs w:val="1"/>
          <w:color w:val="auto"/>
        </w:rPr>
        <w:t xml:space="preserve">”). </w:t>
      </w:r>
      <w:r>
        <w:rPr>
          <w:rFonts w:ascii="Arial" w:cs="Arial" w:eastAsia="Arial" w:hAnsi="Arial"/>
          <w:sz w:val="18"/>
          <w:szCs w:val="18"/>
          <w:color w:val="auto"/>
        </w:rPr>
        <w:t>An RSA is an offer by us to grant or sell shares of our Class A common stock subject to restrictions, which may lapse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3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Stock appreciation rights (“</w:t>
      </w:r>
      <w:r>
        <w:rPr>
          <w:rFonts w:ascii="Arial" w:cs="Arial" w:eastAsia="Arial" w:hAnsi="Arial"/>
          <w:sz w:val="15"/>
          <w:szCs w:val="15"/>
          <w:color w:val="auto"/>
        </w:rPr>
        <w:t>SAR”</w:t>
      </w:r>
      <w:r>
        <w:rPr>
          <w:rFonts w:ascii="Arial" w:cs="Arial" w:eastAsia="Arial" w:hAnsi="Arial"/>
          <w:sz w:val="15"/>
          <w:szCs w:val="15"/>
          <w:i w:val="1"/>
          <w:iCs w:val="1"/>
          <w:color w:val="auto"/>
        </w:rPr>
        <w:t>)</w:t>
      </w:r>
      <w:r>
        <w:rPr>
          <w:rFonts w:ascii="Arial" w:cs="Arial" w:eastAsia="Arial" w:hAnsi="Arial"/>
          <w:sz w:val="15"/>
          <w:szCs w:val="15"/>
          <w:color w:val="auto"/>
        </w:rPr>
        <w:t>. A SAR provides for a payment, in cash or shares of our Class A common stock (up to a specified maximum number</w:t>
      </w:r>
      <w:r>
        <w:rPr>
          <w:rFonts w:ascii="Arial" w:cs="Arial" w:eastAsia="Arial" w:hAnsi="Arial"/>
          <w:sz w:val="15"/>
          <w:szCs w:val="15"/>
          <w:i w:val="1"/>
          <w:iCs w:val="1"/>
          <w:color w:val="auto"/>
        </w:rPr>
        <w:t xml:space="preserve"> </w:t>
      </w:r>
      <w:r>
        <w:rPr>
          <w:rFonts w:ascii="Arial" w:cs="Arial" w:eastAsia="Arial" w:hAnsi="Arial"/>
          <w:sz w:val="15"/>
          <w:szCs w:val="15"/>
          <w:color w:val="auto"/>
        </w:rPr>
        <w:t>of 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1399" w:right="339" w:bottom="1440" w:gutter="0" w:footer="0" w:header="0"/>
        </w:sectPr>
      </w:pPr>
    </w:p>
    <w:bookmarkStart w:id="165" w:name="page166"/>
    <w:bookmarkEnd w:id="165"/>
    <w:p>
      <w:pPr>
        <w:jc w:val="both"/>
        <w:spacing w:after="0" w:line="264" w:lineRule="auto"/>
        <w:rPr>
          <w:sz w:val="20"/>
          <w:szCs w:val="20"/>
          <w:color w:val="auto"/>
        </w:rPr>
      </w:pPr>
      <w:r>
        <w:rPr>
          <w:rFonts w:ascii="Arial" w:cs="Arial" w:eastAsia="Arial" w:hAnsi="Arial"/>
          <w:sz w:val="18"/>
          <w:szCs w:val="18"/>
          <w:color w:val="auto"/>
        </w:rPr>
        <w:t>fair market value of a share of our Class A common stock on the date of grant. SARs may vest based on service or achievement of performance conditions. No SAR may have a term that is longer than ten years from the date of grant.</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Restricted stock units (“</w:t>
      </w:r>
      <w:r>
        <w:rPr>
          <w:rFonts w:ascii="Arial" w:cs="Arial" w:eastAsia="Arial" w:hAnsi="Arial"/>
          <w:sz w:val="18"/>
          <w:szCs w:val="18"/>
          <w:color w:val="auto"/>
        </w:rPr>
        <w:t>RSU</w:t>
      </w:r>
      <w:r>
        <w:rPr>
          <w:rFonts w:ascii="Arial" w:cs="Arial" w:eastAsia="Arial" w:hAnsi="Arial"/>
          <w:sz w:val="18"/>
          <w:szCs w:val="18"/>
          <w:i w:val="1"/>
          <w:iCs w:val="1"/>
          <w:color w:val="auto"/>
        </w:rPr>
        <w:t xml:space="preserve">”). </w:t>
      </w:r>
      <w:r>
        <w:rPr>
          <w:rFonts w:ascii="Arial" w:cs="Arial" w:eastAsia="Arial" w:hAnsi="Arial"/>
          <w:sz w:val="18"/>
          <w:szCs w:val="18"/>
          <w:color w:val="auto"/>
        </w:rPr>
        <w:t>An RSU represents the right to receive the value of shares of our Class A common stock at a specified date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Performance awards. </w:t>
      </w:r>
      <w:r>
        <w:rPr>
          <w:rFonts w:ascii="Arial" w:cs="Arial" w:eastAsia="Arial" w:hAnsi="Arial"/>
          <w:sz w:val="18"/>
          <w:szCs w:val="18"/>
          <w:color w:val="auto"/>
        </w:rPr>
        <w:t>Performance awards granted pursuant to the 2021 EIP may be in the form of a cash bonus, or an award of performance shares or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Stock bonus awards. </w:t>
      </w:r>
      <w:r>
        <w:rPr>
          <w:rFonts w:ascii="Arial" w:cs="Arial" w:eastAsia="Arial" w:hAnsi="Arial"/>
          <w:sz w:val="15"/>
          <w:szCs w:val="15"/>
          <w:color w:val="auto"/>
        </w:rPr>
        <w:t>A stock bonus award provides for payment in the form of cash, shares of our Class A common stock or a combination thereof,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8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Dividend equivalents rights. </w:t>
      </w:r>
      <w:r>
        <w:rPr>
          <w:rFonts w:ascii="Arial" w:cs="Arial" w:eastAsia="Arial" w:hAnsi="Arial"/>
          <w:sz w:val="15"/>
          <w:szCs w:val="15"/>
          <w:color w:val="auto"/>
        </w:rPr>
        <w:t>Our Board or the compensation committee thereof may permit participants holding RSUs to receive dividend equivalent</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93"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Our 2021 EIP provides that, in the event of a corporate transaction that constitutes a change of control of our company under the terms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w:t>
      </w:r>
    </w:p>
    <w:p>
      <w:pPr>
        <w:spacing w:after="0" w:line="3" w:lineRule="exact"/>
        <w:rPr>
          <w:sz w:val="20"/>
          <w:szCs w:val="20"/>
          <w:color w:val="auto"/>
        </w:rPr>
      </w:pPr>
    </w:p>
    <w:p>
      <w:pPr>
        <w:jc w:val="both"/>
        <w:ind w:firstLine="6"/>
        <w:spacing w:after="0" w:line="264" w:lineRule="auto"/>
        <w:tabs>
          <w:tab w:leader="none" w:pos="325"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i w:val="1"/>
          <w:iCs w:val="1"/>
          <w:color w:val="auto"/>
        </w:rPr>
        <w:t xml:space="preserve">Adjustment. </w:t>
      </w:r>
      <w:r>
        <w:rPr>
          <w:rFonts w:ascii="Arial" w:cs="Arial" w:eastAsia="Arial" w:hAnsi="Arial"/>
          <w:sz w:val="17"/>
          <w:szCs w:val="17"/>
          <w:color w:val="auto"/>
        </w:rPr>
        <w:t>In the event of a change in the number of outstanding shares of our Class A common stock without consideration by reason of a stock</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Exchange, repricing and buyout of awards</w:t>
      </w:r>
      <w:r>
        <w:rPr>
          <w:rFonts w:ascii="Arial" w:cs="Arial" w:eastAsia="Arial" w:hAnsi="Arial"/>
          <w:sz w:val="18"/>
          <w:szCs w:val="18"/>
          <w:color w:val="auto"/>
        </w:rPr>
        <w:t>. The administrator may, without prior stockholder approval, (i) reduce the exercise price of outstanding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SARs without the consent of any participant and (ii) pay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1399" w:right="339" w:bottom="1440" w:gutter="0" w:footer="0" w:header="0"/>
        </w:sectPr>
      </w:pPr>
    </w:p>
    <w:bookmarkStart w:id="166" w:name="page167"/>
    <w:bookmarkEnd w:id="166"/>
    <w:p>
      <w:pPr>
        <w:jc w:val="both"/>
        <w:spacing w:after="0" w:line="264" w:lineRule="auto"/>
        <w:rPr>
          <w:sz w:val="20"/>
          <w:szCs w:val="20"/>
          <w:color w:val="auto"/>
        </w:rPr>
      </w:pPr>
      <w:r>
        <w:rPr>
          <w:rFonts w:ascii="Arial" w:cs="Arial" w:eastAsia="Arial" w:hAnsi="Arial"/>
          <w:sz w:val="18"/>
          <w:szCs w:val="18"/>
          <w:color w:val="auto"/>
        </w:rPr>
        <w:t>issue new awards in exchange for the surrender and cancellation of any, or all, outstanding awards, subject to the consent of any affected participant to the extent required by the terms of the 2021 EIP.</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No non-employee director may receive awards under our 2021 EIP with a grant date value that when combined with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received for his or her service as a director, exceed $750,000 in a calendar year, increased to $1,000,000 in the calendar year of his or her initial services as a non-employee director.</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Clawback; transferability</w:t>
      </w:r>
      <w:r>
        <w:rPr>
          <w:rFonts w:ascii="Arial" w:cs="Arial" w:eastAsia="Arial" w:hAnsi="Arial"/>
          <w:sz w:val="18"/>
          <w:szCs w:val="18"/>
          <w:color w:val="auto"/>
        </w:rPr>
        <w:t>. All awards will be subject to clawback or recoupment pursuant to any compensation clawback or recoupment policy adopted</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Sub-plans</w:t>
      </w:r>
      <w:r>
        <w:rPr>
          <w:rFonts w:ascii="Arial" w:cs="Arial" w:eastAsia="Arial" w:hAnsi="Arial"/>
          <w:sz w:val="18"/>
          <w:szCs w:val="18"/>
          <w:color w:val="auto"/>
        </w:rPr>
        <w:t>. Subject to the terms of the 2021 EIP, the plan administrator may establish a sub-plan under the 2021 EIP and/or modify the terms of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participants outside of the United States to comply with any laws or regulations applicable to any such jurisdiction.</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or compensation committee may amend our 2021 EIP at any time, subject to stockholder approval as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Shares Reserved</w:t>
      </w:r>
      <w:r>
        <w:rPr>
          <w:rFonts w:ascii="Arial" w:cs="Arial" w:eastAsia="Arial" w:hAnsi="Arial"/>
          <w:sz w:val="17"/>
          <w:szCs w:val="17"/>
          <w:color w:val="auto"/>
        </w:rPr>
        <w:t>. We have initially reserved 4,804,011 shares of our Class A common stock equal for issuance and sale under the ESPP. The number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ESPP will be administered by our compensation committee, or by our Board acting in place of our compensation committee,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399" w:right="339" w:bottom="1440" w:gutter="0" w:footer="0" w:header="0"/>
        </w:sectPr>
      </w:pPr>
    </w:p>
    <w:bookmarkStart w:id="167" w:name="page168"/>
    <w:bookmarkEnd w:id="167"/>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any offering pursuant to the ESPP generally include any employee that is employed by us or certain of our</w:t>
      </w:r>
      <w:r>
        <w:rPr>
          <w:rFonts w:ascii="Arial" w:cs="Arial" w:eastAsia="Arial" w:hAnsi="Arial"/>
          <w:sz w:val="15"/>
          <w:szCs w:val="15"/>
          <w:i w:val="1"/>
          <w:iCs w:val="1"/>
          <w:color w:val="auto"/>
        </w:rPr>
        <w:t xml:space="preserve"> </w:t>
      </w:r>
      <w:r>
        <w:rPr>
          <w:rFonts w:ascii="Arial" w:cs="Arial" w:eastAsia="Arial" w:hAnsi="Arial"/>
          <w:sz w:val="15"/>
          <w:szCs w:val="15"/>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0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Offering Periods; Enrollment. </w:t>
      </w:r>
      <w:r>
        <w:rPr>
          <w:rFonts w:ascii="Arial" w:cs="Arial" w:eastAsia="Arial" w:hAnsi="Arial"/>
          <w:sz w:val="17"/>
          <w:szCs w:val="17"/>
          <w:color w:val="auto"/>
        </w:rPr>
        <w:t>Under our ESPP, eligible employees will be offered the option to purchase shares of our Class A common stock at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3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i w:val="1"/>
          <w:iCs w:val="1"/>
          <w:color w:val="auto"/>
        </w:rPr>
        <w:t xml:space="preserve">Offerings; Contributions; Limitations. </w:t>
      </w:r>
      <w:r>
        <w:rPr>
          <w:rFonts w:ascii="Arial" w:cs="Arial" w:eastAsia="Arial" w:hAnsi="Arial"/>
          <w:sz w:val="15"/>
          <w:szCs w:val="15"/>
          <w:color w:val="auto"/>
        </w:rPr>
        <w:t>The purchase price for shares purchased under the ESPP during any given purchase period will be 85%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lesser 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0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i w:val="1"/>
          <w:iCs w:val="1"/>
          <w:color w:val="auto"/>
        </w:rPr>
        <w:t xml:space="preserve">Adjustments upon recapitalization. </w:t>
      </w:r>
      <w:r>
        <w:rPr>
          <w:rFonts w:ascii="Arial" w:cs="Arial" w:eastAsia="Arial" w:hAnsi="Arial"/>
          <w:sz w:val="15"/>
          <w:szCs w:val="15"/>
          <w:color w:val="auto"/>
        </w:rPr>
        <w:t>If the number of outstanding shares of our Class A common stock is changed by stock dividend, recapitalization, stock</w:t>
      </w:r>
      <w:r>
        <w:rPr>
          <w:rFonts w:ascii="Arial" w:cs="Arial" w:eastAsia="Arial" w:hAnsi="Arial"/>
          <w:sz w:val="15"/>
          <w:szCs w:val="15"/>
          <w:i w:val="1"/>
          <w:iCs w:val="1"/>
          <w:color w:val="auto"/>
        </w:rPr>
        <w:t xml:space="preserve"> </w:t>
      </w:r>
      <w:r>
        <w:rPr>
          <w:rFonts w:ascii="Arial" w:cs="Arial" w:eastAsia="Arial" w:hAnsi="Arial"/>
          <w:sz w:val="15"/>
          <w:szCs w:val="15"/>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9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Corporate Transaction. </w:t>
      </w:r>
      <w:r>
        <w:rPr>
          <w:rFonts w:ascii="Arial" w:cs="Arial" w:eastAsia="Arial" w:hAnsi="Arial"/>
          <w:sz w:val="17"/>
          <w:szCs w:val="17"/>
          <w:color w:val="auto"/>
        </w:rPr>
        <w:t>If the post-combination company experiences a corporate transaction as determined under the terms of the ESPP, any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i w:val="1"/>
          <w:iCs w:val="1"/>
          <w:color w:val="auto"/>
        </w:rPr>
        <w:t xml:space="preserve">Transferability. </w:t>
      </w:r>
      <w:r>
        <w:rPr>
          <w:rFonts w:ascii="Arial" w:cs="Arial" w:eastAsia="Arial" w:hAnsi="Arial"/>
          <w:sz w:val="17"/>
          <w:szCs w:val="17"/>
          <w:color w:val="auto"/>
        </w:rPr>
        <w:t>Participants may generally not assign, transfer, pledge or otherwise dispose of payroll deductions credited to his or her account, or any</w:t>
      </w:r>
      <w:r>
        <w:rPr>
          <w:rFonts w:ascii="Arial" w:cs="Arial" w:eastAsia="Arial" w:hAnsi="Arial"/>
          <w:sz w:val="17"/>
          <w:szCs w:val="17"/>
          <w:i w:val="1"/>
          <w:iCs w:val="1"/>
          <w:color w:val="auto"/>
        </w:rPr>
        <w:t xml:space="preserve"> </w:t>
      </w:r>
      <w:r>
        <w:rPr>
          <w:rFonts w:ascii="Arial" w:cs="Arial" w:eastAsia="Arial" w:hAnsi="Arial"/>
          <w:sz w:val="17"/>
          <w:szCs w:val="17"/>
          <w:color w:val="auto"/>
        </w:rPr>
        <w:t>rights with regard to an election to purchase shares pursuant to the ESPP other than by will or the laws of descent or distribution.</w:t>
      </w:r>
    </w:p>
    <w:p>
      <w:pPr>
        <w:spacing w:after="0" w:line="10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Amendment; Termination. </w:t>
      </w:r>
      <w:r>
        <w:rPr>
          <w:rFonts w:ascii="Arial" w:cs="Arial" w:eastAsia="Arial" w:hAnsi="Arial"/>
          <w:sz w:val="18"/>
          <w:szCs w:val="18"/>
          <w:color w:val="auto"/>
        </w:rPr>
        <w:t>The board or compensation committee may amend, suspend or terminate the ESPP at any time without stockholder consent,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399" w:right="339" w:bottom="1440" w:gutter="0" w:footer="0" w:header="0"/>
        </w:sectPr>
      </w:pPr>
    </w:p>
    <w:bookmarkStart w:id="168" w:name="page169"/>
    <w:bookmarkEnd w:id="168"/>
    <w:p>
      <w:pPr>
        <w:jc w:val="both"/>
        <w:spacing w:after="0" w:line="264" w:lineRule="auto"/>
        <w:rPr>
          <w:sz w:val="20"/>
          <w:szCs w:val="20"/>
          <w:color w:val="auto"/>
        </w:rPr>
      </w:pPr>
      <w:r>
        <w:rPr>
          <w:rFonts w:ascii="Arial" w:cs="Arial" w:eastAsia="Arial" w:hAnsi="Arial"/>
          <w:sz w:val="18"/>
          <w:szCs w:val="18"/>
          <w:color w:val="auto"/>
        </w:rPr>
        <w:t>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4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Chairman Compensation</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399" w:right="339" w:bottom="1440" w:gutter="0" w:footer="0" w:header="0"/>
        </w:sectPr>
      </w:pPr>
    </w:p>
    <w:bookmarkStart w:id="169" w:name="page170"/>
    <w:bookmarkEnd w:id="169"/>
    <w:p>
      <w:pPr>
        <w:jc w:val="both"/>
        <w:spacing w:after="0" w:line="250" w:lineRule="auto"/>
        <w:rPr>
          <w:sz w:val="20"/>
          <w:szCs w:val="20"/>
          <w:color w:val="auto"/>
        </w:rPr>
      </w:pPr>
      <w:r>
        <w:rPr>
          <w:rFonts w:ascii="Arial" w:cs="Arial" w:eastAsia="Arial" w:hAnsi="Arial"/>
          <w:sz w:val="18"/>
          <w:szCs w:val="18"/>
          <w:color w:val="auto"/>
        </w:rPr>
        <w:t>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Director Compensation Table</w:t>
      </w:r>
    </w:p>
    <w:p>
      <w:pPr>
        <w:spacing w:after="0" w:line="217" w:lineRule="exact"/>
        <w:rPr>
          <w:sz w:val="20"/>
          <w:szCs w:val="20"/>
          <w:color w:val="auto"/>
        </w:rPr>
      </w:pPr>
    </w:p>
    <w:p>
      <w:pPr>
        <w:jc w:val="both"/>
        <w:ind w:firstLine="433"/>
        <w:spacing w:after="0" w:line="249" w:lineRule="auto"/>
        <w:rPr>
          <w:sz w:val="20"/>
          <w:szCs w:val="20"/>
          <w:color w:val="auto"/>
        </w:rPr>
      </w:pPr>
      <w:r>
        <w:rPr>
          <w:rFonts w:ascii="Arial" w:cs="Arial" w:eastAsia="Arial" w:hAnsi="Arial"/>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r>
        <w:rPr>
          <w:rFonts w:ascii="Arial" w:cs="Arial" w:eastAsia="Arial" w:hAnsi="Arial"/>
          <w:sz w:val="18"/>
          <w:szCs w:val="18"/>
          <w:i w:val="1"/>
          <w:iCs w:val="1"/>
          <w:color w:val="auto"/>
        </w:rPr>
        <w:t>2021 Summary Compensation Table</w:t>
      </w:r>
      <w:r>
        <w:rPr>
          <w:rFonts w:ascii="Arial" w:cs="Arial" w:eastAsia="Arial" w:hAnsi="Arial"/>
          <w:sz w:val="18"/>
          <w:szCs w:val="18"/>
          <w:color w:val="auto"/>
        </w:rPr>
        <w:t>” for a summary of payments made to Dr. Schadt.</w:t>
      </w:r>
    </w:p>
    <w:p>
      <w:pPr>
        <w:sectPr>
          <w:pgSz w:w="11900" w:h="16838" w:orient="portrait"/>
          <w:cols w:equalWidth="0" w:num="1">
            <w:col w:w="11240"/>
          </w:cols>
          <w:pgMar w:left="320" w:top="1399"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80" w:type="dxa"/>
            <w:vAlign w:val="bottom"/>
          </w:tcPr>
          <w:p>
            <w:pPr>
              <w:jc w:val="center"/>
              <w:ind w:left="1769"/>
              <w:spacing w:after="0"/>
              <w:rPr>
                <w:sz w:val="20"/>
                <w:szCs w:val="20"/>
                <w:color w:val="auto"/>
              </w:rPr>
            </w:pPr>
            <w:r>
              <w:rPr>
                <w:rFonts w:ascii="Arial" w:cs="Arial" w:eastAsia="Arial" w:hAnsi="Arial"/>
                <w:sz w:val="14"/>
                <w:szCs w:val="14"/>
                <w:b w:val="1"/>
                <w:bCs w:val="1"/>
                <w:color w:val="auto"/>
                <w:w w:val="92"/>
              </w:rPr>
              <w:t>Fees Earned or Paid</w:t>
            </w:r>
          </w:p>
        </w:tc>
        <w:tc>
          <w:tcPr>
            <w:tcW w:w="1280" w:type="dxa"/>
            <w:vAlign w:val="bottom"/>
          </w:tcPr>
          <w:p>
            <w:pPr>
              <w:jc w:val="center"/>
              <w:ind w:left="22"/>
              <w:spacing w:after="0"/>
              <w:rPr>
                <w:sz w:val="20"/>
                <w:szCs w:val="20"/>
                <w:color w:val="auto"/>
              </w:rPr>
            </w:pPr>
            <w:r>
              <w:rPr>
                <w:rFonts w:ascii="Arial" w:cs="Arial" w:eastAsia="Arial" w:hAnsi="Arial"/>
                <w:sz w:val="14"/>
                <w:szCs w:val="14"/>
                <w:b w:val="1"/>
                <w:bCs w:val="1"/>
                <w:color w:val="auto"/>
                <w:w w:val="91"/>
              </w:rPr>
              <w:t>Option Awards($)</w:t>
            </w:r>
            <w:r>
              <w:rPr>
                <w:rFonts w:ascii="Arial" w:cs="Arial" w:eastAsia="Arial" w:hAnsi="Arial"/>
                <w:sz w:val="18"/>
                <w:szCs w:val="18"/>
                <w:b w:val="1"/>
                <w:bCs w:val="1"/>
                <w:color w:val="auto"/>
                <w:w w:val="91"/>
                <w:vertAlign w:val="superscript"/>
              </w:rPr>
              <w:t>(1)</w:t>
            </w: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3280" w:type="dxa"/>
            <w:vAlign w:val="bottom"/>
          </w:tcPr>
          <w:p>
            <w:pPr>
              <w:jc w:val="center"/>
              <w:ind w:left="1789"/>
              <w:spacing w:after="0" w:line="133" w:lineRule="exact"/>
              <w:rPr>
                <w:sz w:val="20"/>
                <w:szCs w:val="20"/>
                <w:color w:val="auto"/>
              </w:rPr>
            </w:pPr>
            <w:r>
              <w:rPr>
                <w:rFonts w:ascii="Arial" w:cs="Arial" w:eastAsia="Arial" w:hAnsi="Arial"/>
                <w:sz w:val="14"/>
                <w:szCs w:val="14"/>
                <w:b w:val="1"/>
                <w:bCs w:val="1"/>
                <w:color w:val="auto"/>
                <w:w w:val="91"/>
              </w:rPr>
              <w:t>in Cash($)</w:t>
            </w:r>
          </w:p>
        </w:tc>
        <w:tc>
          <w:tcPr>
            <w:tcW w:w="1280" w:type="dxa"/>
            <w:vAlign w:val="bottom"/>
          </w:tcPr>
          <w:p>
            <w:pPr>
              <w:jc w:val="right"/>
              <w:ind w:right="482"/>
              <w:spacing w:after="0"/>
              <w:rPr>
                <w:sz w:val="20"/>
                <w:szCs w:val="20"/>
                <w:color w:val="auto"/>
              </w:rPr>
            </w:pP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center"/>
        <w:ind w:right="3240"/>
        <w:spacing w:after="0"/>
        <w:rPr>
          <w:sz w:val="20"/>
          <w:szCs w:val="20"/>
          <w:color w:val="auto"/>
        </w:rPr>
      </w:pPr>
      <w:r>
        <w:rPr>
          <w:rFonts w:ascii="Arial" w:cs="Arial" w:eastAsia="Arial" w:hAnsi="Arial"/>
          <w:sz w:val="12"/>
          <w:szCs w:val="12"/>
          <w:b w:val="1"/>
          <w:bCs w:val="1"/>
          <w:color w:val="auto"/>
        </w:rPr>
        <w:t>Restricted</w:t>
      </w:r>
    </w:p>
    <w:p>
      <w:pPr>
        <w:spacing w:after="0" w:line="5" w:lineRule="exact"/>
        <w:rPr>
          <w:sz w:val="20"/>
          <w:szCs w:val="20"/>
          <w:color w:val="auto"/>
        </w:rPr>
      </w:pPr>
    </w:p>
    <w:p>
      <w:pPr>
        <w:jc w:val="center"/>
        <w:ind w:right="3240"/>
        <w:spacing w:after="0"/>
        <w:rPr>
          <w:sz w:val="20"/>
          <w:szCs w:val="20"/>
          <w:color w:val="auto"/>
        </w:rPr>
      </w:pPr>
      <w:r>
        <w:rPr>
          <w:rFonts w:ascii="Arial" w:cs="Arial" w:eastAsia="Arial" w:hAnsi="Arial"/>
          <w:sz w:val="12"/>
          <w:szCs w:val="12"/>
          <w:b w:val="1"/>
          <w:bCs w:val="1"/>
          <w:color w:val="auto"/>
        </w:rPr>
        <w:t>Stock and</w:t>
      </w:r>
    </w:p>
    <w:p>
      <w:pPr>
        <w:jc w:val="center"/>
        <w:ind w:right="3240"/>
        <w:spacing w:after="0" w:line="197" w:lineRule="auto"/>
        <w:rPr>
          <w:sz w:val="20"/>
          <w:szCs w:val="20"/>
          <w:color w:val="auto"/>
        </w:rPr>
      </w:pPr>
      <w:r>
        <w:rPr>
          <w:rFonts w:ascii="Arial" w:cs="Arial" w:eastAsia="Arial" w:hAnsi="Arial"/>
          <w:sz w:val="14"/>
          <w:szCs w:val="14"/>
          <w:b w:val="1"/>
          <w:bCs w:val="1"/>
          <w:color w:val="auto"/>
        </w:rPr>
        <w:t>Other</w:t>
      </w:r>
    </w:p>
    <w:p>
      <w:pPr>
        <w:ind w:left="20"/>
        <w:spacing w:after="0" w:line="184" w:lineRule="auto"/>
        <w:tabs>
          <w:tab w:leader="none" w:pos="1500" w:val="left"/>
        </w:tabs>
        <w:rPr>
          <w:sz w:val="20"/>
          <w:szCs w:val="20"/>
          <w:color w:val="auto"/>
        </w:rPr>
      </w:pPr>
      <w:r>
        <w:rPr>
          <w:rFonts w:ascii="Arial" w:cs="Arial" w:eastAsia="Arial" w:hAnsi="Arial"/>
          <w:sz w:val="14"/>
          <w:szCs w:val="14"/>
          <w:b w:val="1"/>
          <w:bCs w:val="1"/>
          <w:color w:val="auto"/>
        </w:rPr>
        <w:t>Securities</w:t>
      </w:r>
      <w:r>
        <w:rPr>
          <w:sz w:val="20"/>
          <w:szCs w:val="20"/>
          <w:color w:val="auto"/>
        </w:rPr>
        <w:tab/>
      </w:r>
      <w:r>
        <w:rPr>
          <w:rFonts w:ascii="Arial" w:cs="Arial" w:eastAsia="Arial" w:hAnsi="Arial"/>
          <w:sz w:val="14"/>
          <w:szCs w:val="14"/>
          <w:b w:val="1"/>
          <w:bCs w:val="1"/>
          <w:color w:val="auto"/>
        </w:rPr>
        <w:t>All Other</w:t>
      </w:r>
    </w:p>
    <w:p>
      <w:pPr>
        <w:ind w:left="120"/>
        <w:spacing w:after="0"/>
        <w:tabs>
          <w:tab w:leader="none" w:pos="1200" w:val="left"/>
          <w:tab w:leader="none" w:pos="2940" w:val="left"/>
        </w:tabs>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(1)(4)</w:t>
      </w:r>
      <w:r>
        <w:rPr>
          <w:sz w:val="20"/>
          <w:szCs w:val="20"/>
          <w:color w:val="auto"/>
        </w:rPr>
        <w:tab/>
      </w:r>
      <w:r>
        <w:rPr>
          <w:rFonts w:ascii="Arial" w:cs="Arial" w:eastAsia="Arial" w:hAnsi="Arial"/>
          <w:sz w:val="14"/>
          <w:szCs w:val="14"/>
          <w:b w:val="1"/>
          <w:bCs w:val="1"/>
          <w:color w:val="auto"/>
        </w:rPr>
        <w:t>Compensation ($)</w:t>
      </w:r>
      <w:r>
        <w:rPr>
          <w:rFonts w:ascii="Arial" w:cs="Arial" w:eastAsia="Arial" w:hAnsi="Arial"/>
          <w:sz w:val="18"/>
          <w:szCs w:val="18"/>
          <w:b w:val="1"/>
          <w:bCs w:val="1"/>
          <w:color w:val="auto"/>
          <w:vertAlign w:val="superscript"/>
        </w:rPr>
        <w:t>(2)</w:t>
      </w:r>
      <w:r>
        <w:rPr>
          <w:sz w:val="20"/>
          <w:szCs w:val="20"/>
          <w:color w:val="auto"/>
        </w:rPr>
        <w:tab/>
      </w:r>
      <w:r>
        <w:rPr>
          <w:rFonts w:ascii="Arial" w:cs="Arial" w:eastAsia="Arial" w:hAnsi="Arial"/>
          <w:sz w:val="13"/>
          <w:szCs w:val="13"/>
          <w:b w:val="1"/>
          <w:bCs w:val="1"/>
          <w:color w:val="auto"/>
        </w:rPr>
        <w:t>Total($)</w:t>
      </w:r>
    </w:p>
    <w:p>
      <w:pPr>
        <w:spacing w:after="0" w:line="1" w:lineRule="exact"/>
        <w:rPr>
          <w:sz w:val="20"/>
          <w:szCs w:val="20"/>
          <w:color w:val="auto"/>
        </w:rPr>
      </w:pPr>
    </w:p>
    <w:p>
      <w:pPr>
        <w:sectPr>
          <w:pgSz w:w="11900" w:h="16838" w:orient="portrait"/>
          <w:cols w:equalWidth="0" w:num="2">
            <w:col w:w="6880" w:space="500"/>
            <w:col w:w="3860"/>
          </w:cols>
          <w:pgMar w:left="320" w:top="1399"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Joshua Ruch</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47,500</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449,396</w:t>
            </w:r>
          </w:p>
        </w:tc>
      </w:tr>
      <w:tr>
        <w:trPr>
          <w:trHeight w:val="210"/>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Dennis Charney, M.D.</w:t>
            </w: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 D. Casdin</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221,393</w:t>
            </w:r>
          </w:p>
        </w:tc>
      </w:tr>
      <w:tr>
        <w:trPr>
          <w:trHeight w:val="20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Emily Leproust, Ph.D.</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25,000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226,393</w:t>
            </w:r>
          </w:p>
        </w:tc>
      </w:tr>
      <w:tr>
        <w:trPr>
          <w:trHeight w:val="215"/>
        </w:trPr>
        <w:tc>
          <w:tcPr>
            <w:tcW w:w="424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6"/>
                <w:szCs w:val="16"/>
                <w:color w:val="auto"/>
              </w:rPr>
              <w:t>Jason Ryan</w:t>
            </w:r>
            <w:r>
              <w:rPr>
                <w:rFonts w:ascii="Arial" w:cs="Arial" w:eastAsia="Arial" w:hAnsi="Arial"/>
                <w:sz w:val="20"/>
                <w:szCs w:val="20"/>
                <w:color w:val="auto"/>
                <w:vertAlign w:val="superscript"/>
              </w:rPr>
              <w:t>(3)</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30,000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431,896</w:t>
            </w:r>
          </w:p>
        </w:tc>
      </w:tr>
      <w:tr>
        <w:trPr>
          <w:trHeight w:val="20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Michael Pellini, M.D.</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201,911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199,985</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421,896</w:t>
            </w:r>
          </w:p>
        </w:tc>
      </w:tr>
      <w:tr>
        <w:trPr>
          <w:trHeight w:val="215"/>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Nat Turner</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23,750</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99,992</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225,143</w:t>
            </w:r>
          </w:p>
        </w:tc>
      </w:tr>
      <w:tr>
        <w:trPr>
          <w:trHeight w:val="207"/>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Rachel Sherman, M.D., M.P.H., F.A.C.P.</w:t>
            </w: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20,000</w:t>
            </w:r>
          </w:p>
        </w:tc>
        <w:tc>
          <w:tcPr>
            <w:tcW w:w="8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143,797</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315,198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0" w:hanging="314"/>
        <w:spacing w:after="0" w:line="237" w:lineRule="auto"/>
        <w:tabs>
          <w:tab w:leader="none" w:pos="3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Annual Report. Note that the amounts reported in this column reflect the aggregate accounting cost for these awards granted during the year, and do not necessarily correspond to the actual economic value that may be received by the director from the awards.</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amounts reported in this column represents payments under director legacy and other charitable award programs.</w:t>
      </w:r>
    </w:p>
    <w:p>
      <w:pPr>
        <w:ind w:left="320" w:hanging="314"/>
        <w:spacing w:after="0" w:line="237"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Mr. Ryan served as a non-employee director until January 2022.</w:t>
      </w:r>
    </w:p>
    <w:p>
      <w:pPr>
        <w:jc w:val="both"/>
        <w:ind w:left="320" w:right="80" w:hanging="314"/>
        <w:spacing w:after="0" w:line="242" w:lineRule="auto"/>
        <w:tabs>
          <w:tab w:leader="none" w:pos="312" w:val="left"/>
        </w:tabs>
        <w:numPr>
          <w:ilvl w:val="0"/>
          <w:numId w:val="74"/>
        </w:numPr>
        <w:rPr>
          <w:rFonts w:ascii="Arial" w:cs="Arial" w:eastAsia="Arial" w:hAnsi="Arial"/>
          <w:sz w:val="14"/>
          <w:szCs w:val="14"/>
          <w:color w:val="auto"/>
        </w:rPr>
      </w:pPr>
      <w:r>
        <w:rPr>
          <w:rFonts w:ascii="Arial" w:cs="Arial" w:eastAsia="Arial" w:hAnsi="Arial"/>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200" w:lineRule="exact"/>
        <w:rPr>
          <w:sz w:val="20"/>
          <w:szCs w:val="20"/>
          <w:color w:val="auto"/>
        </w:rPr>
      </w:pPr>
    </w:p>
    <w:p>
      <w:pPr>
        <w:spacing w:after="0" w:line="202"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7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Shares Underlying</w:t>
            </w:r>
          </w:p>
        </w:tc>
        <w:tc>
          <w:tcPr>
            <w:tcW w:w="1380" w:type="dxa"/>
            <w:vAlign w:val="bottom"/>
          </w:tcPr>
          <w:p>
            <w:pPr>
              <w:jc w:val="center"/>
              <w:ind w:left="211"/>
              <w:spacing w:after="0"/>
              <w:rPr>
                <w:sz w:val="20"/>
                <w:szCs w:val="20"/>
                <w:color w:val="auto"/>
              </w:rPr>
            </w:pPr>
            <w:r>
              <w:rPr>
                <w:rFonts w:ascii="Arial" w:cs="Arial" w:eastAsia="Arial" w:hAnsi="Arial"/>
                <w:sz w:val="12"/>
                <w:szCs w:val="12"/>
                <w:b w:val="1"/>
                <w:bCs w:val="1"/>
                <w:color w:val="auto"/>
                <w:w w:val="91"/>
              </w:rPr>
              <w:t>Unvested Shares of</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600" w:type="dxa"/>
            <w:vAlign w:val="bottom"/>
            <w:gridSpan w:val="2"/>
            <w:vMerge w:val="continue"/>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Unexercised Stock Options</w:t>
            </w:r>
          </w:p>
        </w:tc>
        <w:tc>
          <w:tcPr>
            <w:tcW w:w="17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2"/>
              </w:rPr>
              <w:t>Restricted Stock Units</w:t>
            </w:r>
          </w:p>
        </w:tc>
        <w:tc>
          <w:tcPr>
            <w:tcW w:w="0" w:type="dxa"/>
            <w:vAlign w:val="bottom"/>
          </w:tcPr>
          <w:p>
            <w:pPr>
              <w:spacing w:after="0"/>
              <w:rPr>
                <w:sz w:val="1"/>
                <w:szCs w:val="1"/>
                <w:color w:val="auto"/>
              </w:rPr>
            </w:pPr>
          </w:p>
        </w:tc>
      </w:tr>
      <w:tr>
        <w:trPr>
          <w:trHeight w:val="185"/>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Joshua Ruch</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Dennis Charney, M.D.</w:t>
            </w: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Eli D. Casdin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Emily Leproust, Ph.D.</w:t>
            </w:r>
          </w:p>
        </w:tc>
        <w:tc>
          <w:tcPr>
            <w:tcW w:w="1520" w:type="dxa"/>
            <w:vAlign w:val="bottom"/>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Jason Ryan</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Michael Pellini, M.D.</w:t>
            </w:r>
          </w:p>
        </w:tc>
        <w:tc>
          <w:tcPr>
            <w:tcW w:w="1520" w:type="dxa"/>
            <w:vAlign w:val="bottom"/>
          </w:tcPr>
          <w:p>
            <w:pPr>
              <w:jc w:val="right"/>
              <w:spacing w:after="0"/>
              <w:rPr>
                <w:sz w:val="20"/>
                <w:szCs w:val="20"/>
                <w:color w:val="auto"/>
              </w:rPr>
            </w:pPr>
            <w:r>
              <w:rPr>
                <w:rFonts w:ascii="Arial" w:cs="Arial" w:eastAsia="Arial" w:hAnsi="Arial"/>
                <w:sz w:val="14"/>
                <w:szCs w:val="14"/>
                <w:color w:val="auto"/>
              </w:rPr>
              <w:t>44,572</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25,672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Nat Turner</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22,286</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12,836</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600" w:type="dxa"/>
            <w:vAlign w:val="bottom"/>
            <w:gridSpan w:val="2"/>
          </w:tcPr>
          <w:p>
            <w:pPr>
              <w:ind w:left="20"/>
              <w:spacing w:after="0"/>
              <w:rPr>
                <w:sz w:val="20"/>
                <w:szCs w:val="20"/>
                <w:color w:val="auto"/>
              </w:rPr>
            </w:pPr>
            <w:r>
              <w:rPr>
                <w:rFonts w:ascii="Arial" w:cs="Arial" w:eastAsia="Arial" w:hAnsi="Arial"/>
                <w:sz w:val="14"/>
                <w:szCs w:val="14"/>
                <w:color w:val="auto"/>
              </w:rPr>
              <w:t>Rachel Sherman, M.D., M.P.H., F.A.C.P.</w:t>
            </w:r>
          </w:p>
        </w:tc>
        <w:tc>
          <w:tcPr>
            <w:tcW w:w="1520" w:type="dxa"/>
            <w:vAlign w:val="bottom"/>
          </w:tcPr>
          <w:p>
            <w:pPr>
              <w:jc w:val="right"/>
              <w:spacing w:after="0"/>
              <w:rPr>
                <w:sz w:val="20"/>
                <w:szCs w:val="20"/>
                <w:color w:val="auto"/>
              </w:rPr>
            </w:pPr>
            <w:r>
              <w:rPr>
                <w:rFonts w:ascii="Arial" w:cs="Arial" w:eastAsia="Arial" w:hAnsi="Arial"/>
                <w:sz w:val="14"/>
                <w:szCs w:val="14"/>
                <w:color w:val="auto"/>
              </w:rPr>
              <w:t>385,509</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44,533</w:t>
            </w:r>
          </w:p>
        </w:tc>
        <w:tc>
          <w:tcPr>
            <w:tcW w:w="320" w:type="dxa"/>
            <w:vAlign w:val="bottom"/>
          </w:tcPr>
          <w:p>
            <w:pPr>
              <w:jc w:val="right"/>
              <w:ind w:right="134"/>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hanging="314"/>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399" w:right="339" w:bottom="1440" w:gutter="0" w:footer="0" w:header="0"/>
          <w:type w:val="continuous"/>
        </w:sectPr>
      </w:pPr>
    </w:p>
    <w:bookmarkStart w:id="170" w:name="page171"/>
    <w:bookmarkEnd w:id="170"/>
    <w:p>
      <w:pPr>
        <w:ind w:right="720"/>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0" w:lineRule="exact"/>
        <w:rPr>
          <w:sz w:val="20"/>
          <w:szCs w:val="20"/>
          <w:color w:val="auto"/>
        </w:rPr>
      </w:pPr>
    </w:p>
    <w:p>
      <w:pPr>
        <w:jc w:val="both"/>
        <w:ind w:right="260" w:firstLine="397"/>
        <w:spacing w:after="0" w:line="255" w:lineRule="auto"/>
        <w:rPr>
          <w:sz w:val="20"/>
          <w:szCs w:val="20"/>
          <w:color w:val="auto"/>
        </w:rPr>
      </w:pPr>
      <w:r>
        <w:rPr>
          <w:rFonts w:ascii="Arial" w:cs="Arial" w:eastAsia="Arial" w:hAnsi="Arial"/>
          <w:sz w:val="18"/>
          <w:szCs w:val="18"/>
          <w:color w:val="auto"/>
        </w:rPr>
        <w:t>The following table summarizes the number of securities underlying outstanding options, stock awards, warrants and rights granted to employees and directors, as well as the number of securities remaining available for future issuance, under the company’s equity compensation awards as of December 31, 2021.</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1880" w:type="dxa"/>
            <w:vAlign w:val="bottom"/>
          </w:tcPr>
          <w:p>
            <w:pPr>
              <w:spacing w:after="0"/>
              <w:rPr>
                <w:sz w:val="15"/>
                <w:szCs w:val="15"/>
                <w:color w:val="auto"/>
              </w:rPr>
            </w:pPr>
          </w:p>
        </w:tc>
        <w:tc>
          <w:tcPr>
            <w:tcW w:w="3000" w:type="dxa"/>
            <w:vAlign w:val="bottom"/>
          </w:tcPr>
          <w:p>
            <w:pPr>
              <w:jc w:val="center"/>
              <w:ind w:left="451"/>
              <w:spacing w:after="0"/>
              <w:rPr>
                <w:sz w:val="20"/>
                <w:szCs w:val="20"/>
                <w:color w:val="auto"/>
              </w:rPr>
            </w:pPr>
            <w:r>
              <w:rPr>
                <w:rFonts w:ascii="Arial" w:cs="Arial" w:eastAsia="Arial" w:hAnsi="Arial"/>
                <w:sz w:val="14"/>
                <w:szCs w:val="14"/>
                <w:b w:val="1"/>
                <w:bCs w:val="1"/>
                <w:color w:val="auto"/>
                <w:w w:val="93"/>
              </w:rPr>
              <w:t>(a)</w:t>
            </w:r>
          </w:p>
        </w:tc>
        <w:tc>
          <w:tcPr>
            <w:tcW w:w="2180" w:type="dxa"/>
            <w:vAlign w:val="bottom"/>
          </w:tcPr>
          <w:p>
            <w:pPr>
              <w:jc w:val="center"/>
              <w:ind w:left="91"/>
              <w:spacing w:after="0"/>
              <w:rPr>
                <w:sz w:val="20"/>
                <w:szCs w:val="20"/>
                <w:color w:val="auto"/>
              </w:rPr>
            </w:pPr>
            <w:r>
              <w:rPr>
                <w:rFonts w:ascii="Arial" w:cs="Arial" w:eastAsia="Arial" w:hAnsi="Arial"/>
                <w:sz w:val="14"/>
                <w:szCs w:val="14"/>
                <w:b w:val="1"/>
                <w:bCs w:val="1"/>
                <w:color w:val="auto"/>
              </w:rPr>
              <w:t>(b)</w:t>
            </w:r>
          </w:p>
        </w:tc>
        <w:tc>
          <w:tcPr>
            <w:tcW w:w="1780" w:type="dxa"/>
            <w:vAlign w:val="bottom"/>
          </w:tcPr>
          <w:p>
            <w:pPr>
              <w:jc w:val="center"/>
              <w:ind w:left="309"/>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3"/>
        </w:trPr>
        <w:tc>
          <w:tcPr>
            <w:tcW w:w="18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780" w:type="dxa"/>
            <w:vAlign w:val="bottom"/>
          </w:tcPr>
          <w:p>
            <w:pPr>
              <w:jc w:val="center"/>
              <w:ind w:left="329"/>
              <w:spacing w:after="0" w:line="143" w:lineRule="exact"/>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vMerge w:val="restart"/>
          </w:tcPr>
          <w:p>
            <w:pPr>
              <w:jc w:val="center"/>
              <w:ind w:left="451"/>
              <w:spacing w:after="0"/>
              <w:rPr>
                <w:sz w:val="20"/>
                <w:szCs w:val="20"/>
                <w:color w:val="auto"/>
              </w:rPr>
            </w:pPr>
            <w:r>
              <w:rPr>
                <w:rFonts w:ascii="Arial" w:cs="Arial" w:eastAsia="Arial" w:hAnsi="Arial"/>
                <w:sz w:val="14"/>
                <w:szCs w:val="14"/>
                <w:b w:val="1"/>
                <w:bCs w:val="1"/>
                <w:color w:val="auto"/>
                <w:w w:val="89"/>
              </w:rPr>
              <w:t>Number of securities</w:t>
            </w:r>
          </w:p>
        </w:tc>
        <w:tc>
          <w:tcPr>
            <w:tcW w:w="2180" w:type="dxa"/>
            <w:vAlign w:val="bottom"/>
            <w:vMerge w:val="restart"/>
          </w:tcPr>
          <w:p>
            <w:pPr>
              <w:jc w:val="center"/>
              <w:ind w:left="91"/>
              <w:spacing w:after="0"/>
              <w:rPr>
                <w:sz w:val="20"/>
                <w:szCs w:val="20"/>
                <w:color w:val="auto"/>
              </w:rPr>
            </w:pPr>
            <w:r>
              <w:rPr>
                <w:rFonts w:ascii="Arial" w:cs="Arial" w:eastAsia="Arial" w:hAnsi="Arial"/>
                <w:sz w:val="14"/>
                <w:szCs w:val="14"/>
                <w:b w:val="1"/>
                <w:bCs w:val="1"/>
                <w:color w:val="auto"/>
                <w:w w:val="91"/>
              </w:rPr>
              <w:t>Weighted-average</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91"/>
              </w:rPr>
              <w:t>remaining available for</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2180" w:type="dxa"/>
            <w:vAlign w:val="bottom"/>
            <w:vMerge w:val="continue"/>
          </w:tcPr>
          <w:p>
            <w:pPr>
              <w:spacing w:after="0"/>
              <w:rPr>
                <w:sz w:val="11"/>
                <w:szCs w:val="11"/>
                <w:color w:val="auto"/>
              </w:rPr>
            </w:pP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88"/>
              </w:rPr>
              <w:t>future issuance under</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86"/>
              </w:rPr>
              <w:t>to be issued upon</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88"/>
              </w:rPr>
              <w:t>exercise price of</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88"/>
              </w:rPr>
              <w:t>equity compensation</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86"/>
              </w:rPr>
              <w:t>exercise of outstanding</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88"/>
              </w:rPr>
              <w:t>outstanding options,</w:t>
            </w: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88"/>
              </w:rPr>
              <w:t>plans (excluding</w:t>
            </w:r>
          </w:p>
        </w:tc>
        <w:tc>
          <w:tcPr>
            <w:tcW w:w="0" w:type="dxa"/>
            <w:vAlign w:val="bottom"/>
          </w:tcPr>
          <w:p>
            <w:pPr>
              <w:spacing w:after="0"/>
              <w:rPr>
                <w:sz w:val="1"/>
                <w:szCs w:val="1"/>
                <w:color w:val="auto"/>
              </w:rPr>
            </w:pPr>
          </w:p>
        </w:tc>
      </w:tr>
      <w:tr>
        <w:trPr>
          <w:trHeight w:val="133"/>
        </w:trPr>
        <w:tc>
          <w:tcPr>
            <w:tcW w:w="1880" w:type="dxa"/>
            <w:vAlign w:val="bottom"/>
          </w:tcPr>
          <w:p>
            <w:pPr>
              <w:spacing w:after="0"/>
              <w:rPr>
                <w:sz w:val="11"/>
                <w:szCs w:val="11"/>
                <w:color w:val="auto"/>
              </w:rPr>
            </w:pPr>
          </w:p>
        </w:tc>
        <w:tc>
          <w:tcPr>
            <w:tcW w:w="3000" w:type="dxa"/>
            <w:vAlign w:val="bottom"/>
          </w:tcPr>
          <w:p>
            <w:pPr>
              <w:jc w:val="center"/>
              <w:ind w:left="451"/>
              <w:spacing w:after="0" w:line="133" w:lineRule="exact"/>
              <w:rPr>
                <w:sz w:val="20"/>
                <w:szCs w:val="20"/>
                <w:color w:val="auto"/>
              </w:rPr>
            </w:pPr>
            <w:r>
              <w:rPr>
                <w:rFonts w:ascii="Arial" w:cs="Arial" w:eastAsia="Arial" w:hAnsi="Arial"/>
                <w:sz w:val="14"/>
                <w:szCs w:val="14"/>
                <w:b w:val="1"/>
                <w:bCs w:val="1"/>
                <w:color w:val="auto"/>
                <w:w w:val="90"/>
              </w:rPr>
              <w:t>options, warrants and</w:t>
            </w:r>
          </w:p>
        </w:tc>
        <w:tc>
          <w:tcPr>
            <w:tcW w:w="2180" w:type="dxa"/>
            <w:vAlign w:val="bottom"/>
          </w:tcPr>
          <w:p>
            <w:pPr>
              <w:jc w:val="center"/>
              <w:ind w:left="91"/>
              <w:spacing w:after="0" w:line="133" w:lineRule="exact"/>
              <w:rPr>
                <w:sz w:val="20"/>
                <w:szCs w:val="20"/>
                <w:color w:val="auto"/>
              </w:rPr>
            </w:pPr>
            <w:r>
              <w:rPr>
                <w:rFonts w:ascii="Arial" w:cs="Arial" w:eastAsia="Arial" w:hAnsi="Arial"/>
                <w:sz w:val="14"/>
                <w:szCs w:val="14"/>
                <w:b w:val="1"/>
                <w:bCs w:val="1"/>
                <w:color w:val="auto"/>
                <w:w w:val="94"/>
              </w:rPr>
              <w:t>warrants and</w:t>
            </w:r>
          </w:p>
        </w:tc>
        <w:tc>
          <w:tcPr>
            <w:tcW w:w="1780" w:type="dxa"/>
            <w:vAlign w:val="bottom"/>
          </w:tcPr>
          <w:p>
            <w:pPr>
              <w:jc w:val="center"/>
              <w:ind w:left="309"/>
              <w:spacing w:after="0" w:line="133" w:lineRule="exact"/>
              <w:rPr>
                <w:sz w:val="20"/>
                <w:szCs w:val="20"/>
                <w:color w:val="auto"/>
              </w:rPr>
            </w:pPr>
            <w:r>
              <w:rPr>
                <w:rFonts w:ascii="Arial" w:cs="Arial" w:eastAsia="Arial" w:hAnsi="Arial"/>
                <w:sz w:val="14"/>
                <w:szCs w:val="14"/>
                <w:b w:val="1"/>
                <w:bCs w:val="1"/>
                <w:color w:val="auto"/>
                <w:w w:val="88"/>
              </w:rPr>
              <w:t>securities reflected in</w:t>
            </w:r>
          </w:p>
        </w:tc>
        <w:tc>
          <w:tcPr>
            <w:tcW w:w="0" w:type="dxa"/>
            <w:vAlign w:val="bottom"/>
          </w:tcPr>
          <w:p>
            <w:pPr>
              <w:spacing w:after="0"/>
              <w:rPr>
                <w:sz w:val="1"/>
                <w:szCs w:val="1"/>
                <w:color w:val="auto"/>
              </w:rPr>
            </w:pPr>
          </w:p>
        </w:tc>
      </w:tr>
      <w:tr>
        <w:trPr>
          <w:trHeight w:val="133"/>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3000" w:type="dxa"/>
            <w:vAlign w:val="bottom"/>
          </w:tcPr>
          <w:p>
            <w:pPr>
              <w:jc w:val="center"/>
              <w:ind w:left="431"/>
              <w:spacing w:after="0" w:line="133"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(1)</w:t>
            </w:r>
          </w:p>
        </w:tc>
        <w:tc>
          <w:tcPr>
            <w:tcW w:w="2180" w:type="dxa"/>
            <w:vAlign w:val="bottom"/>
          </w:tcPr>
          <w:p>
            <w:pPr>
              <w:jc w:val="center"/>
              <w:ind w:left="91"/>
              <w:spacing w:after="0" w:line="133" w:lineRule="exact"/>
              <w:rPr>
                <w:sz w:val="20"/>
                <w:szCs w:val="20"/>
                <w:color w:val="auto"/>
              </w:rPr>
            </w:pPr>
            <w:r>
              <w:rPr>
                <w:rFonts w:ascii="Arial" w:cs="Arial" w:eastAsia="Arial" w:hAnsi="Arial"/>
                <w:sz w:val="12"/>
                <w:szCs w:val="12"/>
                <w:b w:val="1"/>
                <w:bCs w:val="1"/>
                <w:color w:val="auto"/>
              </w:rPr>
              <w:t>rights</w:t>
            </w:r>
            <w:r>
              <w:rPr>
                <w:rFonts w:ascii="Arial" w:cs="Arial" w:eastAsia="Arial" w:hAnsi="Arial"/>
                <w:sz w:val="15"/>
                <w:szCs w:val="15"/>
                <w:b w:val="1"/>
                <w:bCs w:val="1"/>
                <w:color w:val="auto"/>
                <w:vertAlign w:val="superscript"/>
              </w:rPr>
              <w:t>(2)</w:t>
            </w:r>
          </w:p>
        </w:tc>
        <w:tc>
          <w:tcPr>
            <w:tcW w:w="1780" w:type="dxa"/>
            <w:vAlign w:val="bottom"/>
          </w:tcPr>
          <w:p>
            <w:pPr>
              <w:jc w:val="center"/>
              <w:ind w:left="329"/>
              <w:spacing w:after="0" w:line="133"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84"/>
        </w:trPr>
        <w:tc>
          <w:tcPr>
            <w:tcW w:w="1880" w:type="dxa"/>
            <w:vAlign w:val="bottom"/>
            <w:vMerge w:val="continue"/>
          </w:tcPr>
          <w:p>
            <w:pPr>
              <w:spacing w:after="0"/>
              <w:rPr>
                <w:sz w:val="15"/>
                <w:szCs w:val="15"/>
                <w:color w:val="auto"/>
              </w:rPr>
            </w:pPr>
          </w:p>
        </w:tc>
        <w:tc>
          <w:tcPr>
            <w:tcW w:w="3000" w:type="dxa"/>
            <w:vAlign w:val="bottom"/>
          </w:tcPr>
          <w:p>
            <w:pPr>
              <w:jc w:val="center"/>
              <w:ind w:left="451"/>
              <w:spacing w:after="0"/>
              <w:rPr>
                <w:sz w:val="20"/>
                <w:szCs w:val="20"/>
                <w:color w:val="auto"/>
              </w:rPr>
            </w:pPr>
            <w:r>
              <w:rPr>
                <w:rFonts w:ascii="Arial" w:cs="Arial" w:eastAsia="Arial" w:hAnsi="Arial"/>
                <w:sz w:val="14"/>
                <w:szCs w:val="14"/>
                <w:b w:val="1"/>
                <w:bCs w:val="1"/>
                <w:color w:val="auto"/>
                <w:w w:val="93"/>
              </w:rPr>
              <w:t>(#)</w:t>
            </w:r>
          </w:p>
        </w:tc>
        <w:tc>
          <w:tcPr>
            <w:tcW w:w="2180" w:type="dxa"/>
            <w:vAlign w:val="bottom"/>
          </w:tcPr>
          <w:p>
            <w:pPr>
              <w:jc w:val="center"/>
              <w:ind w:left="91"/>
              <w:spacing w:after="0"/>
              <w:rPr>
                <w:sz w:val="20"/>
                <w:szCs w:val="20"/>
                <w:color w:val="auto"/>
              </w:rPr>
            </w:pPr>
            <w:r>
              <w:rPr>
                <w:rFonts w:ascii="Arial" w:cs="Arial" w:eastAsia="Arial" w:hAnsi="Arial"/>
                <w:sz w:val="14"/>
                <w:szCs w:val="14"/>
                <w:b w:val="1"/>
                <w:bCs w:val="1"/>
                <w:color w:val="auto"/>
              </w:rPr>
              <w:t>($)</w:t>
            </w:r>
          </w:p>
        </w:tc>
        <w:tc>
          <w:tcPr>
            <w:tcW w:w="1780" w:type="dxa"/>
            <w:vAlign w:val="bottom"/>
          </w:tcPr>
          <w:p>
            <w:pPr>
              <w:jc w:val="center"/>
              <w:ind w:left="309"/>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176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7653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Equity compensation plans approved by security holders</w:t>
      </w:r>
    </w:p>
    <w:p>
      <w:pPr>
        <w:spacing w:after="0" w:line="93" w:lineRule="exact"/>
        <w:rPr>
          <w:sz w:val="20"/>
          <w:szCs w:val="20"/>
          <w:color w:val="auto"/>
        </w:rPr>
      </w:pPr>
    </w:p>
    <w:p>
      <w:pPr>
        <w:ind w:left="180" w:right="280" w:hanging="158"/>
        <w:spacing w:after="0" w:line="229" w:lineRule="auto"/>
        <w:rPr>
          <w:sz w:val="20"/>
          <w:szCs w:val="20"/>
          <w:color w:val="auto"/>
        </w:rPr>
      </w:pPr>
      <w:r>
        <w:rPr>
          <w:rFonts w:ascii="Arial" w:cs="Arial" w:eastAsia="Arial" w:hAnsi="Arial"/>
          <w:sz w:val="18"/>
          <w:szCs w:val="18"/>
          <w:color w:val="auto"/>
        </w:rPr>
        <w:t>Equity compensation plans not approved by security holders</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2000" w:type="dxa"/>
            <w:vAlign w:val="bottom"/>
          </w:tcPr>
          <w:p>
            <w:pPr>
              <w:ind w:left="1140"/>
              <w:spacing w:after="0"/>
              <w:rPr>
                <w:sz w:val="20"/>
                <w:szCs w:val="20"/>
                <w:color w:val="auto"/>
              </w:rPr>
            </w:pPr>
            <w:r>
              <w:rPr>
                <w:rFonts w:ascii="Arial" w:cs="Arial" w:eastAsia="Arial" w:hAnsi="Arial"/>
                <w:sz w:val="18"/>
                <w:szCs w:val="18"/>
                <w:color w:val="auto"/>
                <w:w w:val="93"/>
              </w:rPr>
              <w:t>15,823,351</w:t>
            </w:r>
          </w:p>
        </w:tc>
        <w:tc>
          <w:tcPr>
            <w:tcW w:w="280" w:type="dxa"/>
            <w:vAlign w:val="bottom"/>
          </w:tcPr>
          <w:p>
            <w:pPr>
              <w:spacing w:after="0"/>
              <w:rPr>
                <w:sz w:val="21"/>
                <w:szCs w:val="21"/>
                <w:color w:val="auto"/>
              </w:rPr>
            </w:pPr>
          </w:p>
        </w:tc>
        <w:tc>
          <w:tcPr>
            <w:tcW w:w="10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7.69</w:t>
            </w:r>
          </w:p>
        </w:tc>
        <w:tc>
          <w:tcPr>
            <w:tcW w:w="2020" w:type="dxa"/>
            <w:vAlign w:val="bottom"/>
          </w:tcPr>
          <w:p>
            <w:pPr>
              <w:jc w:val="right"/>
              <w:spacing w:after="0"/>
              <w:rPr>
                <w:sz w:val="20"/>
                <w:szCs w:val="20"/>
                <w:color w:val="auto"/>
              </w:rPr>
            </w:pPr>
            <w:r>
              <w:rPr>
                <w:rFonts w:ascii="Arial" w:cs="Arial" w:eastAsia="Arial" w:hAnsi="Arial"/>
                <w:sz w:val="18"/>
                <w:szCs w:val="18"/>
                <w:color w:val="auto"/>
              </w:rPr>
              <w:t>20,271,849</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w w:val="88"/>
              </w:rPr>
              <w:t>(3)</w:t>
            </w:r>
          </w:p>
        </w:tc>
      </w:tr>
      <w:tr>
        <w:trPr>
          <w:trHeight w:val="398"/>
        </w:trPr>
        <w:tc>
          <w:tcPr>
            <w:tcW w:w="2280" w:type="dxa"/>
            <w:vAlign w:val="bottom"/>
            <w:gridSpan w:val="2"/>
          </w:tcPr>
          <w:p>
            <w:pPr>
              <w:ind w:left="1140"/>
              <w:spacing w:after="0"/>
              <w:rPr>
                <w:sz w:val="20"/>
                <w:szCs w:val="20"/>
                <w:color w:val="auto"/>
              </w:rPr>
            </w:pPr>
            <w:r>
              <w:rPr>
                <w:rFonts w:ascii="Arial" w:cs="Arial" w:eastAsia="Arial" w:hAnsi="Arial"/>
                <w:sz w:val="18"/>
                <w:szCs w:val="18"/>
                <w:color w:val="auto"/>
                <w:w w:val="99"/>
              </w:rPr>
              <w:t xml:space="preserve">30,341,429 </w:t>
            </w:r>
            <w:r>
              <w:rPr>
                <w:rFonts w:ascii="Arial" w:cs="Arial" w:eastAsia="Arial" w:hAnsi="Arial"/>
                <w:sz w:val="22"/>
                <w:szCs w:val="22"/>
                <w:color w:val="auto"/>
                <w:w w:val="99"/>
                <w:vertAlign w:val="superscript"/>
              </w:rPr>
              <w:t>(4)</w:t>
            </w:r>
          </w:p>
        </w:tc>
        <w:tc>
          <w:tcPr>
            <w:tcW w:w="100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0.49</w:t>
            </w:r>
          </w:p>
        </w:tc>
        <w:tc>
          <w:tcPr>
            <w:tcW w:w="2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8"/>
        </w:trPr>
        <w:tc>
          <w:tcPr>
            <w:tcW w:w="200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8"/>
                <w:szCs w:val="18"/>
                <w:color w:val="auto"/>
                <w:w w:val="93"/>
              </w:rPr>
              <w:t>46,164,780</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20,271,849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-209550</wp:posOffset>
            </wp:positionV>
            <wp:extent cx="7134860" cy="1936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19367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4020" w:space="340"/>
            <w:col w:w="6880"/>
          </w:cols>
          <w:pgMar w:left="320" w:top="1393" w:right="339" w:bottom="1440" w:gutter="0" w:footer="0" w:header="0"/>
          <w:type w:val="continuous"/>
        </w:sectPr>
      </w:pPr>
    </w:p>
    <w:p>
      <w:pPr>
        <w:ind w:left="320" w:right="280" w:hanging="314"/>
        <w:spacing w:after="0" w:line="23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options to purchase shares of our Class A common stock, RSU awards representing the right to acquire shares of our Class A common stock, and performance stock unit awards representing the right to acquire shares of our Class A common stock</w:t>
      </w:r>
    </w:p>
    <w:p>
      <w:pPr>
        <w:ind w:left="320" w:right="20" w:hanging="314"/>
        <w:spacing w:after="0" w:line="23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weighted average exercise price is calculated based solely on the outstanding stock options. It does not take into account the shares issuable upon vesting of outstanding RSU awards, which have no exercise price.</w:t>
      </w:r>
    </w:p>
    <w:p>
      <w:pPr>
        <w:ind w:left="320" w:right="20" w:hanging="314"/>
        <w:spacing w:after="0" w:line="23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15,467,838 shares remaining available for issuance under the 2021 EIP, and 4,804,011 shares remaining available for issuance under the ESPP. On January 25, 2022, an additional 12,128,941 shares became available for future issuance under the Sema4 Holdings Corp. 2021 Equity Incentive Plan and an additional 2,425,788 became available for issuance under the Sema4 Holdings Corp. 2021 Employee Stock Purchase Plan, both pursuant to the plan’s evergreen provisions.</w:t>
      </w:r>
    </w:p>
    <w:p>
      <w:pPr>
        <w:ind w:left="320" w:right="560" w:hanging="314"/>
        <w:spacing w:after="0" w:line="247" w:lineRule="auto"/>
        <w:tabs>
          <w:tab w:leader="none" w:pos="312"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Consists of outstanding stock options that were assumed in connection with our business combination and the Earn Out RSUs granted in connection with the business combination. No additional awards may be granted under the 2017 Plan pursuant to which such awards were initially granted.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of Certain Stockholders, Directors and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certain information with respect to the beneficial ownership of our Class A common stock as of February 22, 2022, by:</w:t>
      </w:r>
    </w:p>
    <w:p>
      <w:pPr>
        <w:spacing w:after="0" w:line="199" w:lineRule="exact"/>
        <w:rPr>
          <w:sz w:val="20"/>
          <w:szCs w:val="20"/>
          <w:color w:val="auto"/>
        </w:rPr>
      </w:pPr>
    </w:p>
    <w:p>
      <w:pPr>
        <w:ind w:left="1280" w:hanging="320"/>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Class A common stock;</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1393" w:right="339" w:bottom="1440" w:gutter="0" w:footer="0" w:header="0"/>
          <w:type w:val="continuous"/>
        </w:sectPr>
      </w:pPr>
    </w:p>
    <w:bookmarkStart w:id="171" w:name="page172"/>
    <w:bookmarkEnd w:id="171"/>
    <w:p>
      <w:pPr>
        <w:spacing w:after="0" w:line="264" w:lineRule="auto"/>
        <w:rPr>
          <w:sz w:val="20"/>
          <w:szCs w:val="20"/>
          <w:color w:val="auto"/>
        </w:rPr>
      </w:pPr>
      <w:r>
        <w:rPr>
          <w:rFonts w:ascii="Arial" w:cs="Arial" w:eastAsia="Arial" w:hAnsi="Arial"/>
          <w:sz w:val="18"/>
          <w:szCs w:val="18"/>
          <w:color w:val="auto"/>
        </w:rPr>
        <w:t>respect to such shares. Unless otherwise noted, the address of each beneficial owner is c/o Sema4 Holdings Corp., 333 Ludlow Street, North Tower, 8th Floor, Stamford, Connecticut 06902.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Shares of</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6"/>
              </w:rPr>
              <w:t>Percentage of</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5"/>
              </w:rPr>
              <w:t>Class</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33"/>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of Beneficial Owners</w:t>
            </w:r>
          </w:p>
        </w:tc>
        <w:tc>
          <w:tcPr>
            <w:tcW w:w="166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0"/>
              </w:rPr>
              <w:t>A Common Stock</w:t>
            </w: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Class A</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Beneficially Owned</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Blackstone Group Inc.</w:t>
            </w:r>
            <w:r>
              <w:rPr>
                <w:rFonts w:ascii="Arial" w:cs="Arial" w:eastAsia="Arial" w:hAnsi="Arial"/>
                <w:sz w:val="22"/>
                <w:szCs w:val="22"/>
                <w:color w:val="auto"/>
                <w:vertAlign w:val="superscript"/>
              </w:rPr>
              <w:t>(1)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 Management Company, L.P.</w:t>
            </w:r>
            <w:r>
              <w:rPr>
                <w:rFonts w:ascii="Arial" w:cs="Arial" w:eastAsia="Arial" w:hAnsi="Arial"/>
                <w:sz w:val="22"/>
                <w:szCs w:val="22"/>
                <w:color w:val="auto"/>
                <w:vertAlign w:val="superscript"/>
              </w:rPr>
              <w:t>(2)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Icahn School of Medicine at Mount Sinai</w:t>
            </w:r>
            <w:r>
              <w:rPr>
                <w:rFonts w:ascii="Arial" w:cs="Arial" w:eastAsia="Arial" w:hAnsi="Arial"/>
                <w:sz w:val="22"/>
                <w:szCs w:val="22"/>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36.1</w:t>
            </w:r>
          </w:p>
        </w:tc>
        <w:tc>
          <w:tcPr>
            <w:tcW w:w="0" w:type="dxa"/>
            <w:vAlign w:val="bottom"/>
          </w:tcPr>
          <w:p>
            <w:pPr>
              <w:spacing w:after="0"/>
              <w:rPr>
                <w:sz w:val="1"/>
                <w:szCs w:val="1"/>
                <w:color w:val="auto"/>
              </w:rPr>
            </w:pPr>
          </w:p>
        </w:tc>
      </w:tr>
      <w:tr>
        <w:trPr>
          <w:trHeight w:val="199"/>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Named Executive Officers: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Eric Schadt</w:t>
            </w:r>
            <w:r>
              <w:rPr>
                <w:rFonts w:ascii="Arial" w:cs="Arial" w:eastAsia="Arial" w:hAnsi="Arial"/>
                <w:sz w:val="22"/>
                <w:szCs w:val="22"/>
                <w:color w:val="auto"/>
                <w:vertAlign w:val="superscript"/>
              </w:rPr>
              <w:t>(4)</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7,484,116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Isaac Ro</w:t>
            </w:r>
            <w:r>
              <w:rPr>
                <w:rFonts w:ascii="Arial" w:cs="Arial" w:eastAsia="Arial" w:hAnsi="Arial"/>
                <w:sz w:val="22"/>
                <w:szCs w:val="22"/>
                <w:color w:val="auto"/>
                <w:vertAlign w:val="superscript"/>
              </w:rPr>
              <w:t>(5)</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395,294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James Coffin </w:t>
            </w:r>
            <w:r>
              <w:rPr>
                <w:rFonts w:ascii="Arial" w:cs="Arial" w:eastAsia="Arial" w:hAnsi="Arial"/>
                <w:sz w:val="22"/>
                <w:szCs w:val="22"/>
                <w:color w:val="auto"/>
                <w:vertAlign w:val="superscript"/>
              </w:rPr>
              <w:t>(6)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2,696,080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Dennis Charney</w:t>
            </w:r>
          </w:p>
        </w:tc>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6"/>
        </w:trPr>
        <w:tc>
          <w:tcPr>
            <w:tcW w:w="8020" w:type="dxa"/>
            <w:vAlign w:val="bottom"/>
            <w:gridSpan w:val="2"/>
            <w:shd w:val="clear" w:color="auto" w:fill="CCEEFF"/>
          </w:tcPr>
          <w:p>
            <w:pPr>
              <w:ind w:left="20"/>
              <w:spacing w:after="0" w:line="226" w:lineRule="exact"/>
              <w:rPr>
                <w:sz w:val="20"/>
                <w:szCs w:val="20"/>
                <w:color w:val="auto"/>
              </w:rPr>
            </w:pPr>
            <w:r>
              <w:rPr>
                <w:rFonts w:ascii="Arial" w:cs="Arial" w:eastAsia="Arial" w:hAnsi="Arial"/>
                <w:sz w:val="18"/>
                <w:szCs w:val="18"/>
                <w:color w:val="auto"/>
              </w:rPr>
              <w:t>Eli D. Casdin</w:t>
            </w:r>
            <w:r>
              <w:rPr>
                <w:rFonts w:ascii="Arial" w:cs="Arial" w:eastAsia="Arial" w:hAnsi="Arial"/>
                <w:sz w:val="22"/>
                <w:szCs w:val="22"/>
                <w:color w:val="auto"/>
                <w:vertAlign w:val="superscript"/>
              </w:rPr>
              <w:t>(7)</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22,730,419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Emily Leproust</w:t>
            </w:r>
            <w:r>
              <w:rPr>
                <w:rFonts w:ascii="Arial" w:cs="Arial" w:eastAsia="Arial" w:hAnsi="Arial"/>
                <w:sz w:val="22"/>
                <w:szCs w:val="22"/>
                <w:color w:val="auto"/>
                <w:vertAlign w:val="superscript"/>
              </w:rPr>
              <w:t>(8)</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Keith Meister</w:t>
            </w:r>
            <w:r>
              <w:rPr>
                <w:rFonts w:ascii="Arial" w:cs="Arial" w:eastAsia="Arial" w:hAnsi="Arial"/>
                <w:sz w:val="22"/>
                <w:szCs w:val="22"/>
                <w:color w:val="auto"/>
                <w:vertAlign w:val="superscript"/>
              </w:rPr>
              <w:t>(9)</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22,230,419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9.1</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Michael Pellini</w:t>
            </w:r>
            <w:r>
              <w:rPr>
                <w:rFonts w:ascii="Arial" w:cs="Arial" w:eastAsia="Arial" w:hAnsi="Arial"/>
                <w:sz w:val="22"/>
                <w:szCs w:val="22"/>
                <w:color w:val="auto"/>
                <w:vertAlign w:val="superscript"/>
              </w:rPr>
              <w:t>(10)</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Jason Ryan</w:t>
            </w:r>
            <w:r>
              <w:rPr>
                <w:rFonts w:ascii="Arial" w:cs="Arial" w:eastAsia="Arial" w:hAnsi="Arial"/>
                <w:sz w:val="22"/>
                <w:szCs w:val="22"/>
                <w:color w:val="auto"/>
                <w:vertAlign w:val="superscript"/>
              </w:rPr>
              <w:t>(11)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Joshua Ruch</w:t>
            </w:r>
            <w:r>
              <w:rPr>
                <w:rFonts w:ascii="Arial" w:cs="Arial" w:eastAsia="Arial" w:hAnsi="Arial"/>
                <w:sz w:val="22"/>
                <w:szCs w:val="22"/>
                <w:color w:val="auto"/>
                <w:vertAlign w:val="superscript"/>
              </w:rPr>
              <w:t>(12)</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Rachel Sherman</w:t>
            </w:r>
            <w:r>
              <w:rPr>
                <w:rFonts w:ascii="Arial" w:cs="Arial" w:eastAsia="Arial" w:hAnsi="Arial"/>
                <w:sz w:val="22"/>
                <w:szCs w:val="22"/>
                <w:color w:val="auto"/>
                <w:vertAlign w:val="superscript"/>
              </w:rPr>
              <w:t>(13)</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181,609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Nat Turner</w:t>
            </w:r>
            <w:r>
              <w:rPr>
                <w:rFonts w:ascii="Arial" w:cs="Arial" w:eastAsia="Arial" w:hAnsi="Arial"/>
                <w:sz w:val="22"/>
                <w:szCs w:val="22"/>
                <w:color w:val="auto"/>
                <w:vertAlign w:val="superscript"/>
              </w:rPr>
              <w:t>(14)</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b w:val="1"/>
                <w:bCs w:val="1"/>
                <w:color w:val="auto"/>
              </w:rPr>
              <w:t>Directors and executive officers as a group (15 individuals)</w:t>
            </w:r>
            <w:r>
              <w:rPr>
                <w:rFonts w:ascii="Arial" w:cs="Arial" w:eastAsia="Arial" w:hAnsi="Arial"/>
                <w:sz w:val="22"/>
                <w:szCs w:val="22"/>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39,485,253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16.1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Less than one percent</w:t>
      </w:r>
    </w:p>
    <w:p>
      <w:pPr>
        <w:ind w:left="320" w:hanging="314"/>
        <w:spacing w:after="0" w:line="255" w:lineRule="auto"/>
        <w:tabs>
          <w:tab w:leader="none" w:pos="308" w:val="left"/>
        </w:tabs>
        <w:numPr>
          <w:ilvl w:val="0"/>
          <w:numId w:val="79"/>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 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2" w:lineRule="exact"/>
        <w:rPr>
          <w:rFonts w:ascii="Arial" w:cs="Arial" w:eastAsia="Arial" w:hAnsi="Arial"/>
          <w:sz w:val="13"/>
          <w:szCs w:val="13"/>
          <w:color w:val="auto"/>
        </w:rPr>
      </w:pPr>
    </w:p>
    <w:p>
      <w:pPr>
        <w:ind w:left="320" w:right="80" w:hanging="314"/>
        <w:spacing w:after="0"/>
        <w:tabs>
          <w:tab w:leader="none" w:pos="308" w:val="left"/>
        </w:tabs>
        <w:numPr>
          <w:ilvl w:val="0"/>
          <w:numId w:val="79"/>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399" w:right="339" w:bottom="1440" w:gutter="0" w:footer="0" w:header="0"/>
        </w:sectPr>
      </w:pPr>
    </w:p>
    <w:bookmarkStart w:id="172" w:name="page173"/>
    <w:bookmarkEnd w:id="172"/>
    <w:p>
      <w:pPr>
        <w:ind w:left="320" w:right="380"/>
        <w:spacing w:after="0" w:line="261" w:lineRule="auto"/>
        <w:rPr>
          <w:sz w:val="20"/>
          <w:szCs w:val="20"/>
          <w:color w:val="auto"/>
        </w:rPr>
      </w:pPr>
      <w:r>
        <w:rPr>
          <w:rFonts w:ascii="Arial" w:cs="Arial" w:eastAsia="Arial" w:hAnsi="Arial"/>
          <w:sz w:val="13"/>
          <w:szCs w:val="13"/>
          <w:color w:val="auto"/>
        </w:rPr>
        <w:t>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1" w:lineRule="exact"/>
        <w:rPr>
          <w:sz w:val="20"/>
          <w:szCs w:val="20"/>
          <w:color w:val="auto"/>
        </w:rPr>
      </w:pPr>
    </w:p>
    <w:p>
      <w:pPr>
        <w:ind w:left="320" w:right="20" w:hanging="314"/>
        <w:spacing w:after="0" w:line="237" w:lineRule="auto"/>
        <w:tabs>
          <w:tab w:leader="none" w:pos="308"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ind w:left="320" w:hanging="314"/>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168,351 shares of Class A common stock and (ii) 7,315,765 shares of Class A common stock subject to options that are exercisable within 60 days of February 22, 2022.</w:t>
      </w:r>
    </w:p>
    <w:p>
      <w:pPr>
        <w:spacing w:after="0" w:line="9" w:lineRule="exact"/>
        <w:rPr>
          <w:rFonts w:ascii="Arial" w:cs="Arial" w:eastAsia="Arial" w:hAnsi="Arial"/>
          <w:sz w:val="13"/>
          <w:szCs w:val="13"/>
          <w:color w:val="auto"/>
        </w:rPr>
      </w:pPr>
    </w:p>
    <w:p>
      <w:pPr>
        <w:ind w:left="320" w:hanging="314"/>
        <w:spacing w:after="0"/>
        <w:tabs>
          <w:tab w:leader="none" w:pos="320" w:val="left"/>
        </w:tabs>
        <w:numPr>
          <w:ilvl w:val="0"/>
          <w:numId w:val="80"/>
        </w:numPr>
        <w:rPr>
          <w:rFonts w:ascii="Arial" w:cs="Arial" w:eastAsia="Arial" w:hAnsi="Arial"/>
          <w:sz w:val="13"/>
          <w:szCs w:val="13"/>
          <w:color w:val="auto"/>
        </w:rPr>
      </w:pPr>
      <w:r>
        <w:rPr>
          <w:rFonts w:ascii="Arial" w:cs="Arial" w:eastAsia="Arial" w:hAnsi="Arial"/>
          <w:sz w:val="13"/>
          <w:szCs w:val="13"/>
          <w:color w:val="auto"/>
        </w:rPr>
        <w:t>Consists of (i) 250,618 shares of Class A common stock and (ii) 144,676 shares of Class A common stock subject to options that are exercisable within 60 days of February 22, 2022.</w:t>
      </w:r>
    </w:p>
    <w:p>
      <w:pPr>
        <w:spacing w:after="0" w:line="9" w:lineRule="exact"/>
        <w:rPr>
          <w:rFonts w:ascii="Arial" w:cs="Arial" w:eastAsia="Arial" w:hAnsi="Arial"/>
          <w:sz w:val="13"/>
          <w:szCs w:val="13"/>
          <w:color w:val="auto"/>
        </w:rPr>
      </w:pPr>
    </w:p>
    <w:p>
      <w:pPr>
        <w:ind w:left="320" w:right="400" w:hanging="314"/>
        <w:spacing w:after="0" w:line="237" w:lineRule="auto"/>
        <w:tabs>
          <w:tab w:leader="none" w:pos="30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ind w:left="320" w:right="40" w:hanging="314"/>
        <w:spacing w:after="0" w:line="255" w:lineRule="auto"/>
        <w:tabs>
          <w:tab w:leader="none" w:pos="308" w:val="left"/>
        </w:tabs>
        <w:numPr>
          <w:ilvl w:val="0"/>
          <w:numId w:val="80"/>
        </w:numPr>
        <w:rPr>
          <w:rFonts w:ascii="Arial" w:cs="Arial" w:eastAsia="Arial" w:hAnsi="Arial"/>
          <w:sz w:val="13"/>
          <w:szCs w:val="13"/>
          <w:color w:val="auto"/>
        </w:rPr>
      </w:pPr>
      <w:r>
        <w:rPr>
          <w:rFonts w:ascii="Arial" w:cs="Arial" w:eastAsia="Arial" w:hAnsi="Arial"/>
          <w:sz w:val="13"/>
          <w:szCs w:val="13"/>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1" w:lineRule="exact"/>
        <w:rPr>
          <w:rFonts w:ascii="Arial" w:cs="Arial" w:eastAsia="Arial" w:hAnsi="Arial"/>
          <w:sz w:val="13"/>
          <w:szCs w:val="13"/>
          <w:color w:val="auto"/>
        </w:rPr>
      </w:pPr>
    </w:p>
    <w:p>
      <w:pPr>
        <w:ind w:left="320" w:right="100" w:hanging="314"/>
        <w:spacing w:after="0" w:line="237" w:lineRule="auto"/>
        <w:tabs>
          <w:tab w:leader="none" w:pos="30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and (ii) 166,666 shares of Class A common stock underlying private placement warrants that are exercisable within 60 days of February 22, 2022.</w:t>
      </w:r>
    </w:p>
    <w:p>
      <w:pPr>
        <w:ind w:left="320" w:right="20" w:hanging="314"/>
        <w:spacing w:after="0" w:line="237" w:lineRule="auto"/>
        <w:tabs>
          <w:tab w:leader="none" w:pos="308" w:val="left"/>
        </w:tabs>
        <w:numPr>
          <w:ilvl w:val="0"/>
          <w:numId w:val="80"/>
        </w:numPr>
        <w:rPr>
          <w:rFonts w:ascii="Arial" w:cs="Arial" w:eastAsia="Arial" w:hAnsi="Arial"/>
          <w:sz w:val="14"/>
          <w:szCs w:val="14"/>
          <w:color w:val="auto"/>
        </w:rPr>
      </w:pPr>
      <w:r>
        <w:rPr>
          <w:rFonts w:ascii="Arial" w:cs="Arial" w:eastAsia="Arial" w:hAnsi="Arial"/>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ind w:left="380" w:hanging="374"/>
        <w:spacing w:after="0" w:line="237"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3,714 shares of Class A common stock subject to options that are exercisable within 60 days of February 22, 2022.</w:t>
      </w:r>
    </w:p>
    <w:p>
      <w:pPr>
        <w:ind w:left="380" w:hanging="374"/>
        <w:spacing w:after="0" w:line="237" w:lineRule="auto"/>
        <w:tabs>
          <w:tab w:leader="none" w:pos="3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181,609 shares of Class A common stock subject to options that are exercisable within 60 days of February 22, 2022.</w:t>
      </w:r>
    </w:p>
    <w:p>
      <w:pPr>
        <w:ind w:left="320" w:right="160" w:hanging="314"/>
        <w:spacing w:after="0" w:line="237" w:lineRule="auto"/>
        <w:tabs>
          <w:tab w:leader="none" w:pos="37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ind w:left="320" w:right="60" w:hanging="314"/>
        <w:spacing w:after="0" w:line="239" w:lineRule="auto"/>
        <w:tabs>
          <w:tab w:leader="none" w:pos="378"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(i) 21,376,237 shares of Class A common stock held directly and indirectly by all current directors and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description of transactions since January 1, 2020 and currently proposed transactions in which:</w:t>
      </w:r>
    </w:p>
    <w:p>
      <w:pPr>
        <w:spacing w:after="0" w:line="164" w:lineRule="exact"/>
        <w:rPr>
          <w:sz w:val="20"/>
          <w:szCs w:val="20"/>
          <w:color w:val="auto"/>
        </w:rPr>
      </w:pPr>
    </w:p>
    <w:p>
      <w:pPr>
        <w:ind w:left="640" w:hanging="31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have been or is to be a participant;</w:t>
      </w:r>
    </w:p>
    <w:p>
      <w:pPr>
        <w:spacing w:after="0" w:line="164" w:lineRule="exact"/>
        <w:rPr>
          <w:rFonts w:ascii="Arial" w:cs="Arial" w:eastAsia="Arial" w:hAnsi="Arial"/>
          <w:sz w:val="18"/>
          <w:szCs w:val="18"/>
          <w:color w:val="auto"/>
        </w:rPr>
      </w:pPr>
    </w:p>
    <w:p>
      <w:pPr>
        <w:ind w:firstLine="324"/>
        <w:spacing w:after="0" w:line="264" w:lineRule="auto"/>
        <w:tabs>
          <w:tab w:leader="none" w:pos="63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 involved exceeded or will exceed the lesser $120,000 or 1% of the average of our total assets as of year-end for the last two completed fiscal years;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393" w:right="339" w:bottom="1440" w:gutter="0" w:footer="0" w:header="0"/>
        </w:sectPr>
      </w:pPr>
    </w:p>
    <w:bookmarkStart w:id="173" w:name="page174"/>
    <w:bookmarkEnd w:id="173"/>
    <w:p>
      <w:pPr>
        <w:ind w:firstLine="324"/>
        <w:spacing w:after="0" w:line="264" w:lineRule="auto"/>
        <w:tabs>
          <w:tab w:leader="none" w:pos="62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 Related to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Subscription Agreements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connection with the Acquisition, the Acquisition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Number of Shares</w:t>
            </w:r>
          </w:p>
        </w:tc>
        <w:tc>
          <w:tcPr>
            <w:tcW w:w="1560" w:type="dxa"/>
            <w:vAlign w:val="bottom"/>
          </w:tcPr>
          <w:p>
            <w:pPr>
              <w:jc w:val="right"/>
              <w:ind w:right="195"/>
              <w:spacing w:after="0" w:line="131"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75"/>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2"/>
                <w:szCs w:val="22"/>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Mount Sinai</w:t>
            </w:r>
            <w:r>
              <w:rPr>
                <w:rFonts w:ascii="Arial" w:cs="Arial" w:eastAsia="Arial" w:hAnsi="Arial"/>
                <w:sz w:val="22"/>
                <w:szCs w:val="22"/>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2"/>
                <w:szCs w:val="22"/>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Rho Partners</w:t>
            </w:r>
            <w:r>
              <w:rPr>
                <w:rFonts w:ascii="Arial" w:cs="Arial" w:eastAsia="Arial" w:hAnsi="Arial"/>
                <w:sz w:val="22"/>
                <w:szCs w:val="22"/>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Section32</w:t>
            </w:r>
            <w:r>
              <w:rPr>
                <w:rFonts w:ascii="Arial" w:cs="Arial" w:eastAsia="Arial" w:hAnsi="Arial"/>
                <w:sz w:val="22"/>
                <w:szCs w:val="22"/>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8"/>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20" w:hanging="314"/>
        <w:spacing w:after="0" w:line="255" w:lineRule="auto"/>
        <w:tabs>
          <w:tab w:leader="none" w:pos="312" w:val="left"/>
        </w:tabs>
        <w:numPr>
          <w:ilvl w:val="0"/>
          <w:numId w:val="83"/>
        </w:numPr>
        <w:rPr>
          <w:rFonts w:ascii="Arial" w:cs="Arial" w:eastAsia="Arial" w:hAnsi="Arial"/>
          <w:sz w:val="13"/>
          <w:szCs w:val="13"/>
          <w:color w:val="auto"/>
        </w:rPr>
      </w:pPr>
      <w:r>
        <w:rPr>
          <w:rFonts w:ascii="Arial" w:cs="Arial" w:eastAsia="Arial" w:hAnsi="Arial"/>
          <w:sz w:val="13"/>
          <w:szCs w:val="13"/>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4"/>
        <w:spacing w:after="0" w:line="237" w:lineRule="auto"/>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11,437,500 shares of Class A common stock expected to be issued to Casdin Partners Master Fund, L.P.</w:t>
      </w:r>
    </w:p>
    <w:p>
      <w:pPr>
        <w:ind w:left="320" w:right="300" w:hanging="314"/>
        <w:spacing w:after="0" w:line="237" w:lineRule="auto"/>
        <w:tabs>
          <w:tab w:leader="none" w:pos="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4"/>
        <w:spacing w:after="0" w:line="237" w:lineRule="auto"/>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6,250,000 shares of Class A common stock expected to be issued to Ichan School of Medicine at Mount Sinai.</w:t>
      </w:r>
    </w:p>
    <w:p>
      <w:pPr>
        <w:ind w:left="320" w:right="140" w:hanging="314"/>
        <w:spacing w:after="0" w:line="237" w:lineRule="auto"/>
        <w:tabs>
          <w:tab w:leader="none" w:pos="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3,125,000 shares of Class A common stock expected to be issued to Deerfield Private Design Fund V, L.P. and 1,875,000 shares of Class A common stock expected to be issued to Deerfield Partners, L.P.</w:t>
      </w:r>
    </w:p>
    <w:p>
      <w:pPr>
        <w:ind w:left="320" w:right="40" w:hanging="314"/>
        <w:spacing w:after="0" w:line="237" w:lineRule="auto"/>
        <w:tabs>
          <w:tab w:leader="none" w:pos="312"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4"/>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Consists of 1,250,000 shares of Class A common stock expected to be issued to Section 32 Fund 2, L.P. Section32 is an affiliate of Michael Pellini, a member of our Board.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Agreements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connection with the execution of the Acquisition Merger Agreement, OPKO Health, Inc. (“OPKO”), the parent of GeneDx, and we entered into Support Agreements (the “Support Agreements”)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399" w:right="339" w:bottom="1440" w:gutter="0" w:footer="0" w:header="0"/>
        </w:sectPr>
      </w:pPr>
    </w:p>
    <w:bookmarkStart w:id="174" w:name="page175"/>
    <w:bookmarkEnd w:id="174"/>
    <w:p>
      <w:pPr>
        <w:jc w:val="both"/>
        <w:spacing w:after="0" w:line="306" w:lineRule="auto"/>
        <w:rPr>
          <w:sz w:val="20"/>
          <w:szCs w:val="20"/>
          <w:color w:val="auto"/>
        </w:rPr>
      </w:pPr>
      <w:r>
        <w:rPr>
          <w:rFonts w:ascii="Arial" w:cs="Arial" w:eastAsia="Arial" w:hAnsi="Arial"/>
          <w:sz w:val="15"/>
          <w:szCs w:val="15"/>
          <w:color w:val="auto"/>
        </w:rPr>
        <w:t>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Sema4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Arrangements with Immediate Family Members of Our Executive Officers and Directors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09"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 and Subleases</w:t>
      </w:r>
    </w:p>
    <w:p>
      <w:pPr>
        <w:spacing w:after="0" w:line="164" w:lineRule="exact"/>
        <w:rPr>
          <w:sz w:val="20"/>
          <w:szCs w:val="20"/>
          <w:color w:val="auto"/>
        </w:rPr>
      </w:pPr>
    </w:p>
    <w:p>
      <w:pPr>
        <w:jc w:val="both"/>
        <w:ind w:firstLine="318"/>
        <w:spacing w:after="0" w:line="308" w:lineRule="auto"/>
        <w:rPr>
          <w:sz w:val="20"/>
          <w:szCs w:val="20"/>
          <w:color w:val="auto"/>
        </w:rPr>
      </w:pPr>
      <w:r>
        <w:rPr>
          <w:rFonts w:ascii="Arial" w:cs="Arial" w:eastAsia="Arial" w:hAnsi="Arial"/>
          <w:sz w:val="15"/>
          <w:szCs w:val="15"/>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 Icahn School of Medicine at Mount Sinai (“ISMMS”) to</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Services and Employee Compensation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provide partial reimbursement to Mount Sinai for limited compensation, services, and related expenses for certain individuals employed by Mount Sinai and certain individuals employed at both Mount Sinai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399" w:right="339" w:bottom="1440" w:gutter="0" w:footer="0" w:header="0"/>
        </w:sectPr>
      </w:pPr>
    </w:p>
    <w:bookmarkStart w:id="175" w:name="page176"/>
    <w:bookmarkEnd w:id="175"/>
    <w:p>
      <w:pPr>
        <w:jc w:val="both"/>
        <w:spacing w:after="0" w:line="264" w:lineRule="auto"/>
        <w:rPr>
          <w:sz w:val="20"/>
          <w:szCs w:val="20"/>
          <w:color w:val="auto"/>
        </w:rPr>
      </w:pPr>
      <w:r>
        <w:rPr>
          <w:rFonts w:ascii="Arial" w:cs="Arial" w:eastAsia="Arial" w:hAnsi="Arial"/>
          <w:sz w:val="18"/>
          <w:szCs w:val="18"/>
          <w:color w:val="auto"/>
        </w:rPr>
        <w:t>company. For the years ended December 31, 2021 and 2020, the total amount of reimbursement for employee compensation and expenses paid by us to Mount Sinai was equal to approximately $1.2 million and $1.3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Relationships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Sema4 Related Party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399" w:right="339" w:bottom="1440" w:gutter="0" w:footer="0" w:header="0"/>
        </w:sectPr>
      </w:pPr>
    </w:p>
    <w:bookmarkStart w:id="176" w:name="page177"/>
    <w:bookmarkEnd w:id="176"/>
    <w:p>
      <w:pPr>
        <w:ind w:firstLine="318"/>
        <w:spacing w:after="0" w:line="264" w:lineRule="auto"/>
        <w:rPr>
          <w:sz w:val="20"/>
          <w:szCs w:val="20"/>
          <w:color w:val="auto"/>
        </w:rPr>
      </w:pPr>
      <w:r>
        <w:rPr>
          <w:rFonts w:ascii="Arial" w:cs="Arial" w:eastAsia="Arial" w:hAnsi="Arial"/>
          <w:sz w:val="18"/>
          <w:szCs w:val="18"/>
          <w:color w:val="auto"/>
        </w:rPr>
        <w:t>The following table summarizes purchases of shares of Legacy Sema4’s Series C preferred stock by its executive officers, directors, and holders of more than 5% of its capital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ind w:left="440"/>
              <w:spacing w:after="0" w:line="131"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jc w:val="center"/>
              <w:ind w:right="103"/>
              <w:spacing w:after="0" w:line="131" w:lineRule="exact"/>
              <w:rPr>
                <w:sz w:val="20"/>
                <w:szCs w:val="20"/>
                <w:color w:val="auto"/>
              </w:rPr>
            </w:pPr>
            <w:r>
              <w:rPr>
                <w:rFonts w:ascii="Arial" w:cs="Arial" w:eastAsia="Arial" w:hAnsi="Arial"/>
                <w:sz w:val="14"/>
                <w:szCs w:val="14"/>
                <w:b w:val="1"/>
                <w:bCs w:val="1"/>
                <w:color w:val="auto"/>
                <w:w w:val="88"/>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w w:val="90"/>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Blackstone</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23,399,401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180" w:hanging="314"/>
        <w:spacing w:after="0" w:line="247" w:lineRule="auto"/>
        <w:tabs>
          <w:tab w:leader="none" w:pos="312" w:val="left"/>
        </w:tabs>
        <w:numPr>
          <w:ilvl w:val="0"/>
          <w:numId w:val="84"/>
        </w:numPr>
        <w:rPr>
          <w:rFonts w:ascii="Arial" w:cs="Arial" w:eastAsia="Arial" w:hAnsi="Arial"/>
          <w:sz w:val="14"/>
          <w:szCs w:val="14"/>
          <w:color w:val="auto"/>
        </w:rPr>
      </w:pPr>
      <w:r>
        <w:rPr>
          <w:rFonts w:ascii="Arial" w:cs="Arial" w:eastAsia="Arial" w:hAnsi="Arial"/>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Stockholders Agreement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35" w:lineRule="exact"/>
        <w:rPr>
          <w:sz w:val="20"/>
          <w:szCs w:val="20"/>
          <w:color w:val="auto"/>
        </w:rPr>
      </w:pPr>
    </w:p>
    <w:p>
      <w:pPr>
        <w:ind w:right="4700"/>
        <w:spacing w:after="0" w:line="433" w:lineRule="auto"/>
        <w:rPr>
          <w:sz w:val="20"/>
          <w:szCs w:val="20"/>
          <w:color w:val="auto"/>
        </w:rPr>
      </w:pPr>
      <w:r>
        <w:rPr>
          <w:rFonts w:ascii="Arial" w:cs="Arial" w:eastAsia="Arial" w:hAnsi="Arial"/>
          <w:sz w:val="18"/>
          <w:szCs w:val="18"/>
          <w:b w:val="1"/>
          <w:bCs w:val="1"/>
          <w:color w:val="auto"/>
        </w:rPr>
        <w:t xml:space="preserve">Related Party Transactions Entered into in Connection with the Business Combination </w:t>
      </w:r>
      <w:r>
        <w:rPr>
          <w:rFonts w:ascii="Arial" w:cs="Arial" w:eastAsia="Arial" w:hAnsi="Arial"/>
          <w:sz w:val="18"/>
          <w:szCs w:val="18"/>
          <w:b w:val="1"/>
          <w:bCs w:val="1"/>
          <w:i w:val="1"/>
          <w:iCs w:val="1"/>
          <w:color w:val="auto"/>
        </w:rPr>
        <w:t>Business Combination Subscription Agreements</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our business combination, the Merger PIPE Investors purchased an aggregate of 35,000,000 shares of our Class A common stock at $10.00 per share, for an aggregate purchase price of $350 million in private placements that closed immediately prior to the Merger Closing.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518"/>
              <w:spacing w:after="0"/>
              <w:rPr>
                <w:sz w:val="20"/>
                <w:szCs w:val="20"/>
                <w:color w:val="auto"/>
              </w:rPr>
            </w:pPr>
            <w:r>
              <w:rPr>
                <w:rFonts w:ascii="Arial" w:cs="Arial" w:eastAsia="Arial" w:hAnsi="Arial"/>
                <w:sz w:val="14"/>
                <w:szCs w:val="14"/>
                <w:b w:val="1"/>
                <w:bCs w:val="1"/>
                <w:color w:val="auto"/>
              </w:rPr>
              <w:t>Shares of Class A Common Stock</w:t>
            </w:r>
          </w:p>
        </w:tc>
        <w:tc>
          <w:tcPr>
            <w:tcW w:w="0" w:type="dxa"/>
            <w:vAlign w:val="bottom"/>
          </w:tcPr>
          <w:p>
            <w:pPr>
              <w:spacing w:after="0"/>
              <w:rPr>
                <w:sz w:val="1"/>
                <w:szCs w:val="1"/>
                <w:color w:val="auto"/>
              </w:rPr>
            </w:pPr>
          </w:p>
        </w:tc>
      </w:tr>
      <w:tr>
        <w:trPr>
          <w:trHeight w:val="13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Purchaser</w:t>
            </w:r>
          </w:p>
        </w:tc>
        <w:tc>
          <w:tcPr>
            <w:tcW w:w="16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4"/>
              </w:rPr>
              <w:t>Number of</w:t>
            </w:r>
          </w:p>
        </w:tc>
        <w:tc>
          <w:tcPr>
            <w:tcW w:w="1560" w:type="dxa"/>
            <w:vAlign w:val="bottom"/>
          </w:tcPr>
          <w:p>
            <w:pPr>
              <w:jc w:val="right"/>
              <w:ind w:right="198"/>
              <w:spacing w:after="0" w:line="131" w:lineRule="exact"/>
              <w:rPr>
                <w:sz w:val="20"/>
                <w:szCs w:val="20"/>
                <w:color w:val="auto"/>
              </w:rPr>
            </w:pPr>
            <w:r>
              <w:rPr>
                <w:rFonts w:ascii="Arial" w:cs="Arial" w:eastAsia="Arial" w:hAnsi="Arial"/>
                <w:sz w:val="14"/>
                <w:szCs w:val="14"/>
                <w:b w:val="1"/>
                <w:bCs w:val="1"/>
                <w:color w:val="auto"/>
              </w:rPr>
              <w:t>Aggregate Gross</w:t>
            </w:r>
          </w:p>
        </w:tc>
        <w:tc>
          <w:tcPr>
            <w:tcW w:w="0" w:type="dxa"/>
            <w:vAlign w:val="bottom"/>
          </w:tcPr>
          <w:p>
            <w:pPr>
              <w:spacing w:after="0"/>
              <w:rPr>
                <w:sz w:val="1"/>
                <w:szCs w:val="1"/>
                <w:color w:val="auto"/>
              </w:rPr>
            </w:pPr>
          </w:p>
        </w:tc>
      </w:tr>
      <w:tr>
        <w:trPr>
          <w:trHeight w:val="18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560" w:type="dxa"/>
            <w:vAlign w:val="bottom"/>
          </w:tcPr>
          <w:p>
            <w:pPr>
              <w:jc w:val="right"/>
              <w:ind w:right="178"/>
              <w:spacing w:after="0"/>
              <w:rPr>
                <w:sz w:val="20"/>
                <w:szCs w:val="20"/>
                <w:color w:val="auto"/>
              </w:rPr>
            </w:pPr>
            <w:r>
              <w:rPr>
                <w:rFonts w:ascii="Arial" w:cs="Arial" w:eastAsia="Arial" w:hAnsi="Arial"/>
                <w:sz w:val="14"/>
                <w:szCs w:val="14"/>
                <w:b w:val="1"/>
                <w:bCs w:val="1"/>
                <w:color w:val="auto"/>
              </w:rPr>
              <w:t>Consideration ($)</w:t>
            </w:r>
          </w:p>
        </w:tc>
        <w:tc>
          <w:tcPr>
            <w:tcW w:w="0" w:type="dxa"/>
            <w:vAlign w:val="bottom"/>
          </w:tcPr>
          <w:p>
            <w:pPr>
              <w:spacing w:after="0"/>
              <w:rPr>
                <w:sz w:val="1"/>
                <w:szCs w:val="1"/>
                <w:color w:val="auto"/>
              </w:rPr>
            </w:pPr>
          </w:p>
        </w:tc>
      </w:tr>
      <w:tr>
        <w:trPr>
          <w:trHeight w:val="219"/>
        </w:trPr>
        <w:tc>
          <w:tcPr>
            <w:tcW w:w="7920" w:type="dxa"/>
            <w:vAlign w:val="bottom"/>
            <w:tcBorders>
              <w:top w:val="single" w:sz="8" w:color="auto"/>
            </w:tcBorders>
            <w:shd w:val="clear" w:color="auto" w:fill="CCEEFF"/>
          </w:tcPr>
          <w:p>
            <w:pPr>
              <w:ind w:left="20"/>
              <w:spacing w:after="0" w:line="220" w:lineRule="exact"/>
              <w:rPr>
                <w:sz w:val="20"/>
                <w:szCs w:val="20"/>
                <w:color w:val="auto"/>
              </w:rPr>
            </w:pPr>
            <w:r>
              <w:rPr>
                <w:rFonts w:ascii="Arial" w:cs="Arial" w:eastAsia="Arial" w:hAnsi="Arial"/>
                <w:sz w:val="18"/>
                <w:szCs w:val="18"/>
                <w:color w:val="auto"/>
              </w:rPr>
              <w:t>Entities affiliated with Casdin</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25"/>
        </w:trPr>
        <w:tc>
          <w:tcPr>
            <w:tcW w:w="80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Entities affiliated with Corvex</w:t>
            </w:r>
            <w:r>
              <w:rPr>
                <w:rFonts w:ascii="Arial" w:cs="Arial" w:eastAsia="Arial" w:hAnsi="Arial"/>
                <w:sz w:val="22"/>
                <w:szCs w:val="22"/>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0" w:type="dxa"/>
            <w:vAlign w:val="bottom"/>
          </w:tcPr>
          <w:p>
            <w:pPr>
              <w:spacing w:after="0"/>
              <w:rPr>
                <w:sz w:val="1"/>
                <w:szCs w:val="1"/>
                <w:color w:val="auto"/>
              </w:rPr>
            </w:pPr>
          </w:p>
        </w:tc>
      </w:tr>
      <w:tr>
        <w:trPr>
          <w:trHeight w:val="225"/>
        </w:trPr>
        <w:tc>
          <w:tcPr>
            <w:tcW w:w="80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Entities affiliated with Deerfield</w:t>
            </w:r>
            <w:r>
              <w:rPr>
                <w:rFonts w:ascii="Arial" w:cs="Arial" w:eastAsia="Arial" w:hAnsi="Arial"/>
                <w:sz w:val="22"/>
                <w:szCs w:val="22"/>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27,500,000</w:t>
            </w:r>
          </w:p>
        </w:tc>
        <w:tc>
          <w:tcPr>
            <w:tcW w:w="0" w:type="dxa"/>
            <w:vAlign w:val="bottom"/>
          </w:tcPr>
          <w:p>
            <w:pPr>
              <w:spacing w:after="0"/>
              <w:rPr>
                <w:sz w:val="1"/>
                <w:szCs w:val="1"/>
                <w:color w:val="auto"/>
              </w:rPr>
            </w:pPr>
          </w:p>
        </w:tc>
      </w:tr>
      <w:tr>
        <w:trPr>
          <w:trHeight w:val="219"/>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5,000,000 shares of Class A common stock held by affiliates of Casdin Partners Master Fund L.P.</w:t>
      </w:r>
    </w:p>
    <w:p>
      <w:pPr>
        <w:ind w:left="320" w:hanging="314"/>
        <w:spacing w:after="0" w:line="237" w:lineRule="auto"/>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4,000,000 shares of Class A common stock held by affiliates of Corvex Management LP.</w:t>
      </w:r>
    </w:p>
    <w:p>
      <w:pPr>
        <w:ind w:left="320" w:hanging="314"/>
        <w:spacing w:after="0"/>
        <w:tabs>
          <w:tab w:leader="none" w:pos="32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2,750,000 shares of Class A common stock held by affiliates of Deerfield Management Company, L.P.</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399"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review such registration statement, subject to extension in the event that the registration is subject comments from the SEC.</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ISMMS Lock-Up Agreement</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Lock-up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32" w:lineRule="exact"/>
        <w:rPr>
          <w:sz w:val="20"/>
          <w:szCs w:val="20"/>
          <w:color w:val="auto"/>
        </w:rPr>
      </w:pPr>
    </w:p>
    <w:p>
      <w:pPr>
        <w:ind w:right="5000"/>
        <w:spacing w:after="0" w:line="433" w:lineRule="auto"/>
        <w:rPr>
          <w:sz w:val="20"/>
          <w:szCs w:val="20"/>
          <w:color w:val="auto"/>
        </w:rPr>
      </w:pPr>
      <w:r>
        <w:rPr>
          <w:rFonts w:ascii="Arial" w:cs="Arial" w:eastAsia="Arial" w:hAnsi="Arial"/>
          <w:sz w:val="18"/>
          <w:szCs w:val="18"/>
          <w:b w:val="1"/>
          <w:bCs w:val="1"/>
          <w:color w:val="auto"/>
        </w:rPr>
        <w:t xml:space="preserve">CMLS Related Party Transactions Entered into Prior to the Business Combination </w:t>
      </w:r>
      <w:r>
        <w:rPr>
          <w:rFonts w:ascii="Arial" w:cs="Arial" w:eastAsia="Arial" w:hAnsi="Arial"/>
          <w:sz w:val="18"/>
          <w:szCs w:val="18"/>
          <w:b w:val="1"/>
          <w:bCs w:val="1"/>
          <w:i w:val="1"/>
          <w:iCs w:val="1"/>
          <w:color w:val="auto"/>
        </w:rPr>
        <w:t>Founder Shares</w:t>
      </w:r>
    </w:p>
    <w:p>
      <w:pPr>
        <w:spacing w:after="0" w:line="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 Warrants. Each Private Placement Warrant is exercisable to purchase one share of Class A common stock at a price of $11.50 per share, subject to adjustment.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399"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i w:val="1"/>
          <w:iCs w:val="1"/>
          <w:color w:val="auto"/>
        </w:rPr>
        <w:t>Insider Letter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Parties</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 serves on our audit committee, compensation committee and nominating and corporate governance committee are independent under Nasdaq listing standards. See “Corporate Governance” in Item 10 above for more information.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represents aggregate fees billed or to be billed to the Company for the fiscal years ended December 31, 2021 and December 31, 2020 by Ernst &amp; Young LLP, our independent registered public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1399" w:right="339" w:bottom="1440" w:gutter="0" w:footer="0" w:header="0"/>
        </w:sectPr>
      </w:pPr>
    </w:p>
    <w:bookmarkStart w:id="179" w:name="page180"/>
    <w:bookmarkEnd w:id="179"/>
    <w:p>
      <w:pPr>
        <w:spacing w:after="0" w:line="264" w:lineRule="auto"/>
        <w:rPr>
          <w:sz w:val="20"/>
          <w:szCs w:val="20"/>
          <w:color w:val="auto"/>
        </w:rPr>
      </w:pPr>
      <w:r>
        <w:rPr>
          <w:rFonts w:ascii="Arial" w:cs="Arial" w:eastAsia="Arial" w:hAnsi="Arial"/>
          <w:sz w:val="18"/>
          <w:szCs w:val="18"/>
          <w:color w:val="auto"/>
        </w:rPr>
        <w:t>firm since the closing of the business combination and the independent registered public accounting firm of Legacy Sema4 prior to the closing of the business combination: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Fees Billed to Sema4</w:t>
            </w: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Year 2021</w:t>
            </w:r>
          </w:p>
        </w:tc>
        <w:tc>
          <w:tcPr>
            <w:tcW w:w="200" w:type="dxa"/>
            <w:vAlign w:val="bottom"/>
          </w:tcPr>
          <w:p>
            <w:pPr>
              <w:spacing w:after="0"/>
              <w:rPr>
                <w:sz w:val="15"/>
                <w:szCs w:val="15"/>
                <w:color w:val="auto"/>
              </w:rPr>
            </w:pPr>
          </w:p>
        </w:tc>
        <w:tc>
          <w:tcPr>
            <w:tcW w:w="1360" w:type="dxa"/>
            <w:vAlign w:val="bottom"/>
          </w:tcPr>
          <w:p>
            <w:pPr>
              <w:jc w:val="right"/>
              <w:ind w:right="202"/>
              <w:spacing w:after="0"/>
              <w:rPr>
                <w:sz w:val="20"/>
                <w:szCs w:val="20"/>
                <w:color w:val="auto"/>
              </w:rPr>
            </w:pPr>
            <w:r>
              <w:rPr>
                <w:rFonts w:ascii="Arial" w:cs="Arial" w:eastAsia="Arial" w:hAnsi="Arial"/>
                <w:sz w:val="14"/>
                <w:szCs w:val="14"/>
                <w:b w:val="1"/>
                <w:bCs w:val="1"/>
                <w:color w:val="auto"/>
                <w:w w:val="97"/>
              </w:rPr>
              <w:t>Fiscal Year 2020</w:t>
            </w:r>
          </w:p>
        </w:tc>
        <w:tc>
          <w:tcPr>
            <w:tcW w:w="0" w:type="dxa"/>
            <w:vAlign w:val="bottom"/>
          </w:tcPr>
          <w:p>
            <w:pPr>
              <w:spacing w:after="0"/>
              <w:rPr>
                <w:sz w:val="1"/>
                <w:szCs w:val="1"/>
                <w:color w:val="auto"/>
              </w:rPr>
            </w:pPr>
          </w:p>
        </w:tc>
      </w:tr>
      <w:tr>
        <w:trPr>
          <w:trHeight w:val="24"/>
        </w:trPr>
        <w:tc>
          <w:tcPr>
            <w:tcW w:w="7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(1)</w:t>
            </w: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1,400,000</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2,766,250</w:t>
            </w:r>
          </w:p>
        </w:tc>
        <w:tc>
          <w:tcPr>
            <w:tcW w:w="0" w:type="dxa"/>
            <w:vAlign w:val="bottom"/>
          </w:tcPr>
          <w:p>
            <w:pPr>
              <w:spacing w:after="0"/>
              <w:rPr>
                <w:sz w:val="1"/>
                <w:szCs w:val="1"/>
                <w:color w:val="auto"/>
              </w:rPr>
            </w:pPr>
          </w:p>
        </w:tc>
      </w:tr>
      <w:tr>
        <w:trPr>
          <w:trHeight w:val="110"/>
        </w:trPr>
        <w:tc>
          <w:tcPr>
            <w:tcW w:w="7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continue"/>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(2)</w:t>
            </w: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7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24"/>
                <w:szCs w:val="24"/>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0"/>
        </w:trPr>
        <w:tc>
          <w:tcPr>
            <w:tcW w:w="7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60" w:type="dxa"/>
            <w:vAlign w:val="bottom"/>
            <w:gridSpan w:val="2"/>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7"/>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(4)</w:t>
            </w: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1,778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103"/>
        </w:trPr>
        <w:tc>
          <w:tcPr>
            <w:tcW w:w="79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fees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1,701,778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2,768,851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ind w:left="320" w:right="80" w:hanging="314"/>
        <w:spacing w:after="0" w:line="276" w:lineRule="auto"/>
        <w:tabs>
          <w:tab w:leader="none" w:pos="312" w:val="left"/>
        </w:tabs>
        <w:numPr>
          <w:ilvl w:val="0"/>
          <w:numId w:val="8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Audit fees</w:t>
      </w:r>
      <w:r>
        <w:rPr>
          <w:rFonts w:ascii="Arial" w:cs="Arial" w:eastAsia="Arial" w:hAnsi="Arial"/>
          <w:sz w:val="12"/>
          <w:szCs w:val="12"/>
          <w:color w:val="auto"/>
        </w:rPr>
        <w:t>” include fees for audit services primarily related to the audit of our annual consolidated financial statements; the review of our quarterly consolidated financial statements; consents, and assistance with and review of documents filed with the SEC; and other accounting and financial reporting consultation and research work billed as audit fees or necessary to comply with the standards of the Public Company Accounting Oversight Board (United States) and the SPAC merger transaction and subsequent SEC filings including registration statements.</w:t>
      </w:r>
    </w:p>
    <w:p>
      <w:pPr>
        <w:ind w:left="320" w:hanging="314"/>
        <w:spacing w:after="0" w:line="237" w:lineRule="auto"/>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Audit-related fees</w:t>
      </w:r>
      <w:r>
        <w:rPr>
          <w:rFonts w:ascii="Arial" w:cs="Arial" w:eastAsia="Arial" w:hAnsi="Arial"/>
          <w:sz w:val="14"/>
          <w:szCs w:val="14"/>
          <w:color w:val="auto"/>
        </w:rPr>
        <w:t>” include fees related to performing Sema4’s internal control environment assessment.</w:t>
      </w:r>
    </w:p>
    <w:p>
      <w:pPr>
        <w:ind w:left="320" w:right="500" w:hanging="314"/>
        <w:spacing w:after="0" w:line="247" w:lineRule="auto"/>
        <w:tabs>
          <w:tab w:leader="none" w:pos="312"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Tax fees</w:t>
      </w:r>
      <w:r>
        <w:rPr>
          <w:rFonts w:ascii="Arial" w:cs="Arial" w:eastAsia="Arial" w:hAnsi="Arial"/>
          <w:sz w:val="14"/>
          <w:szCs w:val="14"/>
          <w:color w:val="auto"/>
        </w:rPr>
        <w:t>” include fees for tax compliance and advice. Tax advice fees encompass a variety of permissible services, including technical tax advice related to federal and state income tax matters; assistance with sales tax; assistance with tax matters related to acquisitions and assistance with tax audits.</w:t>
      </w:r>
    </w:p>
    <w:p>
      <w:pPr>
        <w:spacing w:after="0" w:line="133" w:lineRule="exact"/>
        <w:rPr>
          <w:rFonts w:ascii="Arial" w:cs="Arial" w:eastAsia="Arial" w:hAnsi="Arial"/>
          <w:sz w:val="14"/>
          <w:szCs w:val="14"/>
          <w:color w:val="auto"/>
        </w:rPr>
      </w:pPr>
    </w:p>
    <w:p>
      <w:pPr>
        <w:ind w:left="320" w:hanging="314"/>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i w:val="1"/>
          <w:iCs w:val="1"/>
          <w:color w:val="auto"/>
        </w:rPr>
        <w:t>All other fees</w:t>
      </w:r>
      <w:r>
        <w:rPr>
          <w:rFonts w:ascii="Arial" w:cs="Arial" w:eastAsia="Arial" w:hAnsi="Arial"/>
          <w:sz w:val="14"/>
          <w:szCs w:val="14"/>
          <w:color w:val="auto"/>
        </w:rPr>
        <w:t>” include fees for services other than the services described in the above three categories, principally comprised of support services.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Policy on Audit Committee Pre-Approval of Audit and Permissible Non-Audit Services of Independent Registered Public Accounting Firm</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audit committee’s policy is to pre-approve all audit and permissible non-audit services rendered by Ernst &amp; Young LLP,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Ernst &amp; Young LLP or on an individual case-by-case basis before Ernst &amp; Young LLP is engaged to provide a service. The audit committee has determined that the rendering of the services other than audit services by Ernst &amp; Young LLP is compatible with maintaining the principal accountant’s independence.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399"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57" w:lineRule="exact"/>
        <w:rPr>
          <w:sz w:val="20"/>
          <w:szCs w:val="20"/>
          <w:color w:val="auto"/>
        </w:rPr>
      </w:pPr>
    </w:p>
    <w:p>
      <w:pPr>
        <w:ind w:left="180" w:hanging="174"/>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w:t>
      </w:r>
    </w:p>
    <w:p>
      <w:pPr>
        <w:spacing w:after="0" w:line="150" w:lineRule="exact"/>
        <w:rPr>
          <w:rFonts w:ascii="Arial" w:cs="Arial" w:eastAsia="Arial" w:hAnsi="Arial"/>
          <w:sz w:val="18"/>
          <w:szCs w:val="18"/>
          <w:color w:val="auto"/>
        </w:rPr>
      </w:pPr>
    </w:p>
    <w:p>
      <w:pPr>
        <w:ind w:right="20" w:firstLine="324"/>
        <w:spacing w:after="0" w:line="264" w:lineRule="auto"/>
        <w:tabs>
          <w:tab w:leader="none" w:pos="497"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Consolidated financial statements: The consolidated financial statements are set forth under “Item 8. Financial Statements and Supplementary Data” of this Annual Report on Form 10-K.</w:t>
      </w:r>
    </w:p>
    <w:p>
      <w:pPr>
        <w:spacing w:after="0" w:line="127" w:lineRule="exact"/>
        <w:rPr>
          <w:rFonts w:ascii="Arial" w:cs="Arial" w:eastAsia="Arial" w:hAnsi="Arial"/>
          <w:sz w:val="18"/>
          <w:szCs w:val="18"/>
          <w:color w:val="auto"/>
        </w:rPr>
      </w:pPr>
    </w:p>
    <w:p>
      <w:pPr>
        <w:ind w:firstLine="324"/>
        <w:spacing w:after="0" w:line="264" w:lineRule="auto"/>
        <w:tabs>
          <w:tab w:leader="none" w:pos="496" w:val="left"/>
        </w:tabs>
        <w:numPr>
          <w:ilvl w:val="1"/>
          <w:numId w:val="87"/>
        </w:numPr>
        <w:rPr>
          <w:rFonts w:ascii="Arial" w:cs="Arial" w:eastAsia="Arial" w:hAnsi="Arial"/>
          <w:sz w:val="18"/>
          <w:szCs w:val="18"/>
          <w:color w:val="auto"/>
        </w:rPr>
      </w:pPr>
      <w:r>
        <w:rPr>
          <w:rFonts w:ascii="Arial" w:cs="Arial" w:eastAsia="Arial" w:hAnsi="Arial"/>
          <w:sz w:val="18"/>
          <w:szCs w:val="18"/>
          <w:color w:val="auto"/>
        </w:rPr>
        <w:t>Financial statement schedules: All schedules have been omitted because they are not required, not applicable, or the required information is included in the consolidated financial statements or notes thereto.</w:t>
      </w:r>
    </w:p>
    <w:p>
      <w:pPr>
        <w:spacing w:after="0" w:line="114" w:lineRule="exact"/>
        <w:rPr>
          <w:rFonts w:ascii="Arial" w:cs="Arial" w:eastAsia="Arial" w:hAnsi="Arial"/>
          <w:sz w:val="18"/>
          <w:szCs w:val="18"/>
          <w:color w:val="auto"/>
        </w:rPr>
      </w:pPr>
    </w:p>
    <w:p>
      <w:pPr>
        <w:ind w:left="500" w:hanging="176"/>
        <w:spacing w:after="0"/>
        <w:tabs>
          <w:tab w:leader="none" w:pos="500" w:val="left"/>
        </w:tabs>
        <w:numPr>
          <w:ilvl w:val="1"/>
          <w:numId w:val="87"/>
        </w:numPr>
        <w:rPr>
          <w:rFonts w:ascii="Arial" w:cs="Arial" w:eastAsia="Arial" w:hAnsi="Arial"/>
          <w:sz w:val="15"/>
          <w:szCs w:val="15"/>
          <w:color w:val="auto"/>
        </w:rPr>
      </w:pPr>
      <w:r>
        <w:rPr>
          <w:rFonts w:ascii="Arial" w:cs="Arial" w:eastAsia="Arial" w:hAnsi="Arial"/>
          <w:sz w:val="15"/>
          <w:szCs w:val="15"/>
          <w:color w:val="auto"/>
        </w:rPr>
        <w:t>Exhibits: The exhibits listed in the accompanying Exhibit Index are filed or incorporated by reference as part of this Annual Report on Form 10-K.</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b w:val="1"/>
          <w:bCs w:val="1"/>
          <w:color w:val="auto"/>
        </w:rPr>
        <w:t>Incorporated by Reference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6"/>
                <w:szCs w:val="16"/>
                <w:b w:val="1"/>
                <w:bCs w:val="1"/>
                <w:color w:val="auto"/>
              </w:rPr>
              <w:t>No.</w:t>
            </w:r>
          </w:p>
        </w:tc>
        <w:tc>
          <w:tcPr>
            <w:tcW w:w="200" w:type="dxa"/>
            <w:vAlign w:val="bottom"/>
            <w:tcBorders>
              <w:bottom w:val="single" w:sz="8" w:color="CCEEFF"/>
            </w:tcBorders>
          </w:tcPr>
          <w:p>
            <w:pPr>
              <w:spacing w:after="0"/>
              <w:rPr>
                <w:sz w:val="19"/>
                <w:szCs w:val="19"/>
                <w:color w:val="auto"/>
              </w:rPr>
            </w:pPr>
          </w:p>
        </w:tc>
        <w:tc>
          <w:tcPr>
            <w:tcW w:w="4300" w:type="dxa"/>
            <w:vAlign w:val="bottom"/>
            <w:tcBorders>
              <w:top w:val="single" w:sz="8" w:color="auto"/>
              <w:bottom w:val="single" w:sz="8" w:color="auto"/>
            </w:tcBorders>
            <w:gridSpan w:val="23"/>
          </w:tcPr>
          <w:p>
            <w:pPr>
              <w:spacing w:after="0"/>
              <w:rPr>
                <w:sz w:val="20"/>
                <w:szCs w:val="20"/>
                <w:color w:val="auto"/>
              </w:rPr>
            </w:pPr>
            <w:r>
              <w:rPr>
                <w:rFonts w:ascii="Arial" w:cs="Arial" w:eastAsia="Arial" w:hAnsi="Arial"/>
                <w:sz w:val="16"/>
                <w:szCs w:val="16"/>
                <w:b w:val="1"/>
                <w:bCs w:val="1"/>
                <w:color w:val="auto"/>
              </w:rPr>
              <w:t>Description of Exhibit</w:t>
            </w:r>
          </w:p>
        </w:tc>
        <w:tc>
          <w:tcPr>
            <w:tcW w:w="16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80" w:type="dxa"/>
            <w:vAlign w:val="bottom"/>
            <w:tcBorders>
              <w:bottom w:val="single" w:sz="8" w:color="CCEEFF"/>
            </w:tcBorders>
          </w:tcPr>
          <w:p>
            <w:pPr>
              <w:spacing w:after="0"/>
              <w:rPr>
                <w:sz w:val="19"/>
                <w:szCs w:val="19"/>
                <w:color w:val="auto"/>
              </w:rPr>
            </w:pPr>
          </w:p>
        </w:tc>
        <w:tc>
          <w:tcPr>
            <w:tcW w:w="1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16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Filed Herewith</w:t>
            </w: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8"/>
              </w:rPr>
              <w:t>2.1+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8"/>
              </w:rPr>
            </w:pPr>
            <w:hyperlink r:id="rId17">
              <w:r>
                <w:rPr>
                  <w:rFonts w:ascii="Arial" w:cs="Arial" w:eastAsia="Arial" w:hAnsi="Arial"/>
                  <w:sz w:val="16"/>
                  <w:szCs w:val="16"/>
                  <w:color w:val="0000FF"/>
                  <w:w w:val="98"/>
                </w:rPr>
                <w:t>Agreement and Plan of Merger, dated February 9, 2021, by and</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4"/>
              </w:rPr>
              <w:t>DEF14M</w:t>
            </w:r>
          </w:p>
        </w:tc>
        <w:tc>
          <w:tcPr>
            <w:tcW w:w="146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5"/>
              </w:rPr>
              <w:t>Annex A</w:t>
            </w: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07/02/2021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080" w:type="dxa"/>
            <w:vAlign w:val="bottom"/>
            <w:tcBorders>
              <w:top w:val="single" w:sz="8" w:color="0000FF"/>
              <w:right w:val="single" w:sz="8" w:color="CCEEFF"/>
            </w:tcBorders>
            <w:gridSpan w:val="17"/>
            <w:shd w:val="clear" w:color="auto" w:fill="CCEEFF"/>
          </w:tcPr>
          <w:p>
            <w:pPr>
              <w:spacing w:after="0" w:line="152" w:lineRule="exact"/>
              <w:rPr>
                <w:rFonts w:ascii="Arial" w:cs="Arial" w:eastAsia="Arial" w:hAnsi="Arial"/>
                <w:sz w:val="16"/>
                <w:szCs w:val="16"/>
                <w:color w:val="0000FF"/>
                <w:w w:val="89"/>
              </w:rPr>
            </w:pPr>
            <w:hyperlink r:id="rId17">
              <w:r>
                <w:rPr>
                  <w:rFonts w:ascii="Arial" w:cs="Arial" w:eastAsia="Arial" w:hAnsi="Arial"/>
                  <w:sz w:val="16"/>
                  <w:szCs w:val="16"/>
                  <w:color w:val="0000FF"/>
                  <w:w w:val="89"/>
                </w:rPr>
                <w:t>among CMLS, Merger Sub and Legacy Sema4, as amended by</w:t>
              </w:r>
            </w:hyperlink>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20"/>
        </w:trPr>
        <w:tc>
          <w:tcPr>
            <w:tcW w:w="9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CCEE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r>
      <w:tr>
        <w:trPr>
          <w:trHeight w:val="185"/>
        </w:trPr>
        <w:tc>
          <w:tcPr>
            <w:tcW w:w="9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4"/>
              </w:rPr>
            </w:pPr>
            <w:hyperlink r:id="rId17">
              <w:r>
                <w:rPr>
                  <w:rFonts w:ascii="Arial" w:cs="Arial" w:eastAsia="Arial" w:hAnsi="Arial"/>
                  <w:sz w:val="16"/>
                  <w:szCs w:val="16"/>
                  <w:color w:val="0000FF"/>
                  <w:w w:val="94"/>
                </w:rPr>
                <w:t>Amendment to Agreement and Plan of Merger dated May 3, 2021.</w:t>
              </w:r>
            </w:hyperlink>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2.2</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4080" w:type="dxa"/>
            <w:vAlign w:val="bottom"/>
            <w:tcBorders>
              <w:bottom w:val="single" w:sz="8" w:color="0000FF"/>
              <w:right w:val="single" w:sz="8" w:color="CCEEFF"/>
            </w:tcBorders>
            <w:gridSpan w:val="17"/>
            <w:shd w:val="clear" w:color="auto" w:fill="CCEEFF"/>
          </w:tcPr>
          <w:p>
            <w:pPr>
              <w:spacing w:after="0" w:line="172" w:lineRule="exact"/>
              <w:rPr>
                <w:rFonts w:ascii="Arial" w:cs="Arial" w:eastAsia="Arial" w:hAnsi="Arial"/>
                <w:sz w:val="16"/>
                <w:szCs w:val="16"/>
                <w:color w:val="0000FF"/>
                <w:w w:val="89"/>
              </w:rPr>
            </w:pPr>
            <w:hyperlink r:id="rId18">
              <w:r>
                <w:rPr>
                  <w:rFonts w:ascii="Arial" w:cs="Arial" w:eastAsia="Arial" w:hAnsi="Arial"/>
                  <w:sz w:val="16"/>
                  <w:szCs w:val="16"/>
                  <w:color w:val="0000FF"/>
                  <w:w w:val="89"/>
                </w:rPr>
                <w:t>Agreement and Plan of Merger and Reorganization, dated as of</w:t>
              </w:r>
            </w:hyperlink>
          </w:p>
        </w:tc>
        <w:tc>
          <w:tcPr>
            <w:tcW w:w="380" w:type="dxa"/>
            <w:vAlign w:val="bottom"/>
            <w:tcBorders>
              <w:bottom w:val="single" w:sz="8" w:color="CCEEFF"/>
            </w:tcBorders>
            <w:gridSpan w:val="7"/>
            <w:shd w:val="clear" w:color="auto" w:fill="CCEEFF"/>
          </w:tcPr>
          <w:p>
            <w:pPr>
              <w:spacing w:after="0"/>
              <w:rPr>
                <w:sz w:val="14"/>
                <w:szCs w:val="14"/>
                <w:color w:val="auto"/>
              </w:rPr>
            </w:pPr>
          </w:p>
        </w:tc>
        <w:tc>
          <w:tcPr>
            <w:tcW w:w="1480" w:type="dxa"/>
            <w:vAlign w:val="bottom"/>
            <w:tcBorders>
              <w:bottom w:val="single" w:sz="8" w:color="CCEEFF"/>
            </w:tcBorders>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2.1</w:t>
            </w: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ind w:left="300"/>
              <w:spacing w:after="0" w:line="172" w:lineRule="exact"/>
              <w:rPr>
                <w:sz w:val="20"/>
                <w:szCs w:val="20"/>
                <w:color w:val="auto"/>
              </w:rPr>
            </w:pPr>
            <w:r>
              <w:rPr>
                <w:rFonts w:ascii="Arial" w:cs="Arial" w:eastAsia="Arial" w:hAnsi="Arial"/>
                <w:sz w:val="16"/>
                <w:szCs w:val="16"/>
                <w:color w:val="auto"/>
              </w:rPr>
              <w:t>01/18/2022</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2"/>
        </w:trPr>
        <w:tc>
          <w:tcPr>
            <w:tcW w:w="9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6"/>
              </w:rPr>
            </w:pPr>
            <w:hyperlink r:id="rId18">
              <w:r>
                <w:rPr>
                  <w:rFonts w:ascii="Arial" w:cs="Arial" w:eastAsia="Arial" w:hAnsi="Arial"/>
                  <w:sz w:val="16"/>
                  <w:szCs w:val="16"/>
                  <w:color w:val="0000FF"/>
                  <w:w w:val="96"/>
                </w:rPr>
                <w:t>January 14, 2022, by and among, Orion Merger Sub I, Inc., Orion</w:t>
              </w:r>
            </w:hyperlink>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16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w w:val="93"/>
              </w:rPr>
            </w:pPr>
            <w:hyperlink r:id="rId18">
              <w:r>
                <w:rPr>
                  <w:rFonts w:ascii="Arial" w:cs="Arial" w:eastAsia="Arial" w:hAnsi="Arial"/>
                  <w:sz w:val="16"/>
                  <w:szCs w:val="16"/>
                  <w:color w:val="0000FF"/>
                  <w:w w:val="93"/>
                </w:rPr>
                <w:t>Merger Sub II, LLC, GeneDx, Inc., GeneDx Holding 2, Inc. and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080" w:type="dxa"/>
            <w:vAlign w:val="bottom"/>
            <w:tcBorders>
              <w:top w:val="single" w:sz="8" w:color="0000FF"/>
              <w:right w:val="single" w:sz="8" w:color="CCEEFF"/>
            </w:tcBorders>
            <w:gridSpan w:val="17"/>
            <w:shd w:val="clear" w:color="auto" w:fill="CCEEFF"/>
          </w:tcPr>
          <w:p>
            <w:pPr>
              <w:spacing w:after="0" w:line="152" w:lineRule="exact"/>
              <w:rPr>
                <w:rFonts w:ascii="Arial" w:cs="Arial" w:eastAsia="Arial" w:hAnsi="Arial"/>
                <w:sz w:val="16"/>
                <w:szCs w:val="16"/>
                <w:color w:val="0000FF"/>
              </w:rPr>
            </w:pPr>
            <w:hyperlink r:id="rId18">
              <w:r>
                <w:rPr>
                  <w:rFonts w:ascii="Arial" w:cs="Arial" w:eastAsia="Arial" w:hAnsi="Arial"/>
                  <w:sz w:val="16"/>
                  <w:szCs w:val="16"/>
                  <w:color w:val="0000FF"/>
                </w:rPr>
                <w:t>OPKO Health, Inc.</w:t>
              </w:r>
            </w:hyperlink>
          </w:p>
        </w:tc>
        <w:tc>
          <w:tcPr>
            <w:tcW w:w="1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19">
              <w:r>
                <w:rPr>
                  <w:rFonts w:ascii="Arial" w:cs="Arial" w:eastAsia="Arial" w:hAnsi="Arial"/>
                  <w:sz w:val="16"/>
                  <w:szCs w:val="16"/>
                  <w:color w:val="0000FF"/>
                </w:rPr>
                <w:t>Third Amended and Restated Certificate of Incorporation of</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3.1</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82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19">
              <w:r>
                <w:rPr>
                  <w:rFonts w:ascii="Arial" w:cs="Arial" w:eastAsia="Arial" w:hAnsi="Arial"/>
                  <w:sz w:val="16"/>
                  <w:szCs w:val="16"/>
                  <w:color w:val="0000FF"/>
                </w:rPr>
                <w:t>Sema4 Holdings Corp.</w:t>
              </w:r>
            </w:hyperlink>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0">
              <w:r>
                <w:rPr>
                  <w:rFonts w:ascii="Arial" w:cs="Arial" w:eastAsia="Arial" w:hAnsi="Arial"/>
                  <w:sz w:val="16"/>
                  <w:szCs w:val="16"/>
                  <w:color w:val="0000FF"/>
                </w:rPr>
                <w:t>Restated Bylaws of Sema4 Holdings Corp.</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3.2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4.1</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1">
              <w:r>
                <w:rPr>
                  <w:rFonts w:ascii="Arial" w:cs="Arial" w:eastAsia="Arial" w:hAnsi="Arial"/>
                  <w:sz w:val="16"/>
                  <w:szCs w:val="16"/>
                  <w:color w:val="0000FF"/>
                </w:rPr>
                <w:t>Specimen Class A Common Stock Certificate.</w:t>
              </w:r>
            </w:hyperlink>
          </w:p>
        </w:tc>
        <w:tc>
          <w:tcPr>
            <w:tcW w:w="1480" w:type="dxa"/>
            <w:vAlign w:val="bottom"/>
            <w:gridSpan w:val="2"/>
            <w:shd w:val="clear" w:color="auto" w:fill="CCEEFF"/>
          </w:tcPr>
          <w:p>
            <w:pPr>
              <w:jc w:val="center"/>
              <w:ind w:right="180"/>
              <w:spacing w:after="0" w:line="172" w:lineRule="exact"/>
              <w:rPr>
                <w:sz w:val="20"/>
                <w:szCs w:val="20"/>
                <w:color w:val="auto"/>
              </w:rPr>
            </w:pPr>
            <w:r>
              <w:rPr>
                <w:rFonts w:ascii="Arial" w:cs="Arial" w:eastAsia="Arial" w:hAnsi="Arial"/>
                <w:sz w:val="16"/>
                <w:szCs w:val="16"/>
                <w:color w:val="auto"/>
                <w:w w:val="94"/>
              </w:rPr>
              <w:t>S-1/A</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4.2</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2">
              <w:r>
                <w:rPr>
                  <w:rFonts w:ascii="Arial" w:cs="Arial" w:eastAsia="Arial" w:hAnsi="Arial"/>
                  <w:sz w:val="16"/>
                  <w:szCs w:val="16"/>
                  <w:color w:val="0000FF"/>
                </w:rPr>
                <w:t>Specimen Warrant Certificate.</w:t>
              </w:r>
            </w:hyperlink>
          </w:p>
        </w:tc>
        <w:tc>
          <w:tcPr>
            <w:tcW w:w="1480" w:type="dxa"/>
            <w:vAlign w:val="bottom"/>
            <w:gridSpan w:val="2"/>
            <w:shd w:val="clear" w:color="auto" w:fill="CCEEFF"/>
          </w:tcPr>
          <w:p>
            <w:pPr>
              <w:jc w:val="center"/>
              <w:ind w:right="180"/>
              <w:spacing w:after="0" w:line="172" w:lineRule="exact"/>
              <w:rPr>
                <w:sz w:val="20"/>
                <w:szCs w:val="20"/>
                <w:color w:val="auto"/>
              </w:rPr>
            </w:pPr>
            <w:r>
              <w:rPr>
                <w:rFonts w:ascii="Arial" w:cs="Arial" w:eastAsia="Arial" w:hAnsi="Arial"/>
                <w:sz w:val="16"/>
                <w:szCs w:val="16"/>
                <w:color w:val="auto"/>
                <w:w w:val="94"/>
              </w:rPr>
              <w:t>S-1/A</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4.3</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08/24/2020</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4.3</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3760" w:type="dxa"/>
            <w:vAlign w:val="bottom"/>
            <w:tcBorders>
              <w:bottom w:val="single" w:sz="8" w:color="0000FF"/>
            </w:tcBorders>
            <w:gridSpan w:val="14"/>
            <w:shd w:val="clear" w:color="auto" w:fill="CCEEFF"/>
          </w:tcPr>
          <w:p>
            <w:pPr>
              <w:spacing w:after="0" w:line="172" w:lineRule="exact"/>
              <w:rPr>
                <w:rFonts w:ascii="Arial" w:cs="Arial" w:eastAsia="Arial" w:hAnsi="Arial"/>
                <w:sz w:val="16"/>
                <w:szCs w:val="16"/>
                <w:color w:val="0000FF"/>
                <w:w w:val="87"/>
              </w:rPr>
            </w:pPr>
            <w:hyperlink r:id="rId23">
              <w:r>
                <w:rPr>
                  <w:rFonts w:ascii="Arial" w:cs="Arial" w:eastAsia="Arial" w:hAnsi="Arial"/>
                  <w:sz w:val="16"/>
                  <w:szCs w:val="16"/>
                  <w:color w:val="0000FF"/>
                  <w:w w:val="87"/>
                </w:rPr>
                <w:t>Warrant Agreement, dated as of September 1, 2020, by and</w:t>
              </w:r>
            </w:hyperlink>
          </w:p>
        </w:tc>
        <w:tc>
          <w:tcPr>
            <w:tcW w:w="700" w:type="dxa"/>
            <w:vAlign w:val="bottom"/>
            <w:tcBorders>
              <w:bottom w:val="single" w:sz="8" w:color="CCEEFF"/>
            </w:tcBorders>
            <w:gridSpan w:val="10"/>
            <w:shd w:val="clear" w:color="auto" w:fill="CCEEFF"/>
          </w:tcPr>
          <w:p>
            <w:pPr>
              <w:spacing w:after="0"/>
              <w:rPr>
                <w:sz w:val="14"/>
                <w:szCs w:val="14"/>
                <w:color w:val="auto"/>
              </w:rPr>
            </w:pPr>
          </w:p>
        </w:tc>
        <w:tc>
          <w:tcPr>
            <w:tcW w:w="1480" w:type="dxa"/>
            <w:vAlign w:val="bottom"/>
            <w:tcBorders>
              <w:bottom w:val="single" w:sz="8" w:color="CCEEFF"/>
            </w:tcBorders>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16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ind w:left="300"/>
              <w:spacing w:after="0" w:line="172" w:lineRule="exact"/>
              <w:rPr>
                <w:sz w:val="20"/>
                <w:szCs w:val="20"/>
                <w:color w:val="auto"/>
              </w:rPr>
            </w:pPr>
            <w:r>
              <w:rPr>
                <w:rFonts w:ascii="Arial" w:cs="Arial" w:eastAsia="Arial" w:hAnsi="Arial"/>
                <w:sz w:val="16"/>
                <w:szCs w:val="16"/>
                <w:color w:val="auto"/>
              </w:rPr>
              <w:t>09/04/2020</w:t>
            </w:r>
          </w:p>
        </w:tc>
        <w:tc>
          <w:tcPr>
            <w:tcW w:w="1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r>
      <w:tr>
        <w:trPr>
          <w:trHeight w:val="152"/>
        </w:trPr>
        <w:tc>
          <w:tcPr>
            <w:tcW w:w="9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4460" w:type="dxa"/>
            <w:vAlign w:val="bottom"/>
            <w:gridSpan w:val="24"/>
            <w:shd w:val="clear" w:color="auto" w:fill="CCEEFF"/>
          </w:tcPr>
          <w:p>
            <w:pPr>
              <w:spacing w:after="0" w:line="152" w:lineRule="exact"/>
              <w:rPr>
                <w:rFonts w:ascii="Arial" w:cs="Arial" w:eastAsia="Arial" w:hAnsi="Arial"/>
                <w:sz w:val="16"/>
                <w:szCs w:val="16"/>
                <w:color w:val="0000FF"/>
                <w:w w:val="95"/>
              </w:rPr>
            </w:pPr>
            <w:hyperlink r:id="rId23">
              <w:r>
                <w:rPr>
                  <w:rFonts w:ascii="Arial" w:cs="Arial" w:eastAsia="Arial" w:hAnsi="Arial"/>
                  <w:sz w:val="16"/>
                  <w:szCs w:val="16"/>
                  <w:color w:val="0000FF"/>
                  <w:w w:val="95"/>
                </w:rPr>
                <w:t>between CM Life Sciences, Inc. and Continental Stock Transfer &amp;</w:t>
              </w:r>
            </w:hyperlink>
          </w:p>
        </w:tc>
        <w:tc>
          <w:tcPr>
            <w:tcW w:w="1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3">
              <w:r>
                <w:rPr>
                  <w:rFonts w:ascii="Arial" w:cs="Arial" w:eastAsia="Arial" w:hAnsi="Arial"/>
                  <w:sz w:val="16"/>
                  <w:szCs w:val="16"/>
                  <w:color w:val="0000FF"/>
                </w:rPr>
                <w:t>Trust Company, as warrant agent.</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gridSpan w:val="2"/>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98"/>
              </w:rPr>
              <w:t>4.4*</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4">
              <w:r>
                <w:rPr>
                  <w:rFonts w:ascii="Arial" w:cs="Arial" w:eastAsia="Arial" w:hAnsi="Arial"/>
                  <w:sz w:val="16"/>
                  <w:szCs w:val="16"/>
                  <w:color w:val="0000FF"/>
                </w:rPr>
                <w:t>Description of Securities</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4"/>
              </w:rPr>
              <w:t>10-K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4.4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03/14/2022</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2"/>
              </w:rPr>
            </w:pPr>
            <w:hyperlink r:id="rId25">
              <w:r>
                <w:rPr>
                  <w:rFonts w:ascii="Arial" w:cs="Arial" w:eastAsia="Arial" w:hAnsi="Arial"/>
                  <w:sz w:val="16"/>
                  <w:szCs w:val="16"/>
                  <w:color w:val="0000FF"/>
                  <w:w w:val="92"/>
                </w:rPr>
                <w:t>Amended and Restated Registration Rights Agreement, dated as of</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w w:val="90"/>
              </w:rPr>
            </w:pPr>
            <w:hyperlink r:id="rId25">
              <w:r>
                <w:rPr>
                  <w:rFonts w:ascii="Arial" w:cs="Arial" w:eastAsia="Arial" w:hAnsi="Arial"/>
                  <w:sz w:val="16"/>
                  <w:szCs w:val="16"/>
                  <w:color w:val="0000FF"/>
                  <w:w w:val="90"/>
                </w:rPr>
                <w:t>July 22, 2021, by and among the Company, certain equity holders</w:t>
              </w:r>
            </w:hyperlink>
          </w:p>
        </w:tc>
        <w:tc>
          <w:tcPr>
            <w:tcW w:w="200" w:type="dxa"/>
            <w:vAlign w:val="bottom"/>
            <w:tcBorders>
              <w:top w:val="single" w:sz="8" w:color="CCEEFF"/>
            </w:tcBorders>
            <w:gridSpan w:val="2"/>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52"/>
        </w:trPr>
        <w:tc>
          <w:tcPr>
            <w:tcW w:w="9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right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w w:val="97"/>
              </w:rPr>
            </w:pPr>
            <w:hyperlink r:id="rId25">
              <w:r>
                <w:rPr>
                  <w:rFonts w:ascii="Arial" w:cs="Arial" w:eastAsia="Arial" w:hAnsi="Arial"/>
                  <w:sz w:val="16"/>
                  <w:szCs w:val="16"/>
                  <w:color w:val="0000FF"/>
                  <w:w w:val="97"/>
                </w:rPr>
                <w:t>of the Company named therein and certain equity holders of</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384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rPr>
            </w:pPr>
            <w:hyperlink r:id="rId25">
              <w:r>
                <w:rPr>
                  <w:rFonts w:ascii="Arial" w:cs="Arial" w:eastAsia="Arial" w:hAnsi="Arial"/>
                  <w:sz w:val="16"/>
                  <w:szCs w:val="16"/>
                  <w:color w:val="0000FF"/>
                </w:rPr>
                <w:t>Sema4 named therein.</w:t>
              </w:r>
            </w:hyperlink>
          </w:p>
        </w:tc>
        <w:tc>
          <w:tcPr>
            <w:tcW w:w="24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10.2</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6">
              <w:r>
                <w:rPr>
                  <w:rFonts w:ascii="Arial" w:cs="Arial" w:eastAsia="Arial" w:hAnsi="Arial"/>
                  <w:sz w:val="16"/>
                  <w:szCs w:val="16"/>
                  <w:color w:val="0000FF"/>
                </w:rPr>
                <w:t>Form Director of and Officer Indemnification Agreement.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10.3</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27">
              <w:r>
                <w:rPr>
                  <w:rFonts w:ascii="Arial" w:cs="Arial" w:eastAsia="Arial" w:hAnsi="Arial"/>
                  <w:sz w:val="16"/>
                  <w:szCs w:val="16"/>
                  <w:color w:val="0000FF"/>
                </w:rPr>
                <w:t>2021 Equity Incentive Award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10.4</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5"/>
              </w:rPr>
            </w:pPr>
            <w:hyperlink r:id="rId28">
              <w:r>
                <w:rPr>
                  <w:rFonts w:ascii="Arial" w:cs="Arial" w:eastAsia="Arial" w:hAnsi="Arial"/>
                  <w:sz w:val="16"/>
                  <w:szCs w:val="16"/>
                  <w:color w:val="0000FF"/>
                  <w:w w:val="95"/>
                </w:rPr>
                <w:t>Form of Stock Option Agreement under the 2021 Incentive Award</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5"/>
        </w:trPr>
        <w:tc>
          <w:tcPr>
            <w:tcW w:w="9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28">
              <w:r>
                <w:rPr>
                  <w:rFonts w:ascii="Arial" w:cs="Arial" w:eastAsia="Arial" w:hAnsi="Arial"/>
                  <w:sz w:val="16"/>
                  <w:szCs w:val="16"/>
                  <w:color w:val="0000FF"/>
                </w:rPr>
                <w:t>Plan.</w:t>
              </w:r>
            </w:hyperlink>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gridSpan w:val="3"/>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CCEEFF"/>
            </w:tcBorders>
            <w:shd w:val="clear" w:color="auto" w:fill="CCEEFF"/>
          </w:tcPr>
          <w:p>
            <w:pPr>
              <w:spacing w:after="0"/>
              <w:rPr>
                <w:sz w:val="16"/>
                <w:szCs w:val="16"/>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4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10.5</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9"/>
              </w:rPr>
            </w:pPr>
            <w:hyperlink r:id="rId29">
              <w:r>
                <w:rPr>
                  <w:rFonts w:ascii="Arial" w:cs="Arial" w:eastAsia="Arial" w:hAnsi="Arial"/>
                  <w:sz w:val="16"/>
                  <w:szCs w:val="16"/>
                  <w:color w:val="0000FF"/>
                  <w:w w:val="99"/>
                </w:rPr>
                <w:t>Form of RSU Agreement under the 2021 Incentive Award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10.6</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30">
              <w:r>
                <w:rPr>
                  <w:rFonts w:ascii="Arial" w:cs="Arial" w:eastAsia="Arial" w:hAnsi="Arial"/>
                  <w:sz w:val="16"/>
                  <w:szCs w:val="16"/>
                  <w:color w:val="0000FF"/>
                </w:rPr>
                <w:t>Form of Earn-Out RSU Agreement.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205"/>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10.7</w:t>
            </w:r>
          </w:p>
        </w:tc>
        <w:tc>
          <w:tcPr>
            <w:tcW w:w="200" w:type="dxa"/>
            <w:vAlign w:val="bottom"/>
            <w:tcBorders>
              <w:right w:val="single" w:sz="8" w:color="CCEEFF"/>
            </w:tcBorders>
            <w:shd w:val="clear" w:color="auto" w:fill="CCEEFF"/>
          </w:tcPr>
          <w:p>
            <w:pPr>
              <w:spacing w:after="0"/>
              <w:rPr>
                <w:sz w:val="17"/>
                <w:szCs w:val="17"/>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rPr>
            </w:pPr>
            <w:hyperlink r:id="rId31">
              <w:r>
                <w:rPr>
                  <w:rFonts w:ascii="Arial" w:cs="Arial" w:eastAsia="Arial" w:hAnsi="Arial"/>
                  <w:sz w:val="16"/>
                  <w:szCs w:val="16"/>
                  <w:color w:val="0000FF"/>
                </w:rPr>
                <w:t>2021 Employee Stock Purchase Plan.</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10.9</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53"/>
        </w:trPr>
        <w:tc>
          <w:tcPr>
            <w:tcW w:w="9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7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4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c>
          <w:tcPr>
            <w:tcW w:w="160" w:type="dxa"/>
            <w:vAlign w:val="bottom"/>
            <w:tcBorders>
              <w:top w:val="single" w:sz="8" w:color="CCEEFF"/>
            </w:tcBorders>
          </w:tcPr>
          <w:p>
            <w:pPr>
              <w:spacing w:after="0"/>
              <w:rPr>
                <w:sz w:val="4"/>
                <w:szCs w:val="4"/>
                <w:color w:val="auto"/>
              </w:rPr>
            </w:pPr>
          </w:p>
        </w:tc>
        <w:tc>
          <w:tcPr>
            <w:tcW w:w="132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1300" w:type="dxa"/>
            <w:vAlign w:val="bottom"/>
            <w:tcBorders>
              <w:top w:val="single" w:sz="8" w:color="CCEEFF"/>
            </w:tcBorders>
          </w:tcPr>
          <w:p>
            <w:pPr>
              <w:spacing w:after="0"/>
              <w:rPr>
                <w:sz w:val="4"/>
                <w:szCs w:val="4"/>
                <w:color w:val="auto"/>
              </w:rPr>
            </w:pPr>
          </w:p>
        </w:tc>
      </w:tr>
      <w:tr>
        <w:trPr>
          <w:trHeight w:val="172"/>
        </w:trPr>
        <w:tc>
          <w:tcPr>
            <w:tcW w:w="9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10.8</w:t>
            </w:r>
          </w:p>
        </w:tc>
        <w:tc>
          <w:tcPr>
            <w:tcW w:w="200" w:type="dxa"/>
            <w:vAlign w:val="bottom"/>
            <w:tcBorders>
              <w:right w:val="single" w:sz="8" w:color="CCEEFF"/>
            </w:tcBorders>
            <w:shd w:val="clear" w:color="auto" w:fill="CCEEFF"/>
          </w:tcPr>
          <w:p>
            <w:pPr>
              <w:spacing w:after="0"/>
              <w:rPr>
                <w:sz w:val="14"/>
                <w:szCs w:val="14"/>
                <w:color w:val="auto"/>
              </w:rPr>
            </w:pPr>
          </w:p>
        </w:tc>
        <w:tc>
          <w:tcPr>
            <w:tcW w:w="4460" w:type="dxa"/>
            <w:vAlign w:val="bottom"/>
            <w:gridSpan w:val="24"/>
            <w:shd w:val="clear" w:color="auto" w:fill="CCEEFF"/>
          </w:tcPr>
          <w:p>
            <w:pPr>
              <w:spacing w:after="0" w:line="172" w:lineRule="exact"/>
              <w:rPr>
                <w:rFonts w:ascii="Arial" w:cs="Arial" w:eastAsia="Arial" w:hAnsi="Arial"/>
                <w:sz w:val="16"/>
                <w:szCs w:val="16"/>
                <w:color w:val="0000FF"/>
                <w:w w:val="94"/>
              </w:rPr>
            </w:pPr>
            <w:hyperlink r:id="rId32">
              <w:r>
                <w:rPr>
                  <w:rFonts w:ascii="Arial" w:cs="Arial" w:eastAsia="Arial" w:hAnsi="Arial"/>
                  <w:sz w:val="16"/>
                  <w:szCs w:val="16"/>
                  <w:color w:val="0000FF"/>
                  <w:w w:val="94"/>
                </w:rPr>
                <w:t>Amended and Restated Employment of Agreement of Eric Schadt.</w:t>
              </w:r>
            </w:hyperlink>
          </w:p>
        </w:tc>
        <w:tc>
          <w:tcPr>
            <w:tcW w:w="1480" w:type="dxa"/>
            <w:vAlign w:val="bottom"/>
            <w:gridSpan w:val="2"/>
            <w:shd w:val="clear" w:color="auto" w:fill="CCEEFF"/>
          </w:tcPr>
          <w:p>
            <w:pPr>
              <w:jc w:val="center"/>
              <w:ind w:right="160"/>
              <w:spacing w:after="0" w:line="172" w:lineRule="exact"/>
              <w:rPr>
                <w:sz w:val="20"/>
                <w:szCs w:val="20"/>
                <w:color w:val="auto"/>
              </w:rPr>
            </w:pPr>
            <w:r>
              <w:rPr>
                <w:rFonts w:ascii="Arial" w:cs="Arial" w:eastAsia="Arial" w:hAnsi="Arial"/>
                <w:sz w:val="16"/>
                <w:szCs w:val="16"/>
                <w:color w:val="auto"/>
                <w:w w:val="96"/>
              </w:rPr>
              <w:t>8-K</w:t>
            </w:r>
          </w:p>
        </w:tc>
        <w:tc>
          <w:tcPr>
            <w:tcW w:w="130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9"/>
              </w:rPr>
              <w:t>10.10</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07/28/2021</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33"/>
        </w:trPr>
        <w:tc>
          <w:tcPr>
            <w:tcW w:w="9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right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393" w:right="3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17"/>
        </w:trPr>
        <w:tc>
          <w:tcPr>
            <w:tcW w:w="11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w w:val="89"/>
              </w:rPr>
              <w:t>10.9</w:t>
            </w:r>
          </w:p>
        </w:tc>
        <w:tc>
          <w:tcPr>
            <w:tcW w:w="4340" w:type="dxa"/>
            <w:vAlign w:val="bottom"/>
            <w:gridSpan w:val="31"/>
            <w:shd w:val="clear" w:color="auto" w:fill="CCEEFF"/>
          </w:tcPr>
          <w:p>
            <w:pPr>
              <w:spacing w:after="0"/>
              <w:rPr>
                <w:rFonts w:ascii="Arial" w:cs="Arial" w:eastAsia="Arial" w:hAnsi="Arial"/>
                <w:sz w:val="16"/>
                <w:szCs w:val="16"/>
                <w:color w:val="0000FF"/>
              </w:rPr>
            </w:pPr>
            <w:hyperlink r:id="rId33">
              <w:r>
                <w:rPr>
                  <w:rFonts w:ascii="Arial" w:cs="Arial" w:eastAsia="Arial" w:hAnsi="Arial"/>
                  <w:sz w:val="16"/>
                  <w:szCs w:val="16"/>
                  <w:color w:val="0000FF"/>
                </w:rPr>
                <w:t>Employment Agreement of Isaac Ro.</w:t>
              </w:r>
            </w:hyperlink>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rPr>
                <w:sz w:val="20"/>
                <w:szCs w:val="20"/>
                <w:color w:val="auto"/>
              </w:rPr>
            </w:pPr>
            <w:r>
              <w:rPr>
                <w:rFonts w:ascii="Arial" w:cs="Arial" w:eastAsia="Arial" w:hAnsi="Arial"/>
                <w:sz w:val="16"/>
                <w:szCs w:val="16"/>
                <w:color w:val="auto"/>
                <w:w w:val="89"/>
              </w:rPr>
              <w:t>10.11</w:t>
            </w:r>
          </w:p>
        </w:tc>
        <w:tc>
          <w:tcPr>
            <w:tcW w:w="2880" w:type="dxa"/>
            <w:vAlign w:val="bottom"/>
            <w:shd w:val="clear" w:color="auto" w:fill="CCEEFF"/>
          </w:tcPr>
          <w:p>
            <w:pPr>
              <w:jc w:val="right"/>
              <w:ind w:right="1601"/>
              <w:spacing w:after="0"/>
              <w:rPr>
                <w:sz w:val="20"/>
                <w:szCs w:val="20"/>
                <w:color w:val="auto"/>
              </w:rPr>
            </w:pPr>
            <w:r>
              <w:rPr>
                <w:rFonts w:ascii="Arial" w:cs="Arial" w:eastAsia="Arial" w:hAnsi="Arial"/>
                <w:sz w:val="16"/>
                <w:szCs w:val="16"/>
                <w:color w:val="auto"/>
              </w:rPr>
              <w:t>07/28/2021</w:t>
            </w: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205"/>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10.10</w:t>
            </w:r>
          </w:p>
        </w:tc>
        <w:tc>
          <w:tcPr>
            <w:tcW w:w="4340" w:type="dxa"/>
            <w:vAlign w:val="bottom"/>
            <w:gridSpan w:val="31"/>
            <w:shd w:val="clear" w:color="auto" w:fill="CCEEFF"/>
          </w:tcPr>
          <w:p>
            <w:pPr>
              <w:spacing w:after="0" w:line="172" w:lineRule="exact"/>
              <w:rPr>
                <w:rFonts w:ascii="Arial" w:cs="Arial" w:eastAsia="Arial" w:hAnsi="Arial"/>
                <w:sz w:val="16"/>
                <w:szCs w:val="16"/>
                <w:color w:val="0000FF"/>
              </w:rPr>
            </w:pPr>
            <w:hyperlink r:id="rId34">
              <w:r>
                <w:rPr>
                  <w:rFonts w:ascii="Arial" w:cs="Arial" w:eastAsia="Arial" w:hAnsi="Arial"/>
                  <w:sz w:val="16"/>
                  <w:szCs w:val="16"/>
                  <w:color w:val="0000FF"/>
                </w:rPr>
                <w:t>Employment Agreement of James Coffin.</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10.13</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10.11</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35">
              <w:r>
                <w:rPr>
                  <w:rFonts w:ascii="Arial" w:cs="Arial" w:eastAsia="Arial" w:hAnsi="Arial"/>
                  <w:sz w:val="16"/>
                  <w:szCs w:val="16"/>
                  <w:color w:val="0000FF"/>
                  <w:w w:val="95"/>
                </w:rPr>
                <w:t>Sub-Sublease, dated as of June 6, 2017, by and between Icahn</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10.17</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35">
              <w:r>
                <w:rPr>
                  <w:rFonts w:ascii="Arial" w:cs="Arial" w:eastAsia="Arial" w:hAnsi="Arial"/>
                  <w:sz w:val="16"/>
                  <w:szCs w:val="16"/>
                  <w:color w:val="0000FF"/>
                  <w:w w:val="91"/>
                </w:rPr>
                <w:t>School of Medicine at Mount Sinai and the Company, as amended</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26"/>
            <w:shd w:val="clear" w:color="auto" w:fill="CCEEFF"/>
          </w:tcPr>
          <w:p>
            <w:pPr>
              <w:spacing w:after="0" w:line="152" w:lineRule="exact"/>
              <w:rPr>
                <w:rFonts w:ascii="Arial" w:cs="Arial" w:eastAsia="Arial" w:hAnsi="Arial"/>
                <w:sz w:val="16"/>
                <w:szCs w:val="16"/>
                <w:color w:val="0000FF"/>
              </w:rPr>
            </w:pPr>
            <w:hyperlink r:id="rId35">
              <w:r>
                <w:rPr>
                  <w:rFonts w:ascii="Arial" w:cs="Arial" w:eastAsia="Arial" w:hAnsi="Arial"/>
                  <w:sz w:val="16"/>
                  <w:szCs w:val="16"/>
                  <w:color w:val="0000FF"/>
                </w:rPr>
                <w:t>July 31, 2019.</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10.12</w:t>
            </w:r>
          </w:p>
        </w:tc>
        <w:tc>
          <w:tcPr>
            <w:tcW w:w="4340" w:type="dxa"/>
            <w:vAlign w:val="bottom"/>
            <w:gridSpan w:val="31"/>
            <w:shd w:val="clear" w:color="auto" w:fill="CCEEFF"/>
          </w:tcPr>
          <w:p>
            <w:pPr>
              <w:spacing w:after="0" w:line="172" w:lineRule="exact"/>
              <w:rPr>
                <w:rFonts w:ascii="Arial" w:cs="Arial" w:eastAsia="Arial" w:hAnsi="Arial"/>
                <w:sz w:val="16"/>
                <w:szCs w:val="16"/>
                <w:color w:val="0000FF"/>
              </w:rPr>
            </w:pPr>
            <w:hyperlink r:id="rId36">
              <w:r>
                <w:rPr>
                  <w:rFonts w:ascii="Arial" w:cs="Arial" w:eastAsia="Arial" w:hAnsi="Arial"/>
                  <w:sz w:val="16"/>
                  <w:szCs w:val="16"/>
                  <w:color w:val="0000FF"/>
                </w:rPr>
                <w:t>Sublease Agreement, dated as of November 8, 2019,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10.18</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80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w w:val="99"/>
              </w:rPr>
            </w:pPr>
            <w:hyperlink r:id="rId36">
              <w:r>
                <w:rPr>
                  <w:rFonts w:ascii="Arial" w:cs="Arial" w:eastAsia="Arial" w:hAnsi="Arial"/>
                  <w:sz w:val="16"/>
                  <w:szCs w:val="16"/>
                  <w:color w:val="0000FF"/>
                  <w:w w:val="99"/>
                </w:rPr>
                <w:t>between Marriott International, Inc. and the Company.</w:t>
              </w:r>
            </w:hyperlink>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10.13</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37">
              <w:r>
                <w:rPr>
                  <w:rFonts w:ascii="Arial" w:cs="Arial" w:eastAsia="Arial" w:hAnsi="Arial"/>
                  <w:sz w:val="16"/>
                  <w:szCs w:val="16"/>
                  <w:color w:val="0000FF"/>
                  <w:w w:val="91"/>
                </w:rPr>
                <w:t>Sublease, dated as of June 1, 2017, by and between Icahn School</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10.19</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40" w:type="dxa"/>
            <w:vAlign w:val="bottom"/>
            <w:tcBorders>
              <w:top w:val="single" w:sz="8" w:color="0000FF"/>
            </w:tcBorders>
            <w:gridSpan w:val="23"/>
            <w:shd w:val="clear" w:color="auto" w:fill="CCEEFF"/>
          </w:tcPr>
          <w:p>
            <w:pPr>
              <w:spacing w:after="0" w:line="152" w:lineRule="exact"/>
              <w:rPr>
                <w:rFonts w:ascii="Arial" w:cs="Arial" w:eastAsia="Arial" w:hAnsi="Arial"/>
                <w:sz w:val="16"/>
                <w:szCs w:val="16"/>
                <w:color w:val="0000FF"/>
                <w:w w:val="98"/>
              </w:rPr>
            </w:pPr>
            <w:hyperlink r:id="rId37">
              <w:r>
                <w:rPr>
                  <w:rFonts w:ascii="Arial" w:cs="Arial" w:eastAsia="Arial" w:hAnsi="Arial"/>
                  <w:sz w:val="16"/>
                  <w:szCs w:val="16"/>
                  <w:color w:val="0000FF"/>
                  <w:w w:val="98"/>
                </w:rPr>
                <w:t>of Medicine at Mount Sinai and the Company, as amended</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72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37">
              <w:r>
                <w:rPr>
                  <w:rFonts w:ascii="Arial" w:cs="Arial" w:eastAsia="Arial" w:hAnsi="Arial"/>
                  <w:sz w:val="16"/>
                  <w:szCs w:val="16"/>
                  <w:color w:val="0000FF"/>
                </w:rPr>
                <w:t>December 22, 2017.</w:t>
              </w:r>
            </w:hyperlink>
          </w:p>
        </w:tc>
        <w:tc>
          <w:tcPr>
            <w:tcW w:w="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right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10.14</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0"/>
              </w:rPr>
            </w:pPr>
            <w:hyperlink r:id="rId38">
              <w:r>
                <w:rPr>
                  <w:rFonts w:ascii="Arial" w:cs="Arial" w:eastAsia="Arial" w:hAnsi="Arial"/>
                  <w:sz w:val="16"/>
                  <w:szCs w:val="16"/>
                  <w:color w:val="0000FF"/>
                  <w:w w:val="90"/>
                </w:rPr>
                <w:t>Sublease, dated as of April 23, 2019, by and between Icahn School</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10.20</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0000FF"/>
            </w:tcBorders>
            <w:gridSpan w:val="29"/>
            <w:shd w:val="clear" w:color="auto" w:fill="CCEEFF"/>
          </w:tcPr>
          <w:p>
            <w:pPr>
              <w:spacing w:after="0" w:line="152" w:lineRule="exact"/>
              <w:rPr>
                <w:rFonts w:ascii="Arial" w:cs="Arial" w:eastAsia="Arial" w:hAnsi="Arial"/>
                <w:sz w:val="16"/>
                <w:szCs w:val="16"/>
                <w:color w:val="0000FF"/>
              </w:rPr>
            </w:pPr>
            <w:hyperlink r:id="rId38">
              <w:r>
                <w:rPr>
                  <w:rFonts w:ascii="Arial" w:cs="Arial" w:eastAsia="Arial" w:hAnsi="Arial"/>
                  <w:sz w:val="16"/>
                  <w:szCs w:val="16"/>
                  <w:color w:val="0000FF"/>
                </w:rPr>
                <w:t>of Medicine at Mount Sinai and the Company.</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10.15</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0"/>
              </w:rPr>
            </w:pPr>
            <w:hyperlink r:id="rId39">
              <w:r>
                <w:rPr>
                  <w:rFonts w:ascii="Arial" w:cs="Arial" w:eastAsia="Arial" w:hAnsi="Arial"/>
                  <w:sz w:val="16"/>
                  <w:szCs w:val="16"/>
                  <w:color w:val="0000FF"/>
                  <w:w w:val="90"/>
                </w:rPr>
                <w:t>Lease Agreement, dated as of January 31, 2020, by and between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10.21</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20" w:type="dxa"/>
            <w:vAlign w:val="bottom"/>
            <w:tcBorders>
              <w:top w:val="single" w:sz="8" w:color="0000FF"/>
            </w:tcBorders>
            <w:gridSpan w:val="25"/>
            <w:shd w:val="clear" w:color="auto" w:fill="CCEEFF"/>
          </w:tcPr>
          <w:p>
            <w:pPr>
              <w:spacing w:after="0" w:line="152" w:lineRule="exact"/>
              <w:rPr>
                <w:rFonts w:ascii="Arial" w:cs="Arial" w:eastAsia="Arial" w:hAnsi="Arial"/>
                <w:sz w:val="16"/>
                <w:szCs w:val="16"/>
                <w:color w:val="0000FF"/>
              </w:rPr>
            </w:pPr>
            <w:hyperlink r:id="rId39">
              <w:r>
                <w:rPr>
                  <w:rFonts w:ascii="Arial" w:cs="Arial" w:eastAsia="Arial" w:hAnsi="Arial"/>
                  <w:sz w:val="16"/>
                  <w:szCs w:val="16"/>
                  <w:color w:val="0000FF"/>
                </w:rPr>
                <w:t>Commercial Street Associates, LLC and the Company.</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93"/>
        </w:trPr>
        <w:tc>
          <w:tcPr>
            <w:tcW w:w="1120" w:type="dxa"/>
            <w:vAlign w:val="bottom"/>
            <w:tcBorders>
              <w:top w:val="single" w:sz="8" w:color="CCEE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2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220" w:type="dxa"/>
            <w:vAlign w:val="bottom"/>
            <w:tcBorders>
              <w:top w:val="single" w:sz="8" w:color="0000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tcPr>
          <w:p>
            <w:pPr>
              <w:spacing w:after="0"/>
              <w:rPr>
                <w:sz w:val="8"/>
                <w:szCs w:val="8"/>
                <w:color w:val="auto"/>
              </w:rPr>
            </w:pPr>
          </w:p>
        </w:tc>
        <w:tc>
          <w:tcPr>
            <w:tcW w:w="300" w:type="dxa"/>
            <w:vAlign w:val="bottom"/>
            <w:tcBorders>
              <w:top w:val="single" w:sz="8" w:color="0000FF"/>
            </w:tcBorders>
          </w:tcPr>
          <w:p>
            <w:pPr>
              <w:spacing w:after="0"/>
              <w:rPr>
                <w:sz w:val="8"/>
                <w:szCs w:val="8"/>
                <w:color w:val="auto"/>
              </w:rPr>
            </w:pPr>
          </w:p>
        </w:tc>
        <w:tc>
          <w:tcPr>
            <w:tcW w:w="80" w:type="dxa"/>
            <w:vAlign w:val="bottom"/>
            <w:tcBorders>
              <w:top w:val="single" w:sz="8" w:color="0000FF"/>
            </w:tcBorders>
          </w:tcPr>
          <w:p>
            <w:pPr>
              <w:spacing w:after="0"/>
              <w:rPr>
                <w:sz w:val="8"/>
                <w:szCs w:val="8"/>
                <w:color w:val="auto"/>
              </w:rPr>
            </w:pPr>
          </w:p>
        </w:tc>
        <w:tc>
          <w:tcPr>
            <w:tcW w:w="38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520" w:type="dxa"/>
            <w:vAlign w:val="bottom"/>
            <w:tcBorders>
              <w:top w:val="single" w:sz="8" w:color="CCEEFF"/>
            </w:tcBorders>
          </w:tcPr>
          <w:p>
            <w:pPr>
              <w:spacing w:after="0"/>
              <w:rPr>
                <w:sz w:val="8"/>
                <w:szCs w:val="8"/>
                <w:color w:val="auto"/>
              </w:rPr>
            </w:pPr>
          </w:p>
        </w:tc>
        <w:tc>
          <w:tcPr>
            <w:tcW w:w="1380" w:type="dxa"/>
            <w:vAlign w:val="bottom"/>
            <w:tcBorders>
              <w:top w:val="single" w:sz="8" w:color="CCEEFF"/>
            </w:tcBorders>
          </w:tcPr>
          <w:p>
            <w:pPr>
              <w:spacing w:after="0"/>
              <w:rPr>
                <w:sz w:val="8"/>
                <w:szCs w:val="8"/>
                <w:color w:val="auto"/>
              </w:rPr>
            </w:pPr>
          </w:p>
        </w:tc>
        <w:tc>
          <w:tcPr>
            <w:tcW w:w="2880" w:type="dxa"/>
            <w:vAlign w:val="bottom"/>
            <w:tcBorders>
              <w:top w:val="single" w:sz="8" w:color="CCEEFF"/>
            </w:tcBorders>
          </w:tcPr>
          <w:p>
            <w:pPr>
              <w:spacing w:after="0"/>
              <w:rPr>
                <w:sz w:val="8"/>
                <w:szCs w:val="8"/>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10.16#</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8"/>
              </w:rPr>
            </w:pPr>
            <w:hyperlink r:id="rId40">
              <w:r>
                <w:rPr>
                  <w:rFonts w:ascii="Arial" w:cs="Arial" w:eastAsia="Arial" w:hAnsi="Arial"/>
                  <w:sz w:val="16"/>
                  <w:szCs w:val="16"/>
                  <w:color w:val="0000FF"/>
                  <w:w w:val="98"/>
                </w:rPr>
                <w:t>Master Services Agreement, dated as of April 2, 2018,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10.22</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CCEEFF"/>
            </w:tcBorders>
            <w:gridSpan w:val="2"/>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6"/>
              </w:rPr>
            </w:pPr>
            <w:hyperlink r:id="rId40">
              <w:r>
                <w:rPr>
                  <w:rFonts w:ascii="Arial" w:cs="Arial" w:eastAsia="Arial" w:hAnsi="Arial"/>
                  <w:sz w:val="16"/>
                  <w:szCs w:val="16"/>
                  <w:color w:val="0000FF"/>
                  <w:w w:val="96"/>
                </w:rPr>
                <w:t>among the Company, Icahn School of Medicine at Mount Sinai,</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06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w w:val="90"/>
              </w:rPr>
            </w:pPr>
            <w:hyperlink r:id="rId40">
              <w:r>
                <w:rPr>
                  <w:rFonts w:ascii="Arial" w:cs="Arial" w:eastAsia="Arial" w:hAnsi="Arial"/>
                  <w:sz w:val="16"/>
                  <w:szCs w:val="16"/>
                  <w:color w:val="0000FF"/>
                  <w:w w:val="90"/>
                </w:rPr>
                <w:t>The Mount Sinai Hospital, and the parties thereto, as amended</w:t>
              </w:r>
            </w:hyperlink>
          </w:p>
        </w:tc>
        <w:tc>
          <w:tcPr>
            <w:tcW w:w="280" w:type="dxa"/>
            <w:vAlign w:val="bottom"/>
            <w:tcBorders>
              <w:top w:val="single" w:sz="8" w:color="CCEEFF"/>
            </w:tcBorders>
            <w:gridSpan w:val="12"/>
            <w:shd w:val="clear" w:color="auto" w:fill="CCEEFF"/>
          </w:tcPr>
          <w:p>
            <w:pPr>
              <w:spacing w:after="0" w:line="152" w:lineRule="exact"/>
              <w:rPr>
                <w:rFonts w:ascii="Arial" w:cs="Arial" w:eastAsia="Arial" w:hAnsi="Arial"/>
                <w:sz w:val="16"/>
                <w:szCs w:val="16"/>
                <w:color w:val="0000FF"/>
                <w:w w:val="91"/>
              </w:rPr>
            </w:pPr>
            <w:hyperlink r:id="rId40">
              <w:r>
                <w:rPr>
                  <w:rFonts w:ascii="Arial" w:cs="Arial" w:eastAsia="Arial" w:hAnsi="Arial"/>
                  <w:sz w:val="16"/>
                  <w:szCs w:val="16"/>
                  <w:color w:val="0000FF"/>
                  <w:w w:val="91"/>
                </w:rPr>
                <w:t>July</w:t>
              </w:r>
            </w:hyperlink>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0000FF"/>
            </w:tcBorders>
            <w:gridSpan w:val="2"/>
            <w:shd w:val="clear" w:color="auto" w:fill="CCEEFF"/>
          </w:tcPr>
          <w:p>
            <w:pPr>
              <w:spacing w:after="0" w:line="152" w:lineRule="exact"/>
              <w:rPr>
                <w:rFonts w:ascii="Arial" w:cs="Arial" w:eastAsia="Arial" w:hAnsi="Arial"/>
                <w:sz w:val="16"/>
                <w:szCs w:val="16"/>
                <w:color w:val="0000FF"/>
              </w:rPr>
            </w:pPr>
            <w:hyperlink r:id="rId40">
              <w:r>
                <w:rPr>
                  <w:rFonts w:ascii="Arial" w:cs="Arial" w:eastAsia="Arial" w:hAnsi="Arial"/>
                  <w:sz w:val="16"/>
                  <w:szCs w:val="16"/>
                  <w:color w:val="0000FF"/>
                </w:rPr>
                <w:t>31, 2019.</w:t>
              </w:r>
            </w:hyperlink>
          </w:p>
        </w:tc>
        <w:tc>
          <w:tcPr>
            <w:tcW w:w="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58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30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38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180" w:type="dxa"/>
            <w:vAlign w:val="bottom"/>
            <w:tcBorders>
              <w:top w:val="single" w:sz="8" w:color="0000FF"/>
              <w:right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93"/>
        </w:trPr>
        <w:tc>
          <w:tcPr>
            <w:tcW w:w="1120" w:type="dxa"/>
            <w:vAlign w:val="bottom"/>
            <w:tcBorders>
              <w:top w:val="single" w:sz="8" w:color="CCEEFF"/>
            </w:tcBorders>
          </w:tcPr>
          <w:p>
            <w:pPr>
              <w:spacing w:after="0"/>
              <w:rPr>
                <w:sz w:val="8"/>
                <w:szCs w:val="8"/>
                <w:color w:val="auto"/>
              </w:rPr>
            </w:pPr>
          </w:p>
        </w:tc>
        <w:tc>
          <w:tcPr>
            <w:tcW w:w="580" w:type="dxa"/>
            <w:vAlign w:val="bottom"/>
            <w:tcBorders>
              <w:top w:val="single" w:sz="8" w:color="0000FF"/>
            </w:tcBorders>
          </w:tcPr>
          <w:p>
            <w:pPr>
              <w:spacing w:after="0"/>
              <w:rPr>
                <w:sz w:val="8"/>
                <w:szCs w:val="8"/>
                <w:color w:val="auto"/>
              </w:rPr>
            </w:pPr>
          </w:p>
        </w:tc>
        <w:tc>
          <w:tcPr>
            <w:tcW w:w="3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5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28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38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8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20" w:type="dxa"/>
            <w:vAlign w:val="bottom"/>
            <w:tcBorders>
              <w:top w:val="single" w:sz="8" w:color="CCEEFF"/>
            </w:tcBorders>
          </w:tcPr>
          <w:p>
            <w:pPr>
              <w:spacing w:after="0"/>
              <w:rPr>
                <w:sz w:val="8"/>
                <w:szCs w:val="8"/>
                <w:color w:val="auto"/>
              </w:rPr>
            </w:pPr>
          </w:p>
        </w:tc>
        <w:tc>
          <w:tcPr>
            <w:tcW w:w="1520" w:type="dxa"/>
            <w:vAlign w:val="bottom"/>
            <w:tcBorders>
              <w:top w:val="single" w:sz="8" w:color="CCEEFF"/>
            </w:tcBorders>
          </w:tcPr>
          <w:p>
            <w:pPr>
              <w:spacing w:after="0"/>
              <w:rPr>
                <w:sz w:val="8"/>
                <w:szCs w:val="8"/>
                <w:color w:val="auto"/>
              </w:rPr>
            </w:pPr>
          </w:p>
        </w:tc>
        <w:tc>
          <w:tcPr>
            <w:tcW w:w="1380" w:type="dxa"/>
            <w:vAlign w:val="bottom"/>
            <w:tcBorders>
              <w:top w:val="single" w:sz="8" w:color="CCEEFF"/>
            </w:tcBorders>
          </w:tcPr>
          <w:p>
            <w:pPr>
              <w:spacing w:after="0"/>
              <w:rPr>
                <w:sz w:val="8"/>
                <w:szCs w:val="8"/>
                <w:color w:val="auto"/>
              </w:rPr>
            </w:pPr>
          </w:p>
        </w:tc>
        <w:tc>
          <w:tcPr>
            <w:tcW w:w="2880" w:type="dxa"/>
            <w:vAlign w:val="bottom"/>
            <w:tcBorders>
              <w:top w:val="single" w:sz="8" w:color="CCEEFF"/>
            </w:tcBorders>
          </w:tcPr>
          <w:p>
            <w:pPr>
              <w:spacing w:after="0"/>
              <w:rPr>
                <w:sz w:val="8"/>
                <w:szCs w:val="8"/>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10.17#</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7"/>
              </w:rPr>
            </w:pPr>
            <w:hyperlink r:id="rId41">
              <w:r>
                <w:rPr>
                  <w:rFonts w:ascii="Arial" w:cs="Arial" w:eastAsia="Arial" w:hAnsi="Arial"/>
                  <w:sz w:val="16"/>
                  <w:szCs w:val="16"/>
                  <w:color w:val="0000FF"/>
                  <w:w w:val="97"/>
                </w:rPr>
                <w:t>Master Services Agreement, dated as of May 10, 2018,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10.23</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bottom w:val="single" w:sz="8" w:color="CCEEFF"/>
            </w:tcBorders>
            <w:shd w:val="clear" w:color="auto" w:fill="CCEEFF"/>
          </w:tcPr>
          <w:p>
            <w:pPr>
              <w:spacing w:after="0"/>
              <w:rPr>
                <w:sz w:val="13"/>
                <w:szCs w:val="13"/>
                <w:color w:val="auto"/>
              </w:rPr>
            </w:pPr>
          </w:p>
        </w:tc>
        <w:tc>
          <w:tcPr>
            <w:tcW w:w="3980" w:type="dxa"/>
            <w:vAlign w:val="bottom"/>
            <w:tcBorders>
              <w:top w:val="single" w:sz="8" w:color="0000FF"/>
              <w:bottom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w w:val="89"/>
              </w:rPr>
            </w:pPr>
            <w:hyperlink r:id="rId41">
              <w:r>
                <w:rPr>
                  <w:rFonts w:ascii="Arial" w:cs="Arial" w:eastAsia="Arial" w:hAnsi="Arial"/>
                  <w:sz w:val="16"/>
                  <w:szCs w:val="16"/>
                  <w:color w:val="0000FF"/>
                  <w:w w:val="89"/>
                </w:rPr>
                <w:t>between the Company and Icahn School of Medicine at Mount</w:t>
              </w:r>
            </w:hyperlink>
          </w:p>
        </w:tc>
        <w:tc>
          <w:tcPr>
            <w:tcW w:w="10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5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28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85"/>
        </w:trPr>
        <w:tc>
          <w:tcPr>
            <w:tcW w:w="1120" w:type="dxa"/>
            <w:vAlign w:val="bottom"/>
            <w:shd w:val="clear" w:color="auto" w:fill="CCEEFF"/>
          </w:tcPr>
          <w:p>
            <w:pPr>
              <w:spacing w:after="0"/>
              <w:rPr>
                <w:sz w:val="16"/>
                <w:szCs w:val="16"/>
                <w:color w:val="auto"/>
              </w:rPr>
            </w:pPr>
          </w:p>
        </w:tc>
        <w:tc>
          <w:tcPr>
            <w:tcW w:w="3980" w:type="dxa"/>
            <w:vAlign w:val="bottom"/>
            <w:tcBorders>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41">
              <w:r>
                <w:rPr>
                  <w:rFonts w:ascii="Arial" w:cs="Arial" w:eastAsia="Arial" w:hAnsi="Arial"/>
                  <w:sz w:val="16"/>
                  <w:szCs w:val="16"/>
                  <w:color w:val="0000FF"/>
                </w:rPr>
                <w:t>Sinai, as amended July 31, 2019.</w:t>
              </w:r>
            </w:hyperlink>
          </w:p>
        </w:tc>
        <w:tc>
          <w:tcPr>
            <w:tcW w:w="100" w:type="dxa"/>
            <w:vAlign w:val="bottom"/>
            <w:gridSpan w:val="2"/>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60" w:type="dxa"/>
            <w:vAlign w:val="bottom"/>
            <w:gridSpan w:val="3"/>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10.18#</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42">
              <w:r>
                <w:rPr>
                  <w:rFonts w:ascii="Arial" w:cs="Arial" w:eastAsia="Arial" w:hAnsi="Arial"/>
                  <w:sz w:val="16"/>
                  <w:szCs w:val="16"/>
                  <w:color w:val="0000FF"/>
                  <w:w w:val="95"/>
                </w:rPr>
                <w:t>Data Structuring and Curation Agreement, dated as of August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10.24</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w w:val="91"/>
              </w:rPr>
            </w:pPr>
            <w:hyperlink r:id="rId42">
              <w:r>
                <w:rPr>
                  <w:rFonts w:ascii="Arial" w:cs="Arial" w:eastAsia="Arial" w:hAnsi="Arial"/>
                  <w:sz w:val="16"/>
                  <w:szCs w:val="16"/>
                  <w:color w:val="0000FF"/>
                  <w:w w:val="91"/>
                </w:rPr>
                <w:t>2019, by and between Icahn School of Medicine at Mount Sinai</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08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42">
              <w:r>
                <w:rPr>
                  <w:rFonts w:ascii="Arial" w:cs="Arial" w:eastAsia="Arial" w:hAnsi="Arial"/>
                  <w:sz w:val="16"/>
                  <w:szCs w:val="16"/>
                  <w:color w:val="0000FF"/>
                </w:rPr>
                <w:t>and the Company, as amended March 11, 2020.</w:t>
              </w:r>
            </w:hyperlink>
          </w:p>
        </w:tc>
        <w:tc>
          <w:tcPr>
            <w:tcW w:w="4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10.19#</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43">
              <w:r>
                <w:rPr>
                  <w:rFonts w:ascii="Arial" w:cs="Arial" w:eastAsia="Arial" w:hAnsi="Arial"/>
                  <w:sz w:val="16"/>
                  <w:szCs w:val="16"/>
                  <w:color w:val="0000FF"/>
                  <w:w w:val="91"/>
                </w:rPr>
                <w:t>BioMe Biospecimen and Data Access Agreement, dated as of July</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10.25</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27"/>
            <w:shd w:val="clear" w:color="auto" w:fill="CCEEFF"/>
          </w:tcPr>
          <w:p>
            <w:pPr>
              <w:spacing w:after="0" w:line="152" w:lineRule="exact"/>
              <w:rPr>
                <w:rFonts w:ascii="Arial" w:cs="Arial" w:eastAsia="Arial" w:hAnsi="Arial"/>
                <w:sz w:val="16"/>
                <w:szCs w:val="16"/>
                <w:color w:val="0000FF"/>
                <w:w w:val="97"/>
              </w:rPr>
            </w:pPr>
            <w:hyperlink r:id="rId43">
              <w:r>
                <w:rPr>
                  <w:rFonts w:ascii="Arial" w:cs="Arial" w:eastAsia="Arial" w:hAnsi="Arial"/>
                  <w:sz w:val="16"/>
                  <w:szCs w:val="16"/>
                  <w:color w:val="0000FF"/>
                  <w:w w:val="97"/>
                </w:rPr>
                <w:t>19, 2019, by and between Icahn School of Medicine at Mount</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98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rPr>
            </w:pPr>
            <w:hyperlink r:id="rId43">
              <w:r>
                <w:rPr>
                  <w:rFonts w:ascii="Arial" w:cs="Arial" w:eastAsia="Arial" w:hAnsi="Arial"/>
                  <w:sz w:val="16"/>
                  <w:szCs w:val="16"/>
                  <w:color w:val="0000FF"/>
                </w:rPr>
                <w:t>Sinai and the Company.</w:t>
              </w:r>
            </w:hyperlink>
          </w:p>
        </w:tc>
        <w:tc>
          <w:tcPr>
            <w:tcW w:w="140" w:type="dxa"/>
            <w:vAlign w:val="bottom"/>
            <w:tcBorders>
              <w:top w:val="single" w:sz="8" w:color="CCEEFF"/>
            </w:tcBorders>
            <w:gridSpan w:val="4"/>
            <w:shd w:val="clear" w:color="auto" w:fill="CCEEFF"/>
          </w:tcPr>
          <w:p>
            <w:pPr>
              <w:spacing w:after="0"/>
              <w:rPr>
                <w:sz w:val="16"/>
                <w:szCs w:val="16"/>
                <w:color w:val="auto"/>
              </w:rPr>
            </w:pPr>
          </w:p>
        </w:tc>
        <w:tc>
          <w:tcPr>
            <w:tcW w:w="8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10.20#</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8"/>
              </w:rPr>
            </w:pPr>
            <w:hyperlink r:id="rId44">
              <w:r>
                <w:rPr>
                  <w:rFonts w:ascii="Arial" w:cs="Arial" w:eastAsia="Arial" w:hAnsi="Arial"/>
                  <w:sz w:val="16"/>
                  <w:szCs w:val="16"/>
                  <w:color w:val="0000FF"/>
                  <w:w w:val="98"/>
                </w:rPr>
                <w:t>Non-Exclusive Patent License Agreement, dated as of June 1,</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10.26</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20"/>
        </w:trPr>
        <w:tc>
          <w:tcPr>
            <w:tcW w:w="1120" w:type="dxa"/>
            <w:vAlign w:val="bottom"/>
            <w:shd w:val="clear" w:color="auto" w:fill="CCEE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2420" w:type="dxa"/>
            <w:vAlign w:val="bottom"/>
            <w:gridSpan w:val="8"/>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CCEEFF"/>
            </w:tcBorders>
            <w:gridSpan w:val="2"/>
            <w:shd w:val="clear" w:color="auto" w:fill="0000FF"/>
          </w:tcPr>
          <w:p>
            <w:pPr>
              <w:spacing w:after="0" w:line="20" w:lineRule="exact"/>
              <w:rPr>
                <w:sz w:val="1"/>
                <w:szCs w:val="1"/>
                <w:color w:val="auto"/>
              </w:rPr>
            </w:pPr>
          </w:p>
        </w:tc>
        <w:tc>
          <w:tcPr>
            <w:tcW w:w="140" w:type="dxa"/>
            <w:vAlign w:val="bottom"/>
            <w:gridSpan w:val="4"/>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80" w:type="dxa"/>
            <w:vAlign w:val="bottom"/>
            <w:gridSpan w:val="4"/>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r>
      <w:tr>
        <w:trPr>
          <w:trHeight w:val="152"/>
        </w:trPr>
        <w:tc>
          <w:tcPr>
            <w:tcW w:w="1120" w:type="dxa"/>
            <w:vAlign w:val="bottom"/>
            <w:shd w:val="clear" w:color="auto" w:fill="CCEEFF"/>
          </w:tcPr>
          <w:p>
            <w:pPr>
              <w:spacing w:after="0"/>
              <w:rPr>
                <w:sz w:val="13"/>
                <w:szCs w:val="13"/>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44">
              <w:r>
                <w:rPr>
                  <w:rFonts w:ascii="Arial" w:cs="Arial" w:eastAsia="Arial" w:hAnsi="Arial"/>
                  <w:sz w:val="16"/>
                  <w:szCs w:val="16"/>
                  <w:color w:val="0000FF"/>
                  <w:w w:val="91"/>
                </w:rPr>
                <w:t>2017, by and between the Company and Icahn School of Medicine</w:t>
              </w:r>
            </w:hyperlink>
          </w:p>
        </w:tc>
        <w:tc>
          <w:tcPr>
            <w:tcW w:w="15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28"/>
            <w:shd w:val="clear" w:color="auto" w:fill="CCEEFF"/>
          </w:tcPr>
          <w:p>
            <w:pPr>
              <w:spacing w:after="0" w:line="152" w:lineRule="exact"/>
              <w:rPr>
                <w:rFonts w:ascii="Arial" w:cs="Arial" w:eastAsia="Arial" w:hAnsi="Arial"/>
                <w:sz w:val="16"/>
                <w:szCs w:val="16"/>
                <w:color w:val="0000FF"/>
              </w:rPr>
            </w:pPr>
            <w:hyperlink r:id="rId44">
              <w:r>
                <w:rPr>
                  <w:rFonts w:ascii="Arial" w:cs="Arial" w:eastAsia="Arial" w:hAnsi="Arial"/>
                  <w:sz w:val="16"/>
                  <w:szCs w:val="16"/>
                  <w:color w:val="0000FF"/>
                </w:rPr>
                <w:t>at Mount Sinai.</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5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10.21#</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1"/>
              </w:rPr>
            </w:pPr>
            <w:hyperlink r:id="rId45">
              <w:r>
                <w:rPr>
                  <w:rFonts w:ascii="Arial" w:cs="Arial" w:eastAsia="Arial" w:hAnsi="Arial"/>
                  <w:sz w:val="16"/>
                  <w:szCs w:val="16"/>
                  <w:color w:val="0000FF"/>
                  <w:w w:val="91"/>
                </w:rPr>
                <w:t>Supply Agreement, dated as of June 20, 2014, by and between the</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10.27</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07/28/2021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0000FF"/>
            </w:tcBorders>
            <w:gridSpan w:val="24"/>
            <w:shd w:val="clear" w:color="auto" w:fill="CCEEFF"/>
          </w:tcPr>
          <w:p>
            <w:pPr>
              <w:spacing w:after="0" w:line="152" w:lineRule="exact"/>
              <w:rPr>
                <w:rFonts w:ascii="Arial" w:cs="Arial" w:eastAsia="Arial" w:hAnsi="Arial"/>
                <w:sz w:val="16"/>
                <w:szCs w:val="16"/>
                <w:color w:val="0000FF"/>
              </w:rPr>
            </w:pPr>
            <w:hyperlink r:id="rId45">
              <w:r>
                <w:rPr>
                  <w:rFonts w:ascii="Arial" w:cs="Arial" w:eastAsia="Arial" w:hAnsi="Arial"/>
                  <w:sz w:val="16"/>
                  <w:szCs w:val="16"/>
                  <w:color w:val="0000FF"/>
                </w:rPr>
                <w:t>Company and Illumina, Inc., and amendments thereto.</w:t>
              </w:r>
            </w:hyperlink>
          </w:p>
        </w:tc>
        <w:tc>
          <w:tcPr>
            <w:tcW w:w="100" w:type="dxa"/>
            <w:vAlign w:val="bottom"/>
            <w:tcBorders>
              <w:top w:val="single" w:sz="8" w:color="CCEEFF"/>
            </w:tcBorders>
            <w:gridSpan w:val="5"/>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10.22</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5"/>
              </w:rPr>
            </w:pPr>
            <w:hyperlink r:id="rId46">
              <w:r>
                <w:rPr>
                  <w:rFonts w:ascii="Arial" w:cs="Arial" w:eastAsia="Arial" w:hAnsi="Arial"/>
                  <w:sz w:val="16"/>
                  <w:szCs w:val="16"/>
                  <w:color w:val="0000FF"/>
                  <w:w w:val="95"/>
                </w:rPr>
                <w:t>Mount  Sinai  Genomics,  Inc.  2017  Equity  Incentive  Plan,  as</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w w:val="88"/>
              </w:rPr>
              <w:t>S-8</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99.6</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09/27/2021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0000FF"/>
            </w:tcBorders>
            <w:gridSpan w:val="30"/>
            <w:shd w:val="clear" w:color="auto" w:fill="CCEEFF"/>
          </w:tcPr>
          <w:p>
            <w:pPr>
              <w:spacing w:after="0" w:line="152" w:lineRule="exact"/>
              <w:rPr>
                <w:rFonts w:ascii="Arial" w:cs="Arial" w:eastAsia="Arial" w:hAnsi="Arial"/>
                <w:sz w:val="16"/>
                <w:szCs w:val="16"/>
                <w:color w:val="0000FF"/>
              </w:rPr>
            </w:pPr>
            <w:hyperlink r:id="rId46">
              <w:r>
                <w:rPr>
                  <w:rFonts w:ascii="Arial" w:cs="Arial" w:eastAsia="Arial" w:hAnsi="Arial"/>
                  <w:sz w:val="16"/>
                  <w:szCs w:val="16"/>
                  <w:color w:val="0000FF"/>
                </w:rPr>
                <w:t>amended, and forms of equity agreements thereunder.</w:t>
              </w:r>
            </w:hyperlink>
          </w:p>
        </w:tc>
        <w:tc>
          <w:tcPr>
            <w:tcW w:w="2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tcBorders>
              <w:bottom w:val="single" w:sz="8" w:color="CCEEFF"/>
            </w:tcBorders>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10.23</w:t>
            </w:r>
          </w:p>
        </w:tc>
        <w:tc>
          <w:tcPr>
            <w:tcW w:w="4340" w:type="dxa"/>
            <w:vAlign w:val="bottom"/>
            <w:tcBorders>
              <w:bottom w:val="single" w:sz="8" w:color="0000FF"/>
            </w:tcBorders>
            <w:gridSpan w:val="31"/>
            <w:shd w:val="clear" w:color="auto" w:fill="CCEEFF"/>
          </w:tcPr>
          <w:p>
            <w:pPr>
              <w:spacing w:after="0" w:line="172" w:lineRule="exact"/>
              <w:rPr>
                <w:rFonts w:ascii="Arial" w:cs="Arial" w:eastAsia="Arial" w:hAnsi="Arial"/>
                <w:sz w:val="16"/>
                <w:szCs w:val="16"/>
                <w:color w:val="0000FF"/>
                <w:w w:val="96"/>
              </w:rPr>
            </w:pPr>
            <w:hyperlink r:id="rId47">
              <w:r>
                <w:rPr>
                  <w:rFonts w:ascii="Arial" w:cs="Arial" w:eastAsia="Arial" w:hAnsi="Arial"/>
                  <w:sz w:val="16"/>
                  <w:szCs w:val="16"/>
                  <w:color w:val="0000FF"/>
                  <w:w w:val="96"/>
                </w:rPr>
                <w:t>Loan and Security Agreement, dated as of November 15, 2021,</w:t>
              </w:r>
            </w:hyperlink>
          </w:p>
        </w:tc>
        <w:tc>
          <w:tcPr>
            <w:tcW w:w="1520" w:type="dxa"/>
            <w:vAlign w:val="bottom"/>
            <w:tcBorders>
              <w:bottom w:val="single" w:sz="8" w:color="CCEEFF"/>
            </w:tcBorders>
            <w:shd w:val="clear" w:color="auto" w:fill="CCEEFF"/>
          </w:tcPr>
          <w:p>
            <w:pPr>
              <w:jc w:val="center"/>
              <w:spacing w:after="0" w:line="172" w:lineRule="exact"/>
              <w:rPr>
                <w:sz w:val="20"/>
                <w:szCs w:val="20"/>
                <w:color w:val="auto"/>
              </w:rPr>
            </w:pPr>
            <w:r>
              <w:rPr>
                <w:rFonts w:ascii="Arial" w:cs="Arial" w:eastAsia="Arial" w:hAnsi="Arial"/>
                <w:sz w:val="16"/>
                <w:szCs w:val="16"/>
                <w:color w:val="auto"/>
                <w:w w:val="95"/>
              </w:rPr>
              <w:t>10-Q</w:t>
            </w:r>
          </w:p>
        </w:tc>
        <w:tc>
          <w:tcPr>
            <w:tcW w:w="1380" w:type="dxa"/>
            <w:vAlign w:val="bottom"/>
            <w:tcBorders>
              <w:bottom w:val="single" w:sz="8" w:color="CCEEFF"/>
            </w:tcBorders>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10.26</w:t>
            </w:r>
          </w:p>
        </w:tc>
        <w:tc>
          <w:tcPr>
            <w:tcW w:w="2880" w:type="dxa"/>
            <w:vAlign w:val="bottom"/>
            <w:tcBorders>
              <w:bottom w:val="single" w:sz="8" w:color="CCEEFF"/>
            </w:tcBorders>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11/15/2021</w:t>
            </w:r>
          </w:p>
        </w:tc>
      </w:tr>
      <w:tr>
        <w:trPr>
          <w:trHeight w:val="185"/>
        </w:trPr>
        <w:tc>
          <w:tcPr>
            <w:tcW w:w="1120" w:type="dxa"/>
            <w:vAlign w:val="bottom"/>
            <w:shd w:val="clear" w:color="auto" w:fill="CCEEFF"/>
          </w:tcPr>
          <w:p>
            <w:pPr>
              <w:spacing w:after="0"/>
              <w:rPr>
                <w:sz w:val="16"/>
                <w:szCs w:val="16"/>
                <w:color w:val="auto"/>
              </w:rPr>
            </w:pPr>
          </w:p>
        </w:tc>
        <w:tc>
          <w:tcPr>
            <w:tcW w:w="4340" w:type="dxa"/>
            <w:vAlign w:val="bottom"/>
            <w:gridSpan w:val="31"/>
            <w:shd w:val="clear" w:color="auto" w:fill="CCEEFF"/>
          </w:tcPr>
          <w:p>
            <w:pPr>
              <w:spacing w:after="0" w:line="152" w:lineRule="exact"/>
              <w:rPr>
                <w:rFonts w:ascii="Arial" w:cs="Arial" w:eastAsia="Arial" w:hAnsi="Arial"/>
                <w:sz w:val="16"/>
                <w:szCs w:val="16"/>
                <w:color w:val="0000FF"/>
                <w:w w:val="91"/>
              </w:rPr>
            </w:pPr>
            <w:hyperlink r:id="rId47">
              <w:r>
                <w:rPr>
                  <w:rFonts w:ascii="Arial" w:cs="Arial" w:eastAsia="Arial" w:hAnsi="Arial"/>
                  <w:sz w:val="16"/>
                  <w:szCs w:val="16"/>
                  <w:color w:val="0000FF"/>
                  <w:w w:val="91"/>
                </w:rPr>
                <w:t>between Silicon Valley Bank, the Company and Sema4 OpCo, Inc.</w:t>
              </w:r>
            </w:hyperlink>
          </w:p>
        </w:tc>
        <w:tc>
          <w:tcPr>
            <w:tcW w:w="15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10.24</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4"/>
              </w:rPr>
            </w:pPr>
            <w:hyperlink r:id="rId48">
              <w:r>
                <w:rPr>
                  <w:rFonts w:ascii="Arial" w:cs="Arial" w:eastAsia="Arial" w:hAnsi="Arial"/>
                  <w:sz w:val="16"/>
                  <w:szCs w:val="16"/>
                  <w:color w:val="0000FF"/>
                  <w:w w:val="94"/>
                </w:rPr>
                <w:t>Lockup Agreement, dated as of February 9, 2021, by and among</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10.2</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02/11/2021</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120" w:type="dxa"/>
            <w:vAlign w:val="bottom"/>
            <w:tcBorders>
              <w:top w:val="single" w:sz="8" w:color="0000FF"/>
            </w:tcBorders>
            <w:gridSpan w:val="22"/>
            <w:shd w:val="clear" w:color="auto" w:fill="CCEEFF"/>
          </w:tcPr>
          <w:p>
            <w:pPr>
              <w:spacing w:after="0" w:line="152" w:lineRule="exact"/>
              <w:rPr>
                <w:rFonts w:ascii="Arial" w:cs="Arial" w:eastAsia="Arial" w:hAnsi="Arial"/>
                <w:sz w:val="16"/>
                <w:szCs w:val="16"/>
                <w:color w:val="0000FF"/>
                <w:w w:val="98"/>
              </w:rPr>
            </w:pPr>
            <w:hyperlink r:id="rId48">
              <w:r>
                <w:rPr>
                  <w:rFonts w:ascii="Arial" w:cs="Arial" w:eastAsia="Arial" w:hAnsi="Arial"/>
                  <w:sz w:val="16"/>
                  <w:szCs w:val="16"/>
                  <w:color w:val="0000FF"/>
                  <w:w w:val="98"/>
                </w:rPr>
                <w:t>the Company and the stockholder parties identified therein.</w:t>
              </w:r>
            </w:hyperlink>
          </w:p>
        </w:tc>
        <w:tc>
          <w:tcPr>
            <w:tcW w:w="220" w:type="dxa"/>
            <w:vAlign w:val="bottom"/>
            <w:tcBorders>
              <w:top w:val="single" w:sz="8" w:color="CCEEFF"/>
            </w:tcBorders>
            <w:gridSpan w:val="9"/>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1520" w:type="dxa"/>
            <w:vAlign w:val="bottom"/>
            <w:tcBorders>
              <w:top w:val="single" w:sz="8" w:color="CCEEFF"/>
            </w:tcBorders>
          </w:tcPr>
          <w:p>
            <w:pPr>
              <w:spacing w:after="0"/>
              <w:rPr>
                <w:sz w:val="4"/>
                <w:szCs w:val="4"/>
                <w:color w:val="auto"/>
              </w:rPr>
            </w:pPr>
          </w:p>
        </w:tc>
        <w:tc>
          <w:tcPr>
            <w:tcW w:w="1380" w:type="dxa"/>
            <w:vAlign w:val="bottom"/>
            <w:tcBorders>
              <w:top w:val="single" w:sz="8" w:color="CCEEFF"/>
            </w:tcBorders>
          </w:tcPr>
          <w:p>
            <w:pPr>
              <w:spacing w:after="0"/>
              <w:rPr>
                <w:sz w:val="4"/>
                <w:szCs w:val="4"/>
                <w:color w:val="auto"/>
              </w:rPr>
            </w:pPr>
          </w:p>
        </w:tc>
        <w:tc>
          <w:tcPr>
            <w:tcW w:w="288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w w:val="89"/>
              </w:rPr>
              <w:t>10.25</w:t>
            </w:r>
          </w:p>
        </w:tc>
        <w:tc>
          <w:tcPr>
            <w:tcW w:w="4340" w:type="dxa"/>
            <w:vAlign w:val="bottom"/>
            <w:gridSpan w:val="31"/>
            <w:shd w:val="clear" w:color="auto" w:fill="CCEEFF"/>
          </w:tcPr>
          <w:p>
            <w:pPr>
              <w:spacing w:after="0" w:line="172" w:lineRule="exact"/>
              <w:rPr>
                <w:rFonts w:ascii="Arial" w:cs="Arial" w:eastAsia="Arial" w:hAnsi="Arial"/>
                <w:sz w:val="16"/>
                <w:szCs w:val="16"/>
                <w:color w:val="0000FF"/>
                <w:w w:val="97"/>
              </w:rPr>
            </w:pPr>
            <w:hyperlink r:id="rId49">
              <w:r>
                <w:rPr>
                  <w:rFonts w:ascii="Arial" w:cs="Arial" w:eastAsia="Arial" w:hAnsi="Arial"/>
                  <w:sz w:val="16"/>
                  <w:szCs w:val="16"/>
                  <w:color w:val="0000FF"/>
                  <w:w w:val="97"/>
                </w:rPr>
                <w:t>Subscription Agreement, dated as of February 9, 2021, by and</w:t>
              </w:r>
            </w:hyperlink>
          </w:p>
        </w:tc>
        <w:tc>
          <w:tcPr>
            <w:tcW w:w="1520" w:type="dxa"/>
            <w:vAlign w:val="bottom"/>
            <w:shd w:val="clear" w:color="auto" w:fill="CCEEFF"/>
          </w:tcPr>
          <w:p>
            <w:pPr>
              <w:jc w:val="center"/>
              <w:spacing w:after="0" w:line="172" w:lineRule="exact"/>
              <w:rPr>
                <w:sz w:val="20"/>
                <w:szCs w:val="20"/>
                <w:color w:val="auto"/>
              </w:rPr>
            </w:pPr>
            <w:r>
              <w:rPr>
                <w:rFonts w:ascii="Arial" w:cs="Arial" w:eastAsia="Arial" w:hAnsi="Arial"/>
                <w:sz w:val="16"/>
                <w:szCs w:val="16"/>
                <w:color w:val="auto"/>
              </w:rPr>
              <w:t>8-K</w:t>
            </w:r>
          </w:p>
        </w:tc>
        <w:tc>
          <w:tcPr>
            <w:tcW w:w="1380" w:type="dxa"/>
            <w:vAlign w:val="bottom"/>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10.1</w:t>
            </w:r>
          </w:p>
        </w:tc>
        <w:tc>
          <w:tcPr>
            <w:tcW w:w="288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02/11/2021</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3980" w:type="dxa"/>
            <w:vAlign w:val="bottom"/>
            <w:tcBorders>
              <w:top w:val="single" w:sz="8" w:color="0000FF"/>
              <w:right w:val="single" w:sz="8" w:color="CCEEFF"/>
            </w:tcBorders>
            <w:gridSpan w:val="18"/>
            <w:shd w:val="clear" w:color="auto" w:fill="CCEEFF"/>
          </w:tcPr>
          <w:p>
            <w:pPr>
              <w:spacing w:after="0" w:line="152" w:lineRule="exact"/>
              <w:rPr>
                <w:rFonts w:ascii="Arial" w:cs="Arial" w:eastAsia="Arial" w:hAnsi="Arial"/>
                <w:sz w:val="16"/>
                <w:szCs w:val="16"/>
                <w:color w:val="0000FF"/>
                <w:w w:val="99"/>
              </w:rPr>
            </w:pPr>
            <w:hyperlink r:id="rId49">
              <w:r>
                <w:rPr>
                  <w:rFonts w:ascii="Arial" w:cs="Arial" w:eastAsia="Arial" w:hAnsi="Arial"/>
                  <w:sz w:val="16"/>
                  <w:szCs w:val="16"/>
                  <w:color w:val="0000FF"/>
                  <w:w w:val="99"/>
                </w:rPr>
                <w:t>among the Company and the subscriber parties thereto.</w:t>
              </w:r>
            </w:hyperlink>
          </w:p>
        </w:tc>
        <w:tc>
          <w:tcPr>
            <w:tcW w:w="360" w:type="dxa"/>
            <w:vAlign w:val="bottom"/>
            <w:tcBorders>
              <w:top w:val="single" w:sz="8" w:color="CCEEFF"/>
            </w:tcBorders>
            <w:gridSpan w:val="13"/>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2880" w:type="dxa"/>
            <w:vAlign w:val="bottom"/>
            <w:tcBorders>
              <w:top w:val="single" w:sz="8" w:color="CCEEFF"/>
            </w:tcBorders>
            <w:shd w:val="clear" w:color="auto" w:fill="CCEEFF"/>
          </w:tcPr>
          <w:p>
            <w:pPr>
              <w:spacing w:after="0"/>
              <w:rPr>
                <w:sz w:val="13"/>
                <w:szCs w:val="13"/>
                <w:color w:val="auto"/>
              </w:rPr>
            </w:pPr>
          </w:p>
        </w:tc>
      </w:tr>
      <w:tr>
        <w:trPr>
          <w:trHeight w:val="33"/>
        </w:trPr>
        <w:tc>
          <w:tcPr>
            <w:tcW w:w="11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26" w:right="33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84"/>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4"/>
              </w:rPr>
              <w:t>10.26</w:t>
            </w:r>
          </w:p>
        </w:tc>
        <w:tc>
          <w:tcPr>
            <w:tcW w:w="4620" w:type="dxa"/>
            <w:vAlign w:val="bottom"/>
            <w:gridSpan w:val="22"/>
            <w:shd w:val="clear" w:color="auto" w:fill="CCEEFF"/>
          </w:tcPr>
          <w:p>
            <w:pPr>
              <w:spacing w:after="0"/>
              <w:rPr>
                <w:rFonts w:ascii="Arial" w:cs="Arial" w:eastAsia="Arial" w:hAnsi="Arial"/>
                <w:sz w:val="16"/>
                <w:szCs w:val="16"/>
                <w:color w:val="0000FF"/>
                <w:w w:val="98"/>
              </w:rPr>
            </w:pPr>
            <w:hyperlink r:id="rId49">
              <w:r>
                <w:rPr>
                  <w:rFonts w:ascii="Arial" w:cs="Arial" w:eastAsia="Arial" w:hAnsi="Arial"/>
                  <w:sz w:val="16"/>
                  <w:szCs w:val="16"/>
                  <w:color w:val="0000FF"/>
                  <w:w w:val="98"/>
                </w:rPr>
                <w:t>Form of Subscription Agreement, dated as of January 14, 2022 by</w:t>
              </w:r>
            </w:hyperlink>
          </w:p>
        </w:tc>
        <w:tc>
          <w:tcPr>
            <w:tcW w:w="1220" w:type="dxa"/>
            <w:vAlign w:val="bottom"/>
            <w:shd w:val="clear" w:color="auto" w:fill="CCEEFF"/>
          </w:tcPr>
          <w:p>
            <w:pPr>
              <w:jc w:val="center"/>
              <w:ind w:right="121"/>
              <w:spacing w:after="0"/>
              <w:rPr>
                <w:sz w:val="20"/>
                <w:szCs w:val="20"/>
                <w:color w:val="auto"/>
              </w:rPr>
            </w:pPr>
            <w:r>
              <w:rPr>
                <w:rFonts w:ascii="Arial" w:cs="Arial" w:eastAsia="Arial" w:hAnsi="Arial"/>
                <w:sz w:val="16"/>
                <w:szCs w:val="16"/>
                <w:color w:val="auto"/>
              </w:rPr>
              <w:t>8-K</w:t>
            </w:r>
          </w:p>
        </w:tc>
        <w:tc>
          <w:tcPr>
            <w:tcW w:w="900" w:type="dxa"/>
            <w:vAlign w:val="bottom"/>
            <w:gridSpan w:val="2"/>
            <w:shd w:val="clear" w:color="auto" w:fill="CCEEFF"/>
          </w:tcPr>
          <w:p>
            <w:pPr>
              <w:jc w:val="center"/>
              <w:ind w:left="541"/>
              <w:spacing w:after="0"/>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520" w:type="dxa"/>
            <w:vAlign w:val="bottom"/>
            <w:shd w:val="clear" w:color="auto" w:fill="CCEEFF"/>
          </w:tcPr>
          <w:p>
            <w:pPr>
              <w:spacing w:after="0"/>
              <w:rPr>
                <w:sz w:val="16"/>
                <w:szCs w:val="16"/>
                <w:color w:val="auto"/>
              </w:rPr>
            </w:pPr>
          </w:p>
        </w:tc>
        <w:tc>
          <w:tcPr>
            <w:tcW w:w="2860" w:type="dxa"/>
            <w:vAlign w:val="bottom"/>
            <w:shd w:val="clear" w:color="auto" w:fill="CCEEFF"/>
          </w:tcPr>
          <w:p>
            <w:pPr>
              <w:jc w:val="right"/>
              <w:ind w:right="1601"/>
              <w:spacing w:after="0"/>
              <w:rPr>
                <w:sz w:val="20"/>
                <w:szCs w:val="20"/>
                <w:color w:val="auto"/>
              </w:rPr>
            </w:pPr>
            <w:r>
              <w:rPr>
                <w:rFonts w:ascii="Arial" w:cs="Arial" w:eastAsia="Arial" w:hAnsi="Arial"/>
                <w:sz w:val="16"/>
                <w:szCs w:val="16"/>
                <w:color w:val="auto"/>
              </w:rPr>
              <w:t>01/18/2022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40" w:type="dxa"/>
            <w:vAlign w:val="bottom"/>
            <w:tcBorders>
              <w:top w:val="single" w:sz="8" w:color="0000FF"/>
            </w:tcBorders>
            <w:gridSpan w:val="17"/>
            <w:shd w:val="clear" w:color="auto" w:fill="CCEEFF"/>
          </w:tcPr>
          <w:p>
            <w:pPr>
              <w:spacing w:after="0" w:line="152" w:lineRule="exact"/>
              <w:rPr>
                <w:rFonts w:ascii="Arial" w:cs="Arial" w:eastAsia="Arial" w:hAnsi="Arial"/>
                <w:sz w:val="16"/>
                <w:szCs w:val="16"/>
                <w:color w:val="0000FF"/>
                <w:w w:val="92"/>
              </w:rPr>
            </w:pPr>
            <w:hyperlink r:id="rId49">
              <w:r>
                <w:rPr>
                  <w:rFonts w:ascii="Arial" w:cs="Arial" w:eastAsia="Arial" w:hAnsi="Arial"/>
                  <w:sz w:val="16"/>
                  <w:szCs w:val="16"/>
                  <w:color w:val="0000FF"/>
                  <w:w w:val="92"/>
                </w:rPr>
                <w:t>and among the Company and and the subscriber parties thereto.</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10.27</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7"/>
              </w:rPr>
            </w:pPr>
            <w:hyperlink r:id="rId50">
              <w:r>
                <w:rPr>
                  <w:rFonts w:ascii="Arial" w:cs="Arial" w:eastAsia="Arial" w:hAnsi="Arial"/>
                  <w:sz w:val="16"/>
                  <w:szCs w:val="16"/>
                  <w:color w:val="0000FF"/>
                  <w:w w:val="97"/>
                </w:rPr>
                <w:t>Form of Shareholder Agreement, dated as of January 14, 2022, by</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8-K</w:t>
            </w:r>
          </w:p>
        </w:tc>
        <w:tc>
          <w:tcPr>
            <w:tcW w:w="900" w:type="dxa"/>
            <w:vAlign w:val="bottom"/>
            <w:gridSpan w:val="2"/>
            <w:shd w:val="clear" w:color="auto" w:fill="CCEEFF"/>
          </w:tcPr>
          <w:p>
            <w:pPr>
              <w:jc w:val="center"/>
              <w:ind w:left="541"/>
              <w:spacing w:after="0" w:line="172"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p>
        </w:tc>
        <w:tc>
          <w:tcPr>
            <w:tcW w:w="52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01/18/2022</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60" w:type="dxa"/>
            <w:vAlign w:val="bottom"/>
            <w:tcBorders>
              <w:top w:val="single" w:sz="8" w:color="0000FF"/>
            </w:tcBorders>
            <w:gridSpan w:val="18"/>
            <w:shd w:val="clear" w:color="auto" w:fill="CCEEFF"/>
          </w:tcPr>
          <w:p>
            <w:pPr>
              <w:spacing w:after="0" w:line="152" w:lineRule="exact"/>
              <w:rPr>
                <w:rFonts w:ascii="Arial" w:cs="Arial" w:eastAsia="Arial" w:hAnsi="Arial"/>
                <w:sz w:val="16"/>
                <w:szCs w:val="16"/>
                <w:color w:val="0000FF"/>
                <w:w w:val="95"/>
              </w:rPr>
            </w:pPr>
            <w:hyperlink r:id="rId50">
              <w:r>
                <w:rPr>
                  <w:rFonts w:ascii="Arial" w:cs="Arial" w:eastAsia="Arial" w:hAnsi="Arial"/>
                  <w:sz w:val="16"/>
                  <w:szCs w:val="16"/>
                  <w:color w:val="0000FF"/>
                  <w:w w:val="95"/>
                </w:rPr>
                <w:t>and among the.Company and the stockholder parties identified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000" w:type="dxa"/>
            <w:vAlign w:val="bottom"/>
            <w:tcBorders>
              <w:top w:val="single" w:sz="8" w:color="0000FF"/>
            </w:tcBorders>
            <w:gridSpan w:val="10"/>
            <w:shd w:val="clear" w:color="auto" w:fill="CCEEFF"/>
          </w:tcPr>
          <w:p>
            <w:pPr>
              <w:spacing w:after="0" w:line="152" w:lineRule="exact"/>
              <w:rPr>
                <w:rFonts w:ascii="Arial" w:cs="Arial" w:eastAsia="Arial" w:hAnsi="Arial"/>
                <w:sz w:val="16"/>
                <w:szCs w:val="16"/>
                <w:color w:val="0000FF"/>
              </w:rPr>
            </w:pPr>
            <w:hyperlink r:id="rId50">
              <w:r>
                <w:rPr>
                  <w:rFonts w:ascii="Arial" w:cs="Arial" w:eastAsia="Arial" w:hAnsi="Arial"/>
                  <w:sz w:val="16"/>
                  <w:szCs w:val="16"/>
                  <w:color w:val="0000FF"/>
                </w:rPr>
                <w:t>therein.</w:t>
              </w:r>
            </w:hyperlink>
          </w:p>
        </w:tc>
        <w:tc>
          <w:tcPr>
            <w:tcW w:w="14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10.28</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9"/>
              </w:rPr>
            </w:pPr>
            <w:hyperlink r:id="rId51">
              <w:r>
                <w:rPr>
                  <w:rFonts w:ascii="Arial" w:cs="Arial" w:eastAsia="Arial" w:hAnsi="Arial"/>
                  <w:sz w:val="16"/>
                  <w:szCs w:val="16"/>
                  <w:color w:val="0000FF"/>
                  <w:w w:val="99"/>
                </w:rPr>
                <w:t>Form of Support Agreement dated as of January 14, 2022 by and</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8-K</w:t>
            </w:r>
          </w:p>
        </w:tc>
        <w:tc>
          <w:tcPr>
            <w:tcW w:w="900" w:type="dxa"/>
            <w:vAlign w:val="bottom"/>
            <w:gridSpan w:val="2"/>
            <w:shd w:val="clear" w:color="auto" w:fill="CCEEFF"/>
          </w:tcPr>
          <w:p>
            <w:pPr>
              <w:jc w:val="center"/>
              <w:ind w:left="541"/>
              <w:spacing w:after="0" w:line="172"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p>
        </w:tc>
        <w:tc>
          <w:tcPr>
            <w:tcW w:w="52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01/18/2022</w:t>
            </w: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4140" w:type="dxa"/>
            <w:vAlign w:val="bottom"/>
            <w:tcBorders>
              <w:top w:val="single" w:sz="8" w:color="0000FF"/>
              <w:bottom w:val="single" w:sz="8" w:color="0000FF"/>
            </w:tcBorders>
            <w:gridSpan w:val="12"/>
            <w:shd w:val="clear" w:color="auto" w:fill="CCEEFF"/>
          </w:tcPr>
          <w:p>
            <w:pPr>
              <w:spacing w:after="0" w:line="152" w:lineRule="exact"/>
              <w:rPr>
                <w:rFonts w:ascii="Arial" w:cs="Arial" w:eastAsia="Arial" w:hAnsi="Arial"/>
                <w:sz w:val="16"/>
                <w:szCs w:val="16"/>
                <w:color w:val="0000FF"/>
                <w:w w:val="87"/>
              </w:rPr>
            </w:pPr>
            <w:hyperlink r:id="rId51">
              <w:r>
                <w:rPr>
                  <w:rFonts w:ascii="Arial" w:cs="Arial" w:eastAsia="Arial" w:hAnsi="Arial"/>
                  <w:sz w:val="16"/>
                  <w:szCs w:val="16"/>
                  <w:color w:val="0000FF"/>
                  <w:w w:val="87"/>
                </w:rPr>
                <w:t>among the Company and the stockholder parties identified therein.</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60" w:type="dxa"/>
            <w:vAlign w:val="bottom"/>
            <w:tcBorders>
              <w:top w:val="single" w:sz="8" w:color="CCEEFF"/>
              <w:bottom w:val="single" w:sz="8" w:color="0000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28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10.29</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7"/>
              </w:rPr>
            </w:pPr>
            <w:hyperlink r:id="rId52">
              <w:r>
                <w:rPr>
                  <w:rFonts w:ascii="Arial" w:cs="Arial" w:eastAsia="Arial" w:hAnsi="Arial"/>
                  <w:sz w:val="16"/>
                  <w:szCs w:val="16"/>
                  <w:color w:val="0000FF"/>
                  <w:w w:val="97"/>
                </w:rPr>
                <w:t>Form of Lock-Up Agreement, by and among the Company and the</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8-K</w:t>
            </w:r>
          </w:p>
        </w:tc>
        <w:tc>
          <w:tcPr>
            <w:tcW w:w="900" w:type="dxa"/>
            <w:vAlign w:val="bottom"/>
            <w:gridSpan w:val="2"/>
            <w:shd w:val="clear" w:color="auto" w:fill="CCEEFF"/>
          </w:tcPr>
          <w:p>
            <w:pPr>
              <w:jc w:val="center"/>
              <w:ind w:left="541"/>
              <w:spacing w:after="0" w:line="172"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p>
        </w:tc>
        <w:tc>
          <w:tcPr>
            <w:tcW w:w="52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01/18/2022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00" w:type="dxa"/>
            <w:vAlign w:val="bottom"/>
            <w:tcBorders>
              <w:top w:val="single" w:sz="8" w:color="0000FF"/>
            </w:tcBorders>
            <w:gridSpan w:val="20"/>
            <w:shd w:val="clear" w:color="auto" w:fill="CCEEFF"/>
          </w:tcPr>
          <w:p>
            <w:pPr>
              <w:spacing w:after="0" w:line="152" w:lineRule="exact"/>
              <w:rPr>
                <w:rFonts w:ascii="Arial" w:cs="Arial" w:eastAsia="Arial" w:hAnsi="Arial"/>
                <w:sz w:val="16"/>
                <w:szCs w:val="16"/>
                <w:color w:val="0000FF"/>
              </w:rPr>
            </w:pPr>
            <w:hyperlink r:id="rId52">
              <w:r>
                <w:rPr>
                  <w:rFonts w:ascii="Arial" w:cs="Arial" w:eastAsia="Arial" w:hAnsi="Arial"/>
                  <w:sz w:val="16"/>
                  <w:szCs w:val="16"/>
                  <w:color w:val="0000FF"/>
                </w:rPr>
                <w:t>stockholder parties identified therein.</w:t>
              </w:r>
            </w:hyperlink>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0000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10.30</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9"/>
              </w:rPr>
            </w:pPr>
            <w:hyperlink r:id="rId53">
              <w:r>
                <w:rPr>
                  <w:rFonts w:ascii="Arial" w:cs="Arial" w:eastAsia="Arial" w:hAnsi="Arial"/>
                  <w:sz w:val="16"/>
                  <w:szCs w:val="16"/>
                  <w:color w:val="0000FF"/>
                  <w:w w:val="99"/>
                </w:rPr>
                <w:t>Separation Agreement with James Coffin dated as of January 25,</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8-K</w:t>
            </w:r>
          </w:p>
        </w:tc>
        <w:tc>
          <w:tcPr>
            <w:tcW w:w="900" w:type="dxa"/>
            <w:vAlign w:val="bottom"/>
            <w:gridSpan w:val="2"/>
            <w:shd w:val="clear" w:color="auto" w:fill="CCEEFF"/>
          </w:tcPr>
          <w:p>
            <w:pPr>
              <w:jc w:val="center"/>
              <w:ind w:left="541"/>
              <w:spacing w:after="0" w:line="172" w:lineRule="exact"/>
              <w:rPr>
                <w:sz w:val="20"/>
                <w:szCs w:val="20"/>
                <w:color w:val="auto"/>
              </w:rPr>
            </w:pPr>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p>
        </w:tc>
        <w:tc>
          <w:tcPr>
            <w:tcW w:w="52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01/31/2022</w:t>
            </w: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0000FF"/>
              <w:bottom w:val="single" w:sz="8" w:color="0000FF"/>
            </w:tcBorders>
            <w:shd w:val="clear" w:color="auto" w:fill="CCEEFF"/>
          </w:tcPr>
          <w:p>
            <w:pPr>
              <w:spacing w:after="0" w:line="152" w:lineRule="exact"/>
              <w:rPr>
                <w:rFonts w:ascii="Arial" w:cs="Arial" w:eastAsia="Arial" w:hAnsi="Arial"/>
                <w:sz w:val="16"/>
                <w:szCs w:val="16"/>
                <w:color w:val="0000FF"/>
                <w:w w:val="84"/>
              </w:rPr>
            </w:pPr>
            <w:hyperlink r:id="rId53">
              <w:r>
                <w:rPr>
                  <w:rFonts w:ascii="Arial" w:cs="Arial" w:eastAsia="Arial" w:hAnsi="Arial"/>
                  <w:sz w:val="16"/>
                  <w:szCs w:val="16"/>
                  <w:color w:val="0000FF"/>
                  <w:w w:val="84"/>
                </w:rPr>
                <w:t>2022.</w:t>
              </w:r>
            </w:hyperlink>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0000FF"/>
              <w:bottom w:val="single" w:sz="8" w:color="CCEEFF"/>
            </w:tcBorders>
            <w:shd w:val="clear" w:color="auto" w:fill="CCEEFF"/>
          </w:tcPr>
          <w:p>
            <w:pPr>
              <w:spacing w:after="0"/>
              <w:rPr>
                <w:sz w:val="16"/>
                <w:szCs w:val="16"/>
                <w:color w:val="auto"/>
              </w:rPr>
            </w:pPr>
          </w:p>
        </w:tc>
        <w:tc>
          <w:tcPr>
            <w:tcW w:w="64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0000FF"/>
              <w:bottom w:val="single" w:sz="8" w:color="CCEEFF"/>
            </w:tcBorders>
            <w:shd w:val="clear" w:color="auto" w:fill="CCEEFF"/>
          </w:tcPr>
          <w:p>
            <w:pPr>
              <w:spacing w:after="0"/>
              <w:rPr>
                <w:sz w:val="16"/>
                <w:szCs w:val="16"/>
                <w:color w:val="auto"/>
              </w:rPr>
            </w:pPr>
          </w:p>
        </w:tc>
        <w:tc>
          <w:tcPr>
            <w:tcW w:w="104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28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4"/>
              </w:rPr>
              <w:t>10.31</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8"/>
              </w:rPr>
            </w:pPr>
            <w:hyperlink r:id="rId54">
              <w:r>
                <w:rPr>
                  <w:rFonts w:ascii="Arial" w:cs="Arial" w:eastAsia="Arial" w:hAnsi="Arial"/>
                  <w:sz w:val="16"/>
                  <w:szCs w:val="16"/>
                  <w:color w:val="0000FF"/>
                  <w:w w:val="98"/>
                </w:rPr>
                <w:t>Executive Chairman Agreement, dated as of January 17, 2022, by</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89"/>
              </w:rPr>
              <w:t>10.31</w:t>
            </w: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00" w:type="dxa"/>
            <w:vAlign w:val="bottom"/>
            <w:tcBorders>
              <w:top w:val="single" w:sz="8" w:color="0000FF"/>
            </w:tcBorders>
            <w:gridSpan w:val="15"/>
            <w:shd w:val="clear" w:color="auto" w:fill="CCEEFF"/>
          </w:tcPr>
          <w:p>
            <w:pPr>
              <w:spacing w:after="0" w:line="152" w:lineRule="exact"/>
              <w:rPr>
                <w:rFonts w:ascii="Arial" w:cs="Arial" w:eastAsia="Arial" w:hAnsi="Arial"/>
                <w:sz w:val="16"/>
                <w:szCs w:val="16"/>
                <w:color w:val="0000FF"/>
              </w:rPr>
            </w:pPr>
            <w:hyperlink r:id="rId54">
              <w:r>
                <w:rPr>
                  <w:rFonts w:ascii="Arial" w:cs="Arial" w:eastAsia="Arial" w:hAnsi="Arial"/>
                  <w:sz w:val="16"/>
                  <w:szCs w:val="16"/>
                  <w:color w:val="0000FF"/>
                </w:rPr>
                <w:t>and between the Company and Jason Ryan</w:t>
              </w:r>
              <w:r>
                <w:rPr>
                  <w:rFonts w:ascii="Arial" w:cs="Arial" w:eastAsia="Arial" w:hAnsi="Arial"/>
                  <w:sz w:val="16"/>
                  <w:szCs w:val="16"/>
                  <w:color w:val="000000"/>
                </w:rPr>
                <w:t>.</w:t>
              </w:r>
            </w:hyperlink>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205"/>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21.1*</w:t>
            </w:r>
          </w:p>
        </w:tc>
        <w:tc>
          <w:tcPr>
            <w:tcW w:w="4620" w:type="dxa"/>
            <w:vAlign w:val="bottom"/>
            <w:gridSpan w:val="22"/>
            <w:shd w:val="clear" w:color="auto" w:fill="CCEEFF"/>
          </w:tcPr>
          <w:p>
            <w:pPr>
              <w:spacing w:after="0" w:line="172" w:lineRule="exact"/>
              <w:rPr>
                <w:rFonts w:ascii="Arial" w:cs="Arial" w:eastAsia="Arial" w:hAnsi="Arial"/>
                <w:sz w:val="16"/>
                <w:szCs w:val="16"/>
                <w:color w:val="0000FF"/>
              </w:rPr>
            </w:pPr>
            <w:hyperlink r:id="rId55">
              <w:r>
                <w:rPr>
                  <w:rFonts w:ascii="Arial" w:cs="Arial" w:eastAsia="Arial" w:hAnsi="Arial"/>
                  <w:sz w:val="16"/>
                  <w:szCs w:val="16"/>
                  <w:color w:val="0000FF"/>
                </w:rPr>
                <w:t>Subsidiaries of the Company.</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96"/>
              </w:rPr>
              <w:t>21.1*</w:t>
            </w: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83"/>
              </w:rPr>
              <w:t>23.1</w:t>
            </w:r>
          </w:p>
        </w:tc>
        <w:tc>
          <w:tcPr>
            <w:tcW w:w="4620" w:type="dxa"/>
            <w:vAlign w:val="bottom"/>
            <w:gridSpan w:val="22"/>
            <w:shd w:val="clear" w:color="auto" w:fill="CCEEFF"/>
          </w:tcPr>
          <w:p>
            <w:pPr>
              <w:spacing w:after="0" w:line="172" w:lineRule="exact"/>
              <w:rPr>
                <w:rFonts w:ascii="Arial" w:cs="Arial" w:eastAsia="Arial" w:hAnsi="Arial"/>
                <w:sz w:val="16"/>
                <w:szCs w:val="16"/>
                <w:color w:val="0000FF"/>
                <w:w w:val="97"/>
              </w:rPr>
            </w:pPr>
            <w:hyperlink r:id="rId56">
              <w:r>
                <w:rPr>
                  <w:rFonts w:ascii="Arial" w:cs="Arial" w:eastAsia="Arial" w:hAnsi="Arial"/>
                  <w:sz w:val="16"/>
                  <w:szCs w:val="16"/>
                  <w:color w:val="0000FF"/>
                  <w:w w:val="97"/>
                </w:rPr>
                <w:t>Consent of Ernst &amp; Young LLP, independent registered accounting</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900" w:type="dxa"/>
            <w:vAlign w:val="bottom"/>
            <w:gridSpan w:val="2"/>
            <w:shd w:val="clear" w:color="auto" w:fill="CCEEFF"/>
          </w:tcPr>
          <w:p>
            <w:pPr>
              <w:jc w:val="center"/>
              <w:ind w:left="541"/>
              <w:spacing w:after="0" w:line="172" w:lineRule="exact"/>
              <w:rPr>
                <w:sz w:val="20"/>
                <w:szCs w:val="20"/>
                <w:color w:val="auto"/>
              </w:rPr>
            </w:pPr>
            <w:r>
              <w:rPr>
                <w:rFonts w:ascii="Arial" w:cs="Arial" w:eastAsia="Arial" w:hAnsi="Arial"/>
                <w:sz w:val="16"/>
                <w:szCs w:val="16"/>
                <w:color w:val="auto"/>
                <w:w w:val="89"/>
              </w:rPr>
              <w:t>23.1</w:t>
            </w:r>
          </w:p>
        </w:tc>
        <w:tc>
          <w:tcPr>
            <w:tcW w:w="52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0000FF"/>
            </w:tcBorders>
            <w:gridSpan w:val="21"/>
            <w:shd w:val="clear" w:color="auto" w:fill="CCEEFF"/>
          </w:tcPr>
          <w:p>
            <w:pPr>
              <w:spacing w:after="0" w:line="152" w:lineRule="exact"/>
              <w:rPr>
                <w:rFonts w:ascii="Arial" w:cs="Arial" w:eastAsia="Arial" w:hAnsi="Arial"/>
                <w:sz w:val="16"/>
                <w:szCs w:val="16"/>
                <w:color w:val="0000FF"/>
              </w:rPr>
            </w:pPr>
            <w:hyperlink r:id="rId56">
              <w:r>
                <w:rPr>
                  <w:rFonts w:ascii="Arial" w:cs="Arial" w:eastAsia="Arial" w:hAnsi="Arial"/>
                  <w:sz w:val="16"/>
                  <w:szCs w:val="16"/>
                  <w:color w:val="0000FF"/>
                </w:rPr>
                <w:t>firm for Sema4 Holdings Corp.</w:t>
              </w:r>
            </w:hyperlink>
          </w:p>
        </w:tc>
        <w:tc>
          <w:tcPr>
            <w:tcW w:w="3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6"/>
        </w:trPr>
        <w:tc>
          <w:tcPr>
            <w:tcW w:w="1120" w:type="dxa"/>
            <w:vAlign w:val="bottom"/>
            <w:shd w:val="clear" w:color="auto" w:fill="CCEEFF"/>
          </w:tcPr>
          <w:p>
            <w:pPr>
              <w:jc w:val="center"/>
              <w:ind w:right="101"/>
              <w:spacing w:after="0" w:line="176" w:lineRule="exact"/>
              <w:rPr>
                <w:sz w:val="20"/>
                <w:szCs w:val="20"/>
                <w:color w:val="auto"/>
              </w:rPr>
            </w:pPr>
            <w:r>
              <w:rPr>
                <w:rFonts w:ascii="Arial" w:cs="Arial" w:eastAsia="Arial" w:hAnsi="Arial"/>
                <w:sz w:val="16"/>
                <w:szCs w:val="16"/>
                <w:color w:val="auto"/>
                <w:w w:val="83"/>
              </w:rPr>
              <w:t>24.1</w:t>
            </w:r>
          </w:p>
        </w:tc>
        <w:tc>
          <w:tcPr>
            <w:tcW w:w="4620" w:type="dxa"/>
            <w:vAlign w:val="bottom"/>
            <w:gridSpan w:val="22"/>
            <w:shd w:val="clear" w:color="auto" w:fill="CCEEFF"/>
          </w:tcPr>
          <w:p>
            <w:pPr>
              <w:spacing w:after="0" w:line="176" w:lineRule="exact"/>
              <w:rPr>
                <w:sz w:val="20"/>
                <w:szCs w:val="20"/>
                <w:color w:val="auto"/>
              </w:rPr>
            </w:pPr>
            <w:r>
              <w:rPr>
                <w:rFonts w:ascii="Arial" w:cs="Arial" w:eastAsia="Arial" w:hAnsi="Arial"/>
                <w:sz w:val="16"/>
                <w:szCs w:val="16"/>
                <w:color w:val="auto"/>
              </w:rPr>
              <w:t>Power of Attorney (included on signature page to this Annual</w:t>
            </w:r>
          </w:p>
        </w:tc>
        <w:tc>
          <w:tcPr>
            <w:tcW w:w="1220" w:type="dxa"/>
            <w:vAlign w:val="bottom"/>
            <w:shd w:val="clear" w:color="auto" w:fill="CCEEFF"/>
          </w:tcPr>
          <w:p>
            <w:pPr>
              <w:jc w:val="center"/>
              <w:ind w:right="121"/>
              <w:spacing w:after="0" w:line="176" w:lineRule="exact"/>
              <w:rPr>
                <w:sz w:val="20"/>
                <w:szCs w:val="20"/>
                <w:color w:val="auto"/>
              </w:rPr>
            </w:pPr>
            <w:r>
              <w:rPr>
                <w:rFonts w:ascii="Arial" w:cs="Arial" w:eastAsia="Arial" w:hAnsi="Arial"/>
                <w:sz w:val="16"/>
                <w:szCs w:val="16"/>
                <w:color w:val="auto"/>
              </w:rPr>
              <w:t>10-K</w:t>
            </w:r>
          </w:p>
        </w:tc>
        <w:tc>
          <w:tcPr>
            <w:tcW w:w="900" w:type="dxa"/>
            <w:vAlign w:val="bottom"/>
            <w:gridSpan w:val="2"/>
            <w:shd w:val="clear" w:color="auto" w:fill="CCEEFF"/>
          </w:tcPr>
          <w:p>
            <w:pPr>
              <w:jc w:val="center"/>
              <w:ind w:left="541"/>
              <w:spacing w:after="0" w:line="176" w:lineRule="exact"/>
              <w:rPr>
                <w:sz w:val="20"/>
                <w:szCs w:val="20"/>
                <w:color w:val="auto"/>
              </w:rPr>
            </w:pPr>
            <w:r>
              <w:rPr>
                <w:rFonts w:ascii="Arial" w:cs="Arial" w:eastAsia="Arial" w:hAnsi="Arial"/>
                <w:sz w:val="16"/>
                <w:szCs w:val="16"/>
                <w:color w:val="auto"/>
                <w:w w:val="89"/>
              </w:rPr>
              <w:t>24.1</w:t>
            </w:r>
          </w:p>
        </w:tc>
        <w:tc>
          <w:tcPr>
            <w:tcW w:w="520" w:type="dxa"/>
            <w:vAlign w:val="bottom"/>
            <w:shd w:val="clear" w:color="auto" w:fill="CCEEFF"/>
          </w:tcPr>
          <w:p>
            <w:pPr>
              <w:spacing w:after="0"/>
              <w:rPr>
                <w:sz w:val="15"/>
                <w:szCs w:val="15"/>
                <w:color w:val="auto"/>
              </w:rPr>
            </w:pPr>
          </w:p>
        </w:tc>
        <w:tc>
          <w:tcPr>
            <w:tcW w:w="2860" w:type="dxa"/>
            <w:vAlign w:val="bottom"/>
            <w:shd w:val="clear" w:color="auto" w:fill="CCEEFF"/>
          </w:tcPr>
          <w:p>
            <w:pPr>
              <w:jc w:val="right"/>
              <w:ind w:right="1601"/>
              <w:spacing w:after="0" w:line="176" w:lineRule="exact"/>
              <w:rPr>
                <w:sz w:val="20"/>
                <w:szCs w:val="20"/>
                <w:color w:val="auto"/>
              </w:rPr>
            </w:pPr>
            <w:r>
              <w:rPr>
                <w:rFonts w:ascii="Arial" w:cs="Arial" w:eastAsia="Arial" w:hAnsi="Arial"/>
                <w:sz w:val="16"/>
                <w:szCs w:val="16"/>
                <w:color w:val="auto"/>
              </w:rPr>
              <w:t>03/14/2022</w:t>
            </w:r>
          </w:p>
        </w:tc>
      </w:tr>
      <w:tr>
        <w:trPr>
          <w:trHeight w:val="222"/>
        </w:trPr>
        <w:tc>
          <w:tcPr>
            <w:tcW w:w="1120" w:type="dxa"/>
            <w:vAlign w:val="bottom"/>
            <w:shd w:val="clear" w:color="auto" w:fill="CCEEFF"/>
          </w:tcPr>
          <w:p>
            <w:pPr>
              <w:spacing w:after="0"/>
              <w:rPr>
                <w:sz w:val="19"/>
                <w:szCs w:val="19"/>
                <w:color w:val="auto"/>
              </w:rPr>
            </w:pP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Report on Form 10-K).</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31.1*</w:t>
            </w:r>
          </w:p>
        </w:tc>
        <w:tc>
          <w:tcPr>
            <w:tcW w:w="4620" w:type="dxa"/>
            <w:vAlign w:val="bottom"/>
            <w:gridSpan w:val="22"/>
            <w:shd w:val="clear" w:color="auto" w:fill="CCEEFF"/>
          </w:tcPr>
          <w:p>
            <w:pPr>
              <w:spacing w:after="0" w:line="172" w:lineRule="exact"/>
              <w:rPr>
                <w:rFonts w:ascii="Arial" w:cs="Arial" w:eastAsia="Arial" w:hAnsi="Arial"/>
                <w:sz w:val="16"/>
                <w:szCs w:val="16"/>
                <w:color w:val="0000FF"/>
              </w:rPr>
            </w:pPr>
            <w:hyperlink r:id="rId57">
              <w:r>
                <w:rPr>
                  <w:rFonts w:ascii="Arial" w:cs="Arial" w:eastAsia="Arial" w:hAnsi="Arial"/>
                  <w:sz w:val="16"/>
                  <w:szCs w:val="16"/>
                  <w:color w:val="0000FF"/>
                </w:rPr>
                <w:t>Certification of Principal Executive Officer Pursuant to Securities</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96"/>
              </w:rPr>
              <w:t>31.1*</w:t>
            </w: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220" w:type="dxa"/>
            <w:vAlign w:val="bottom"/>
            <w:tcBorders>
              <w:top w:val="single" w:sz="8" w:color="0000FF"/>
            </w:tcBorders>
            <w:gridSpan w:val="16"/>
            <w:shd w:val="clear" w:color="auto" w:fill="CCEEFF"/>
          </w:tcPr>
          <w:p>
            <w:pPr>
              <w:spacing w:after="0" w:line="152" w:lineRule="exact"/>
              <w:rPr>
                <w:rFonts w:ascii="Arial" w:cs="Arial" w:eastAsia="Arial" w:hAnsi="Arial"/>
                <w:sz w:val="16"/>
                <w:szCs w:val="16"/>
                <w:color w:val="0000FF"/>
                <w:w w:val="99"/>
              </w:rPr>
            </w:pPr>
            <w:hyperlink r:id="rId57">
              <w:r>
                <w:rPr>
                  <w:rFonts w:ascii="Arial" w:cs="Arial" w:eastAsia="Arial" w:hAnsi="Arial"/>
                  <w:sz w:val="16"/>
                  <w:szCs w:val="16"/>
                  <w:color w:val="0000FF"/>
                  <w:w w:val="99"/>
                </w:rPr>
                <w:t>Exchange Act Rules 13a-14(a) and 15(d)-14(a), as adopted</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340" w:type="dxa"/>
            <w:vAlign w:val="bottom"/>
            <w:tcBorders>
              <w:top w:val="single" w:sz="8" w:color="CCEEFF"/>
            </w:tcBorders>
            <w:gridSpan w:val="3"/>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CCEEFF"/>
            </w:tcBorders>
            <w:shd w:val="clear" w:color="auto" w:fill="CCEEFF"/>
          </w:tcPr>
          <w:p>
            <w:pPr>
              <w:spacing w:after="0"/>
              <w:rPr>
                <w:sz w:val="13"/>
                <w:szCs w:val="13"/>
                <w:color w:val="auto"/>
              </w:rPr>
            </w:pPr>
          </w:p>
        </w:tc>
      </w:tr>
      <w:tr>
        <w:trPr>
          <w:trHeight w:val="190"/>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0000FF"/>
              <w:bottom w:val="single" w:sz="8" w:color="0000FF"/>
            </w:tcBorders>
            <w:gridSpan w:val="8"/>
            <w:shd w:val="clear" w:color="auto" w:fill="CCEEFF"/>
          </w:tcPr>
          <w:p>
            <w:pPr>
              <w:spacing w:after="0" w:line="152" w:lineRule="exact"/>
              <w:rPr>
                <w:rFonts w:ascii="Arial" w:cs="Arial" w:eastAsia="Arial" w:hAnsi="Arial"/>
                <w:sz w:val="16"/>
                <w:szCs w:val="16"/>
                <w:color w:val="0000FF"/>
                <w:w w:val="88"/>
              </w:rPr>
            </w:pPr>
            <w:hyperlink r:id="rId57">
              <w:r>
                <w:rPr>
                  <w:rFonts w:ascii="Arial" w:cs="Arial" w:eastAsia="Arial" w:hAnsi="Arial"/>
                  <w:sz w:val="16"/>
                  <w:szCs w:val="16"/>
                  <w:color w:val="0000FF"/>
                  <w:w w:val="88"/>
                </w:rPr>
                <w:t>Pursuant to Section 302 of the Sarbanes-Oxley Act of 2002.</w:t>
              </w:r>
            </w:hyperlink>
          </w:p>
        </w:tc>
        <w:tc>
          <w:tcPr>
            <w:tcW w:w="60" w:type="dxa"/>
            <w:vAlign w:val="bottom"/>
            <w:tcBorders>
              <w:top w:val="single" w:sz="8" w:color="CCEEFF"/>
              <w:bottom w:val="single" w:sz="8" w:color="0000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34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28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760" w:type="dxa"/>
            <w:vAlign w:val="bottom"/>
            <w:tcBorders>
              <w:top w:val="single" w:sz="8" w:color="CCEE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0"/>
              </w:rPr>
              <w:t>31.2*</w:t>
            </w:r>
          </w:p>
        </w:tc>
        <w:tc>
          <w:tcPr>
            <w:tcW w:w="4620" w:type="dxa"/>
            <w:vAlign w:val="bottom"/>
            <w:gridSpan w:val="22"/>
            <w:shd w:val="clear" w:color="auto" w:fill="CCEEFF"/>
          </w:tcPr>
          <w:p>
            <w:pPr>
              <w:spacing w:after="0" w:line="172" w:lineRule="exact"/>
              <w:rPr>
                <w:rFonts w:ascii="Arial" w:cs="Arial" w:eastAsia="Arial" w:hAnsi="Arial"/>
                <w:sz w:val="16"/>
                <w:szCs w:val="16"/>
                <w:color w:val="0000FF"/>
              </w:rPr>
            </w:pPr>
            <w:hyperlink r:id="rId58">
              <w:r>
                <w:rPr>
                  <w:rFonts w:ascii="Arial" w:cs="Arial" w:eastAsia="Arial" w:hAnsi="Arial"/>
                  <w:sz w:val="16"/>
                  <w:szCs w:val="16"/>
                  <w:color w:val="0000FF"/>
                </w:rPr>
                <w:t>Certification of Principal Financial Officer Pursuant to Securities</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w w:val="96"/>
              </w:rPr>
              <w:t>31.2*</w:t>
            </w: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60" w:type="dxa"/>
            <w:vAlign w:val="bottom"/>
            <w:tcBorders>
              <w:top w:val="single" w:sz="8" w:color="0000FF"/>
            </w:tcBorders>
            <w:gridSpan w:val="13"/>
            <w:shd w:val="clear" w:color="auto" w:fill="CCEEFF"/>
          </w:tcPr>
          <w:p>
            <w:pPr>
              <w:spacing w:after="0" w:line="152" w:lineRule="exact"/>
              <w:rPr>
                <w:rFonts w:ascii="Arial" w:cs="Arial" w:eastAsia="Arial" w:hAnsi="Arial"/>
                <w:sz w:val="16"/>
                <w:szCs w:val="16"/>
                <w:color w:val="0000FF"/>
                <w:w w:val="98"/>
              </w:rPr>
            </w:pPr>
            <w:hyperlink r:id="rId58">
              <w:r>
                <w:rPr>
                  <w:rFonts w:ascii="Arial" w:cs="Arial" w:eastAsia="Arial" w:hAnsi="Arial"/>
                  <w:sz w:val="16"/>
                  <w:szCs w:val="16"/>
                  <w:color w:val="0000FF"/>
                  <w:w w:val="98"/>
                </w:rPr>
                <w:t>Exchange Act Rules 13a-14(a) and 15(d)-14(a), as adopted</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340" w:type="dxa"/>
            <w:vAlign w:val="bottom"/>
            <w:tcBorders>
              <w:top w:val="single" w:sz="8" w:color="CCEEFF"/>
            </w:tcBorders>
            <w:gridSpan w:val="3"/>
            <w:shd w:val="clear" w:color="auto" w:fill="CCEEFF"/>
          </w:tcPr>
          <w:p>
            <w:pPr>
              <w:spacing w:after="0"/>
              <w:rPr>
                <w:sz w:val="13"/>
                <w:szCs w:val="13"/>
                <w:color w:val="auto"/>
              </w:rPr>
            </w:pPr>
          </w:p>
        </w:tc>
        <w:tc>
          <w:tcPr>
            <w:tcW w:w="1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0000FF"/>
            </w:tcBorders>
            <w:gridSpan w:val="8"/>
            <w:shd w:val="clear" w:color="auto" w:fill="CCEEFF"/>
          </w:tcPr>
          <w:p>
            <w:pPr>
              <w:spacing w:after="0" w:line="152" w:lineRule="exact"/>
              <w:rPr>
                <w:rFonts w:ascii="Arial" w:cs="Arial" w:eastAsia="Arial" w:hAnsi="Arial"/>
                <w:sz w:val="16"/>
                <w:szCs w:val="16"/>
                <w:color w:val="0000FF"/>
                <w:w w:val="88"/>
              </w:rPr>
            </w:pPr>
            <w:hyperlink r:id="rId58">
              <w:r>
                <w:rPr>
                  <w:rFonts w:ascii="Arial" w:cs="Arial" w:eastAsia="Arial" w:hAnsi="Arial"/>
                  <w:sz w:val="16"/>
                  <w:szCs w:val="16"/>
                  <w:color w:val="0000FF"/>
                  <w:w w:val="88"/>
                </w:rPr>
                <w:t>Pursuant to Section 302 of the Sarbanes-Oxley Act of 2002.</w:t>
              </w:r>
            </w:hyperlink>
          </w:p>
        </w:tc>
        <w:tc>
          <w:tcPr>
            <w:tcW w:w="420" w:type="dxa"/>
            <w:vAlign w:val="bottom"/>
            <w:tcBorders>
              <w:top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gridSpan w:val="3"/>
            <w:shd w:val="clear" w:color="auto" w:fill="CCEEFF"/>
          </w:tcPr>
          <w:p>
            <w:pPr>
              <w:spacing w:after="0"/>
              <w:rPr>
                <w:sz w:val="16"/>
                <w:szCs w:val="16"/>
                <w:color w:val="auto"/>
              </w:rPr>
            </w:pPr>
          </w:p>
        </w:tc>
        <w:tc>
          <w:tcPr>
            <w:tcW w:w="340" w:type="dxa"/>
            <w:vAlign w:val="bottom"/>
            <w:tcBorders>
              <w:top w:val="single" w:sz="8" w:color="CCEEFF"/>
            </w:tcBorders>
            <w:gridSpan w:val="3"/>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tcBorders>
              <w:bottom w:val="single" w:sz="8" w:color="CCEEFF"/>
            </w:tcBorders>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6"/>
              </w:rPr>
              <w:t>32.1**</w:t>
            </w:r>
          </w:p>
        </w:tc>
        <w:tc>
          <w:tcPr>
            <w:tcW w:w="4280" w:type="dxa"/>
            <w:vAlign w:val="bottom"/>
            <w:tcBorders>
              <w:bottom w:val="single" w:sz="8" w:color="0000FF"/>
            </w:tcBorders>
            <w:gridSpan w:val="19"/>
            <w:shd w:val="clear" w:color="auto" w:fill="CCEEFF"/>
          </w:tcPr>
          <w:p>
            <w:pPr>
              <w:spacing w:after="0" w:line="172" w:lineRule="exact"/>
              <w:rPr>
                <w:rFonts w:ascii="Arial" w:cs="Arial" w:eastAsia="Arial" w:hAnsi="Arial"/>
                <w:sz w:val="16"/>
                <w:szCs w:val="16"/>
                <w:color w:val="0000FF"/>
                <w:w w:val="93"/>
              </w:rPr>
            </w:pPr>
            <w:hyperlink r:id="rId59">
              <w:r>
                <w:rPr>
                  <w:rFonts w:ascii="Arial" w:cs="Arial" w:eastAsia="Arial" w:hAnsi="Arial"/>
                  <w:sz w:val="16"/>
                  <w:szCs w:val="16"/>
                  <w:color w:val="0000FF"/>
                  <w:w w:val="93"/>
                </w:rPr>
                <w:t>Certification of Principal Executive Officer Pursuant to 18 U.S.C.</w:t>
              </w:r>
            </w:hyperlink>
          </w:p>
        </w:tc>
        <w:tc>
          <w:tcPr>
            <w:tcW w:w="340" w:type="dxa"/>
            <w:vAlign w:val="bottom"/>
            <w:tcBorders>
              <w:bottom w:val="single" w:sz="8" w:color="CCEEFF"/>
            </w:tcBorders>
            <w:gridSpan w:val="3"/>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tcBorders>
              <w:bottom w:val="single" w:sz="8" w:color="CCEEFF"/>
            </w:tcBorders>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rPr>
              <w:t>32.1**</w:t>
            </w:r>
          </w:p>
        </w:tc>
        <w:tc>
          <w:tcPr>
            <w:tcW w:w="2860" w:type="dxa"/>
            <w:vAlign w:val="bottom"/>
            <w:tcBorders>
              <w:bottom w:val="single" w:sz="8" w:color="CCEEFF"/>
            </w:tcBorders>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52"/>
        </w:trPr>
        <w:tc>
          <w:tcPr>
            <w:tcW w:w="1120" w:type="dxa"/>
            <w:vAlign w:val="bottom"/>
            <w:shd w:val="clear" w:color="auto" w:fill="CCEEFF"/>
          </w:tcPr>
          <w:p>
            <w:pPr>
              <w:spacing w:after="0"/>
              <w:rPr>
                <w:sz w:val="13"/>
                <w:szCs w:val="13"/>
                <w:color w:val="auto"/>
              </w:rPr>
            </w:pPr>
          </w:p>
        </w:tc>
        <w:tc>
          <w:tcPr>
            <w:tcW w:w="4620" w:type="dxa"/>
            <w:vAlign w:val="bottom"/>
            <w:gridSpan w:val="22"/>
            <w:shd w:val="clear" w:color="auto" w:fill="CCEEFF"/>
          </w:tcPr>
          <w:p>
            <w:pPr>
              <w:spacing w:after="0" w:line="152" w:lineRule="exact"/>
              <w:rPr>
                <w:rFonts w:ascii="Arial" w:cs="Arial" w:eastAsia="Arial" w:hAnsi="Arial"/>
                <w:sz w:val="16"/>
                <w:szCs w:val="16"/>
                <w:color w:val="0000FF"/>
                <w:w w:val="95"/>
              </w:rPr>
            </w:pPr>
            <w:hyperlink r:id="rId59">
              <w:r>
                <w:rPr>
                  <w:rFonts w:ascii="Arial" w:cs="Arial" w:eastAsia="Arial" w:hAnsi="Arial"/>
                  <w:sz w:val="16"/>
                  <w:szCs w:val="16"/>
                  <w:color w:val="0000FF"/>
                  <w:w w:val="95"/>
                </w:rPr>
                <w:t>Section 1350, as adopted Pursuant to Section 906 of the Sarbanes-</w:t>
              </w:r>
            </w:hyperlink>
          </w:p>
        </w:tc>
        <w:tc>
          <w:tcPr>
            <w:tcW w:w="12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60" w:type="dxa"/>
            <w:vAlign w:val="bottom"/>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rPr>
            </w:pPr>
            <w:hyperlink r:id="rId59">
              <w:r>
                <w:rPr>
                  <w:rFonts w:ascii="Arial" w:cs="Arial" w:eastAsia="Arial" w:hAnsi="Arial"/>
                  <w:sz w:val="16"/>
                  <w:szCs w:val="16"/>
                  <w:color w:val="0000FF"/>
                </w:rPr>
                <w:t>Oxley Act of 2002.</w:t>
              </w:r>
            </w:hyperlink>
          </w:p>
        </w:tc>
        <w:tc>
          <w:tcPr>
            <w:tcW w:w="340" w:type="dxa"/>
            <w:vAlign w:val="bottom"/>
            <w:tcBorders>
              <w:top w:val="single" w:sz="8" w:color="CCEEFF"/>
            </w:tcBorders>
            <w:gridSpan w:val="3"/>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172"/>
        </w:trPr>
        <w:tc>
          <w:tcPr>
            <w:tcW w:w="1120" w:type="dxa"/>
            <w:vAlign w:val="bottom"/>
            <w:shd w:val="clear" w:color="auto" w:fill="CCEEFF"/>
          </w:tcPr>
          <w:p>
            <w:pPr>
              <w:jc w:val="center"/>
              <w:ind w:right="101"/>
              <w:spacing w:after="0" w:line="172" w:lineRule="exact"/>
              <w:rPr>
                <w:sz w:val="20"/>
                <w:szCs w:val="20"/>
                <w:color w:val="auto"/>
              </w:rPr>
            </w:pPr>
            <w:r>
              <w:rPr>
                <w:rFonts w:ascii="Arial" w:cs="Arial" w:eastAsia="Arial" w:hAnsi="Arial"/>
                <w:sz w:val="16"/>
                <w:szCs w:val="16"/>
                <w:color w:val="auto"/>
                <w:w w:val="96"/>
              </w:rPr>
              <w:t>32.2**</w:t>
            </w:r>
          </w:p>
        </w:tc>
        <w:tc>
          <w:tcPr>
            <w:tcW w:w="4620" w:type="dxa"/>
            <w:vAlign w:val="bottom"/>
            <w:gridSpan w:val="22"/>
            <w:shd w:val="clear" w:color="auto" w:fill="CCEEFF"/>
          </w:tcPr>
          <w:p>
            <w:pPr>
              <w:spacing w:after="0" w:line="172" w:lineRule="exact"/>
              <w:rPr>
                <w:rFonts w:ascii="Arial" w:cs="Arial" w:eastAsia="Arial" w:hAnsi="Arial"/>
                <w:sz w:val="16"/>
                <w:szCs w:val="16"/>
                <w:color w:val="0000FF"/>
              </w:rPr>
            </w:pPr>
            <w:hyperlink r:id="rId60">
              <w:r>
                <w:rPr>
                  <w:rFonts w:ascii="Arial" w:cs="Arial" w:eastAsia="Arial" w:hAnsi="Arial"/>
                  <w:sz w:val="16"/>
                  <w:szCs w:val="16"/>
                  <w:color w:val="0000FF"/>
                </w:rPr>
                <w:t>Certification of Principal Financial Officer Pursuant to 18 U.S.C.</w:t>
              </w:r>
            </w:hyperlink>
          </w:p>
        </w:tc>
        <w:tc>
          <w:tcPr>
            <w:tcW w:w="1220" w:type="dxa"/>
            <w:vAlign w:val="bottom"/>
            <w:shd w:val="clear" w:color="auto" w:fill="CCEEFF"/>
          </w:tcPr>
          <w:p>
            <w:pPr>
              <w:jc w:val="center"/>
              <w:ind w:right="121"/>
              <w:spacing w:after="0" w:line="172" w:lineRule="exact"/>
              <w:rPr>
                <w:sz w:val="20"/>
                <w:szCs w:val="20"/>
                <w:color w:val="auto"/>
              </w:rPr>
            </w:pPr>
            <w:r>
              <w:rPr>
                <w:rFonts w:ascii="Arial" w:cs="Arial" w:eastAsia="Arial" w:hAnsi="Arial"/>
                <w:sz w:val="16"/>
                <w:szCs w:val="16"/>
                <w:color w:val="auto"/>
              </w:rPr>
              <w:t>10-K</w:t>
            </w:r>
          </w:p>
        </w:tc>
        <w:tc>
          <w:tcPr>
            <w:tcW w:w="1420" w:type="dxa"/>
            <w:vAlign w:val="bottom"/>
            <w:gridSpan w:val="3"/>
            <w:shd w:val="clear" w:color="auto" w:fill="CCEEFF"/>
          </w:tcPr>
          <w:p>
            <w:pPr>
              <w:jc w:val="center"/>
              <w:ind w:left="21"/>
              <w:spacing w:after="0" w:line="172" w:lineRule="exact"/>
              <w:rPr>
                <w:sz w:val="20"/>
                <w:szCs w:val="20"/>
                <w:color w:val="auto"/>
              </w:rPr>
            </w:pPr>
            <w:r>
              <w:rPr>
                <w:rFonts w:ascii="Arial" w:cs="Arial" w:eastAsia="Arial" w:hAnsi="Arial"/>
                <w:sz w:val="16"/>
                <w:szCs w:val="16"/>
                <w:color w:val="auto"/>
              </w:rPr>
              <w:t>32.2**</w:t>
            </w:r>
          </w:p>
        </w:tc>
        <w:tc>
          <w:tcPr>
            <w:tcW w:w="2860" w:type="dxa"/>
            <w:vAlign w:val="bottom"/>
            <w:shd w:val="clear" w:color="auto" w:fill="CCEEFF"/>
          </w:tcPr>
          <w:p>
            <w:pPr>
              <w:jc w:val="right"/>
              <w:ind w:right="1601"/>
              <w:spacing w:after="0" w:line="172" w:lineRule="exact"/>
              <w:rPr>
                <w:sz w:val="20"/>
                <w:szCs w:val="20"/>
                <w:color w:val="auto"/>
              </w:rPr>
            </w:pPr>
            <w:r>
              <w:rPr>
                <w:rFonts w:ascii="Arial" w:cs="Arial" w:eastAsia="Arial" w:hAnsi="Arial"/>
                <w:sz w:val="16"/>
                <w:szCs w:val="16"/>
                <w:color w:val="auto"/>
              </w:rPr>
              <w:t>03/14/2022</w:t>
            </w:r>
          </w:p>
        </w:tc>
      </w:tr>
      <w:tr>
        <w:trPr>
          <w:trHeight w:val="152"/>
        </w:trPr>
        <w:tc>
          <w:tcPr>
            <w:tcW w:w="1120" w:type="dxa"/>
            <w:vAlign w:val="bottom"/>
            <w:tcBorders>
              <w:top w:val="single" w:sz="8" w:color="CCEEFF"/>
            </w:tcBorders>
            <w:shd w:val="clear" w:color="auto" w:fill="CCEEFF"/>
          </w:tcPr>
          <w:p>
            <w:pPr>
              <w:spacing w:after="0"/>
              <w:rPr>
                <w:sz w:val="13"/>
                <w:szCs w:val="13"/>
                <w:color w:val="auto"/>
              </w:rPr>
            </w:pPr>
          </w:p>
        </w:tc>
        <w:tc>
          <w:tcPr>
            <w:tcW w:w="4180" w:type="dxa"/>
            <w:vAlign w:val="bottom"/>
            <w:tcBorders>
              <w:top w:val="single" w:sz="8" w:color="0000FF"/>
            </w:tcBorders>
            <w:gridSpan w:val="14"/>
            <w:shd w:val="clear" w:color="auto" w:fill="CCEEFF"/>
          </w:tcPr>
          <w:p>
            <w:pPr>
              <w:spacing w:after="0" w:line="152" w:lineRule="exact"/>
              <w:rPr>
                <w:rFonts w:ascii="Arial" w:cs="Arial" w:eastAsia="Arial" w:hAnsi="Arial"/>
                <w:sz w:val="16"/>
                <w:szCs w:val="16"/>
                <w:color w:val="0000FF"/>
                <w:w w:val="87"/>
              </w:rPr>
            </w:pPr>
            <w:hyperlink r:id="rId60">
              <w:r>
                <w:rPr>
                  <w:rFonts w:ascii="Arial" w:cs="Arial" w:eastAsia="Arial" w:hAnsi="Arial"/>
                  <w:sz w:val="16"/>
                  <w:szCs w:val="16"/>
                  <w:color w:val="0000FF"/>
                  <w:w w:val="87"/>
                </w:rPr>
                <w:t>Section 1350, as adopted Pursuant to Section 906 of the Sarbanes</w:t>
              </w:r>
            </w:hyperlink>
          </w:p>
        </w:tc>
        <w:tc>
          <w:tcPr>
            <w:tcW w:w="440" w:type="dxa"/>
            <w:vAlign w:val="bottom"/>
            <w:tcBorders>
              <w:top w:val="single" w:sz="8" w:color="CCEEFF"/>
            </w:tcBorders>
            <w:gridSpan w:val="8"/>
            <w:shd w:val="clear" w:color="auto" w:fill="CCEEFF"/>
          </w:tcPr>
          <w:p>
            <w:pPr>
              <w:jc w:val="right"/>
              <w:ind w:right="400"/>
              <w:spacing w:after="0"/>
              <w:rPr>
                <w:rFonts w:ascii="Arial" w:cs="Arial" w:eastAsia="Arial" w:hAnsi="Arial"/>
                <w:sz w:val="8"/>
                <w:szCs w:val="8"/>
                <w:color w:val="0000FF"/>
                <w:w w:val="73"/>
              </w:rPr>
            </w:pPr>
            <w:hyperlink r:id="rId60">
              <w:r>
                <w:rPr>
                  <w:rFonts w:ascii="Arial" w:cs="Arial" w:eastAsia="Arial" w:hAnsi="Arial"/>
                  <w:sz w:val="8"/>
                  <w:szCs w:val="8"/>
                  <w:color w:val="0000FF"/>
                  <w:w w:val="73"/>
                </w:rPr>
                <w:t>-</w:t>
              </w:r>
            </w:hyperlink>
          </w:p>
        </w:tc>
        <w:tc>
          <w:tcPr>
            <w:tcW w:w="12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CCEEFF"/>
            </w:tcBorders>
            <w:shd w:val="clear" w:color="auto" w:fill="CCEEFF"/>
          </w:tcPr>
          <w:p>
            <w:pPr>
              <w:spacing w:after="0"/>
              <w:rPr>
                <w:sz w:val="13"/>
                <w:szCs w:val="13"/>
                <w:color w:val="auto"/>
              </w:rPr>
            </w:pPr>
          </w:p>
        </w:tc>
      </w:tr>
      <w:tr>
        <w:trPr>
          <w:trHeight w:val="185"/>
        </w:trPr>
        <w:tc>
          <w:tcPr>
            <w:tcW w:w="1120" w:type="dxa"/>
            <w:vAlign w:val="bottom"/>
            <w:tcBorders>
              <w:top w:val="single" w:sz="8" w:color="CCEEFF"/>
            </w:tcBorders>
            <w:shd w:val="clear" w:color="auto" w:fill="CCEEFF"/>
          </w:tcPr>
          <w:p>
            <w:pPr>
              <w:spacing w:after="0"/>
              <w:rPr>
                <w:sz w:val="16"/>
                <w:szCs w:val="16"/>
                <w:color w:val="auto"/>
              </w:rPr>
            </w:pPr>
          </w:p>
        </w:tc>
        <w:tc>
          <w:tcPr>
            <w:tcW w:w="4280" w:type="dxa"/>
            <w:vAlign w:val="bottom"/>
            <w:tcBorders>
              <w:top w:val="single" w:sz="8" w:color="0000FF"/>
            </w:tcBorders>
            <w:gridSpan w:val="19"/>
            <w:shd w:val="clear" w:color="auto" w:fill="CCEEFF"/>
          </w:tcPr>
          <w:p>
            <w:pPr>
              <w:spacing w:after="0" w:line="152" w:lineRule="exact"/>
              <w:rPr>
                <w:rFonts w:ascii="Arial" w:cs="Arial" w:eastAsia="Arial" w:hAnsi="Arial"/>
                <w:sz w:val="16"/>
                <w:szCs w:val="16"/>
                <w:color w:val="0000FF"/>
              </w:rPr>
            </w:pPr>
            <w:hyperlink r:id="rId60">
              <w:r>
                <w:rPr>
                  <w:rFonts w:ascii="Arial" w:cs="Arial" w:eastAsia="Arial" w:hAnsi="Arial"/>
                  <w:sz w:val="16"/>
                  <w:szCs w:val="16"/>
                  <w:color w:val="0000FF"/>
                </w:rPr>
                <w:t>Oxley Act of 2002.</w:t>
              </w:r>
            </w:hyperlink>
          </w:p>
        </w:tc>
        <w:tc>
          <w:tcPr>
            <w:tcW w:w="340" w:type="dxa"/>
            <w:vAlign w:val="bottom"/>
            <w:tcBorders>
              <w:top w:val="single" w:sz="8" w:color="CCEEFF"/>
            </w:tcBorders>
            <w:gridSpan w:val="3"/>
            <w:shd w:val="clear" w:color="auto" w:fill="CCEEFF"/>
          </w:tcPr>
          <w:p>
            <w:pPr>
              <w:spacing w:after="0"/>
              <w:rPr>
                <w:sz w:val="16"/>
                <w:szCs w:val="16"/>
                <w:color w:val="auto"/>
              </w:rPr>
            </w:pPr>
          </w:p>
        </w:tc>
        <w:tc>
          <w:tcPr>
            <w:tcW w:w="1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CCEEFF"/>
            </w:tcBorders>
            <w:shd w:val="clear" w:color="auto" w:fill="CCEEFF"/>
          </w:tcPr>
          <w:p>
            <w:pPr>
              <w:spacing w:after="0"/>
              <w:rPr>
                <w:sz w:val="16"/>
                <w:szCs w:val="16"/>
                <w:color w:val="auto"/>
              </w:rPr>
            </w:pPr>
          </w:p>
        </w:tc>
      </w:tr>
      <w:tr>
        <w:trPr>
          <w:trHeight w:val="53"/>
        </w:trPr>
        <w:tc>
          <w:tcPr>
            <w:tcW w:w="1120" w:type="dxa"/>
            <w:vAlign w:val="bottom"/>
            <w:tcBorders>
              <w:top w:val="single" w:sz="8" w:color="CCEE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380" w:type="dxa"/>
            <w:vAlign w:val="bottom"/>
            <w:tcBorders>
              <w:top w:val="single" w:sz="8" w:color="CCEEFF"/>
            </w:tcBorders>
          </w:tcPr>
          <w:p>
            <w:pPr>
              <w:spacing w:after="0"/>
              <w:rPr>
                <w:sz w:val="4"/>
                <w:szCs w:val="4"/>
                <w:color w:val="auto"/>
              </w:rPr>
            </w:pPr>
          </w:p>
        </w:tc>
        <w:tc>
          <w:tcPr>
            <w:tcW w:w="340" w:type="dxa"/>
            <w:vAlign w:val="bottom"/>
            <w:tcBorders>
              <w:top w:val="single" w:sz="8" w:color="CCEEFF"/>
            </w:tcBorders>
          </w:tcPr>
          <w:p>
            <w:pPr>
              <w:spacing w:after="0"/>
              <w:rPr>
                <w:sz w:val="4"/>
                <w:szCs w:val="4"/>
                <w:color w:val="auto"/>
              </w:rPr>
            </w:pPr>
          </w:p>
        </w:tc>
        <w:tc>
          <w:tcPr>
            <w:tcW w:w="1040" w:type="dxa"/>
            <w:vAlign w:val="bottom"/>
            <w:tcBorders>
              <w:top w:val="single" w:sz="8" w:color="CCEEFF"/>
            </w:tcBorders>
          </w:tcPr>
          <w:p>
            <w:pPr>
              <w:spacing w:after="0"/>
              <w:rPr>
                <w:sz w:val="4"/>
                <w:szCs w:val="4"/>
                <w:color w:val="auto"/>
              </w:rPr>
            </w:pPr>
          </w:p>
        </w:tc>
        <w:tc>
          <w:tcPr>
            <w:tcW w:w="60" w:type="dxa"/>
            <w:vAlign w:val="bottom"/>
            <w:tcBorders>
              <w:top w:val="single" w:sz="8" w:color="CCEEFF"/>
            </w:tcBorders>
          </w:tcPr>
          <w:p>
            <w:pPr>
              <w:spacing w:after="0"/>
              <w:rPr>
                <w:sz w:val="4"/>
                <w:szCs w:val="4"/>
                <w:color w:val="auto"/>
              </w:rPr>
            </w:pPr>
          </w:p>
        </w:tc>
        <w:tc>
          <w:tcPr>
            <w:tcW w:w="18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0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300" w:type="dxa"/>
            <w:vAlign w:val="bottom"/>
            <w:tcBorders>
              <w:top w:val="single" w:sz="8" w:color="CCEEFF"/>
            </w:tcBorders>
          </w:tcPr>
          <w:p>
            <w:pPr>
              <w:spacing w:after="0"/>
              <w:rPr>
                <w:sz w:val="4"/>
                <w:szCs w:val="4"/>
                <w:color w:val="auto"/>
              </w:rPr>
            </w:pPr>
          </w:p>
        </w:tc>
        <w:tc>
          <w:tcPr>
            <w:tcW w:w="1220" w:type="dxa"/>
            <w:vAlign w:val="bottom"/>
            <w:tcBorders>
              <w:top w:val="single" w:sz="8" w:color="CCEEFF"/>
            </w:tcBorders>
          </w:tcPr>
          <w:p>
            <w:pPr>
              <w:spacing w:after="0"/>
              <w:rPr>
                <w:sz w:val="4"/>
                <w:szCs w:val="4"/>
                <w:color w:val="auto"/>
              </w:rPr>
            </w:pPr>
          </w:p>
        </w:tc>
        <w:tc>
          <w:tcPr>
            <w:tcW w:w="620" w:type="dxa"/>
            <w:vAlign w:val="bottom"/>
            <w:tcBorders>
              <w:top w:val="single" w:sz="8" w:color="CCEEFF"/>
            </w:tcBorders>
          </w:tcPr>
          <w:p>
            <w:pPr>
              <w:spacing w:after="0"/>
              <w:rPr>
                <w:sz w:val="4"/>
                <w:szCs w:val="4"/>
                <w:color w:val="auto"/>
              </w:rPr>
            </w:pPr>
          </w:p>
        </w:tc>
        <w:tc>
          <w:tcPr>
            <w:tcW w:w="280" w:type="dxa"/>
            <w:vAlign w:val="bottom"/>
            <w:tcBorders>
              <w:top w:val="single" w:sz="8" w:color="CCEEFF"/>
            </w:tcBorders>
          </w:tcPr>
          <w:p>
            <w:pPr>
              <w:spacing w:after="0"/>
              <w:rPr>
                <w:sz w:val="4"/>
                <w:szCs w:val="4"/>
                <w:color w:val="auto"/>
              </w:rPr>
            </w:pPr>
          </w:p>
        </w:tc>
        <w:tc>
          <w:tcPr>
            <w:tcW w:w="520" w:type="dxa"/>
            <w:vAlign w:val="bottom"/>
            <w:tcBorders>
              <w:top w:val="single" w:sz="8" w:color="CCEEFF"/>
            </w:tcBorders>
          </w:tcPr>
          <w:p>
            <w:pPr>
              <w:spacing w:after="0"/>
              <w:rPr>
                <w:sz w:val="4"/>
                <w:szCs w:val="4"/>
                <w:color w:val="auto"/>
              </w:rPr>
            </w:pPr>
          </w:p>
        </w:tc>
        <w:tc>
          <w:tcPr>
            <w:tcW w:w="2860" w:type="dxa"/>
            <w:vAlign w:val="bottom"/>
            <w:tcBorders>
              <w:top w:val="single" w:sz="8" w:color="CCEEFF"/>
            </w:tcBorders>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3"/>
              </w:rPr>
              <w:t>101.INS</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Instance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3"/>
              </w:rPr>
              <w:t>101.CAL</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89"/>
              </w:rPr>
              <w:t>101.SCH</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Schema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1"/>
              </w:rPr>
              <w:t>101.DEF</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4"/>
              </w:rPr>
              <w:t>101.LAB</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Labels Linkbase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r>
        <w:trPr>
          <w:trHeight w:val="53"/>
        </w:trPr>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60" w:type="dxa"/>
            <w:vAlign w:val="bottom"/>
          </w:tcPr>
          <w:p>
            <w:pPr>
              <w:spacing w:after="0"/>
              <w:rPr>
                <w:sz w:val="4"/>
                <w:szCs w:val="4"/>
                <w:color w:val="auto"/>
              </w:rPr>
            </w:pPr>
          </w:p>
        </w:tc>
      </w:tr>
      <w:tr>
        <w:trPr>
          <w:trHeight w:val="225"/>
        </w:trPr>
        <w:tc>
          <w:tcPr>
            <w:tcW w:w="1120" w:type="dxa"/>
            <w:vAlign w:val="bottom"/>
            <w:shd w:val="clear" w:color="auto" w:fill="CCEEFF"/>
          </w:tcPr>
          <w:p>
            <w:pPr>
              <w:jc w:val="center"/>
              <w:ind w:right="101"/>
              <w:spacing w:after="0"/>
              <w:rPr>
                <w:sz w:val="20"/>
                <w:szCs w:val="20"/>
                <w:color w:val="auto"/>
              </w:rPr>
            </w:pPr>
            <w:r>
              <w:rPr>
                <w:rFonts w:ascii="Arial" w:cs="Arial" w:eastAsia="Arial" w:hAnsi="Arial"/>
                <w:sz w:val="16"/>
                <w:szCs w:val="16"/>
                <w:color w:val="auto"/>
                <w:w w:val="90"/>
              </w:rPr>
              <w:t>101.PRE</w:t>
            </w:r>
          </w:p>
        </w:tc>
        <w:tc>
          <w:tcPr>
            <w:tcW w:w="4620" w:type="dxa"/>
            <w:vAlign w:val="bottom"/>
            <w:gridSpan w:val="22"/>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26" w:right="339" w:bottom="1440" w:gutter="0" w:footer="0" w:header="0"/>
        </w:sectPr>
      </w:pPr>
    </w:p>
    <w:bookmarkStart w:id="183" w:name="page184"/>
    <w:bookmarkEnd w:id="183"/>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913765</wp:posOffset>
            </wp:positionV>
            <wp:extent cx="7134860" cy="361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extLst>
                    </a:blip>
                    <a:srcRect/>
                    <a:stretch>
                      <a:fillRect/>
                    </a:stretch>
                  </pic:blipFill>
                  <pic:spPr bwMode="auto">
                    <a:xfrm>
                      <a:off x="0" y="0"/>
                      <a:ext cx="7134860" cy="361950"/>
                    </a:xfrm>
                    <a:prstGeom prst="rect">
                      <a:avLst/>
                    </a:prstGeom>
                    <a:noFill/>
                  </pic:spPr>
                </pic:pic>
              </a:graphicData>
            </a:graphic>
          </wp:anchor>
        </w:drawing>
      </w:r>
    </w:p>
    <w:p>
      <w:pPr>
        <w:jc w:val="both"/>
        <w:ind w:left="1120" w:right="5240" w:hanging="776"/>
        <w:spacing w:after="0" w:line="238" w:lineRule="auto"/>
        <w:tabs>
          <w:tab w:leader="none" w:pos="1120" w:val="left"/>
        </w:tabs>
        <w:numPr>
          <w:ilvl w:val="1"/>
          <w:numId w:val="88"/>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192"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Filed herewith.</w:t>
      </w:r>
    </w:p>
    <w:p>
      <w:pPr>
        <w:spacing w:after="0" w:line="31" w:lineRule="exact"/>
        <w:rPr>
          <w:rFonts w:ascii="Arial" w:cs="Arial" w:eastAsia="Arial" w:hAnsi="Arial"/>
          <w:sz w:val="16"/>
          <w:szCs w:val="16"/>
          <w:color w:val="auto"/>
        </w:rPr>
      </w:pPr>
    </w:p>
    <w:p>
      <w:pPr>
        <w:ind w:left="440" w:hanging="416"/>
        <w:spacing w:after="0"/>
        <w:tabs>
          <w:tab w:leader="none" w:pos="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Furnished.</w:t>
      </w:r>
    </w:p>
    <w:p>
      <w:pPr>
        <w:spacing w:after="0" w:line="32" w:lineRule="exact"/>
        <w:rPr>
          <w:sz w:val="20"/>
          <w:szCs w:val="20"/>
          <w:color w:val="auto"/>
        </w:rPr>
      </w:pPr>
    </w:p>
    <w:p>
      <w:pPr>
        <w:ind w:left="440" w:right="3480" w:hanging="416"/>
        <w:spacing w:after="0" w:line="229" w:lineRule="auto"/>
        <w:tabs>
          <w:tab w:leader="none" w:pos="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7" w:lineRule="exact"/>
        <w:rPr>
          <w:sz w:val="20"/>
          <w:szCs w:val="20"/>
          <w:color w:val="auto"/>
        </w:rPr>
      </w:pPr>
    </w:p>
    <w:p>
      <w:pPr>
        <w:ind w:left="440" w:hanging="416"/>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has omitted portions of the exhibit as permitted under Regulation S-K Item 601(b)(10).</w:t>
      </w:r>
    </w:p>
    <w:p>
      <w:pPr>
        <w:spacing w:after="0" w:line="9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Item 16. Form 10-K Summary</w:t>
      </w:r>
    </w:p>
    <w:p>
      <w:pPr>
        <w:spacing w:after="0" w:line="157" w:lineRule="exact"/>
        <w:rPr>
          <w:sz w:val="20"/>
          <w:szCs w:val="20"/>
          <w:color w:val="auto"/>
        </w:rPr>
      </w:pPr>
    </w:p>
    <w:p>
      <w:pPr>
        <w:ind w:firstLine="318"/>
        <w:spacing w:after="0" w:line="237" w:lineRule="auto"/>
        <w:rPr>
          <w:sz w:val="20"/>
          <w:szCs w:val="20"/>
          <w:color w:val="auto"/>
        </w:rPr>
      </w:pPr>
      <w:r>
        <w:rPr>
          <w:rFonts w:ascii="Arial" w:cs="Arial" w:eastAsia="Arial" w:hAnsi="Arial"/>
          <w:sz w:val="18"/>
          <w:szCs w:val="18"/>
          <w:color w:val="auto"/>
        </w:rPr>
        <w:t>We may voluntarily include a summary of information required by Form 10-K under this Item 16. We have elected not to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520"/>
          </w:cols>
          <w:pgMar w:left="320" w:top="1440" w:right="10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7780" w:type="dxa"/>
            <w:vAlign w:val="bottom"/>
            <w:gridSpan w:val="2"/>
          </w:tcPr>
          <w:p>
            <w:pPr>
              <w:ind w:left="1880"/>
              <w:spacing w:after="0"/>
              <w:rPr>
                <w:sz w:val="20"/>
                <w:szCs w:val="20"/>
                <w:color w:val="auto"/>
              </w:rPr>
            </w:pPr>
            <w:r>
              <w:rPr>
                <w:rFonts w:ascii="Arial" w:cs="Arial" w:eastAsia="Arial" w:hAnsi="Arial"/>
                <w:sz w:val="18"/>
                <w:szCs w:val="18"/>
                <w:color w:val="auto"/>
              </w:rPr>
              <w:t>SEMA4 HOLDINGS CORP.</w:t>
            </w:r>
          </w:p>
        </w:tc>
      </w:tr>
      <w:tr>
        <w:trPr>
          <w:trHeight w:val="503"/>
        </w:trPr>
        <w:tc>
          <w:tcPr>
            <w:tcW w:w="3440" w:type="dxa"/>
            <w:vAlign w:val="bottom"/>
          </w:tcPr>
          <w:p>
            <w:pPr>
              <w:spacing w:after="0"/>
              <w:rPr>
                <w:sz w:val="20"/>
                <w:szCs w:val="20"/>
                <w:color w:val="auto"/>
              </w:rPr>
            </w:pPr>
            <w:r>
              <w:rPr>
                <w:rFonts w:ascii="Arial" w:cs="Arial" w:eastAsia="Arial" w:hAnsi="Arial"/>
                <w:sz w:val="18"/>
                <w:szCs w:val="18"/>
                <w:color w:val="auto"/>
              </w:rPr>
              <w:t>Date: March 14, 2022</w:t>
            </w:r>
          </w:p>
        </w:tc>
        <w:tc>
          <w:tcPr>
            <w:tcW w:w="7780" w:type="dxa"/>
            <w:vAlign w:val="bottom"/>
            <w:gridSpan w:val="2"/>
          </w:tcPr>
          <w:p>
            <w:pPr>
              <w:ind w:left="1880"/>
              <w:spacing w:after="0"/>
              <w:rPr>
                <w:sz w:val="20"/>
                <w:szCs w:val="20"/>
                <w:color w:val="auto"/>
              </w:rPr>
            </w:pPr>
            <w:r>
              <w:rPr>
                <w:rFonts w:ascii="Arial" w:cs="Arial" w:eastAsia="Arial" w:hAnsi="Arial"/>
                <w:sz w:val="18"/>
                <w:szCs w:val="18"/>
                <w:color w:val="auto"/>
              </w:rPr>
              <w:t>By: /s/ Eric Schadt</w:t>
            </w:r>
          </w:p>
        </w:tc>
      </w:tr>
      <w:tr>
        <w:trPr>
          <w:trHeight w:val="218"/>
        </w:trPr>
        <w:tc>
          <w:tcPr>
            <w:tcW w:w="3440" w:type="dxa"/>
            <w:vAlign w:val="bottom"/>
          </w:tcPr>
          <w:p>
            <w:pPr>
              <w:spacing w:after="0"/>
              <w:rPr>
                <w:sz w:val="19"/>
                <w:szCs w:val="19"/>
                <w:color w:val="auto"/>
              </w:rPr>
            </w:pPr>
          </w:p>
        </w:tc>
        <w:tc>
          <w:tcPr>
            <w:tcW w:w="2700" w:type="dxa"/>
            <w:vAlign w:val="bottom"/>
          </w:tcPr>
          <w:p>
            <w:pPr>
              <w:ind w:left="1880"/>
              <w:spacing w:after="0"/>
              <w:rPr>
                <w:sz w:val="20"/>
                <w:szCs w:val="20"/>
                <w:color w:val="auto"/>
              </w:rPr>
            </w:pPr>
            <w:r>
              <w:rPr>
                <w:rFonts w:ascii="Arial" w:cs="Arial" w:eastAsia="Arial" w:hAnsi="Arial"/>
                <w:sz w:val="18"/>
                <w:szCs w:val="18"/>
                <w:color w:val="auto"/>
              </w:rPr>
              <w:t>Name:</w:t>
            </w:r>
          </w:p>
        </w:tc>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Schadt</w:t>
            </w:r>
          </w:p>
        </w:tc>
      </w:tr>
      <w:tr>
        <w:trPr>
          <w:trHeight w:val="174"/>
        </w:trPr>
        <w:tc>
          <w:tcPr>
            <w:tcW w:w="3440" w:type="dxa"/>
            <w:vAlign w:val="bottom"/>
          </w:tcPr>
          <w:p>
            <w:pPr>
              <w:spacing w:after="0"/>
              <w:rPr>
                <w:sz w:val="15"/>
                <w:szCs w:val="15"/>
                <w:color w:val="auto"/>
              </w:rPr>
            </w:pPr>
          </w:p>
        </w:tc>
        <w:tc>
          <w:tcPr>
            <w:tcW w:w="2700" w:type="dxa"/>
            <w:vAlign w:val="bottom"/>
          </w:tcPr>
          <w:p>
            <w:pPr>
              <w:ind w:left="1880"/>
              <w:spacing w:after="0" w:line="174" w:lineRule="exact"/>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line="174" w:lineRule="exact"/>
              <w:rPr>
                <w:sz w:val="20"/>
                <w:szCs w:val="20"/>
                <w:color w:val="auto"/>
              </w:rPr>
            </w:pPr>
            <w:r>
              <w:rPr>
                <w:rFonts w:ascii="Arial" w:cs="Arial" w:eastAsia="Arial" w:hAnsi="Arial"/>
                <w:sz w:val="18"/>
                <w:szCs w:val="18"/>
                <w:color w:val="auto"/>
              </w:rPr>
              <w:t>Chief Executive Officer and Director</w:t>
            </w:r>
          </w:p>
        </w:tc>
      </w:tr>
      <w:tr>
        <w:trPr>
          <w:trHeight w:val="223"/>
        </w:trPr>
        <w:tc>
          <w:tcPr>
            <w:tcW w:w="34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4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Eric Schadt, Jason Ryan and Dan Clark and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6"/>
                <w:szCs w:val="16"/>
                <w:color w:val="auto"/>
              </w:rPr>
            </w:pP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80" w:type="dxa"/>
            <w:vAlign w:val="bottom"/>
          </w:tcPr>
          <w:p>
            <w:pPr>
              <w:spacing w:after="0"/>
              <w:rPr>
                <w:sz w:val="16"/>
                <w:szCs w:val="16"/>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03"/>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Eric Schadt</w:t>
            </w:r>
          </w:p>
        </w:tc>
        <w:tc>
          <w:tcPr>
            <w:tcW w:w="10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Chief Executive Officer and 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9"/>
              </w:rPr>
              <w:t>Eric Schadt</w:t>
            </w:r>
          </w:p>
        </w:tc>
        <w:tc>
          <w:tcPr>
            <w:tcW w:w="100" w:type="dxa"/>
            <w:vAlign w:val="bottom"/>
          </w:tcPr>
          <w:p>
            <w:pPr>
              <w:spacing w:after="0"/>
              <w:rPr>
                <w:sz w:val="7"/>
                <w:szCs w:val="7"/>
                <w:color w:val="auto"/>
              </w:rPr>
            </w:pPr>
          </w:p>
        </w:tc>
        <w:tc>
          <w:tcPr>
            <w:tcW w:w="4020" w:type="dxa"/>
            <w:vAlign w:val="bottom"/>
            <w:gridSpan w:val="2"/>
            <w:vMerge w:val="restart"/>
          </w:tcPr>
          <w:p>
            <w:pPr>
              <w:jc w:val="center"/>
              <w:ind w:right="120"/>
              <w:spacing w:after="0" w:line="205" w:lineRule="exact"/>
              <w:rPr>
                <w:sz w:val="20"/>
                <w:szCs w:val="20"/>
                <w:color w:val="auto"/>
              </w:rPr>
            </w:pPr>
            <w:r>
              <w:rPr>
                <w:rFonts w:ascii="Arial" w:cs="Arial" w:eastAsia="Arial" w:hAnsi="Arial"/>
                <w:sz w:val="18"/>
                <w:szCs w:val="18"/>
                <w:color w:val="auto"/>
                <w:w w:val="92"/>
              </w:rPr>
              <w:t>(Principal Executive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Isaac Ro</w:t>
            </w:r>
          </w:p>
        </w:tc>
        <w:tc>
          <w:tcPr>
            <w:tcW w:w="100" w:type="dxa"/>
            <w:vAlign w:val="bottom"/>
          </w:tcPr>
          <w:p>
            <w:pPr>
              <w:spacing w:after="0"/>
              <w:rPr>
                <w:sz w:val="24"/>
                <w:szCs w:val="24"/>
                <w:color w:val="auto"/>
              </w:rPr>
            </w:pPr>
          </w:p>
        </w:tc>
        <w:tc>
          <w:tcPr>
            <w:tcW w:w="40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Chief Financial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7"/>
              </w:rPr>
              <w:t>Isaac Ro</w:t>
            </w:r>
          </w:p>
        </w:tc>
        <w:tc>
          <w:tcPr>
            <w:tcW w:w="100" w:type="dxa"/>
            <w:vAlign w:val="bottom"/>
          </w:tcPr>
          <w:p>
            <w:pPr>
              <w:spacing w:after="0"/>
              <w:rPr>
                <w:sz w:val="7"/>
                <w:szCs w:val="7"/>
                <w:color w:val="auto"/>
              </w:rPr>
            </w:pPr>
          </w:p>
        </w:tc>
        <w:tc>
          <w:tcPr>
            <w:tcW w:w="4020" w:type="dxa"/>
            <w:vAlign w:val="bottom"/>
            <w:gridSpan w:val="2"/>
            <w:vMerge w:val="restart"/>
          </w:tcPr>
          <w:p>
            <w:pPr>
              <w:jc w:val="center"/>
              <w:ind w:right="100"/>
              <w:spacing w:after="0" w:line="205" w:lineRule="exact"/>
              <w:rPr>
                <w:sz w:val="20"/>
                <w:szCs w:val="20"/>
                <w:color w:val="auto"/>
              </w:rPr>
            </w:pPr>
            <w:r>
              <w:rPr>
                <w:rFonts w:ascii="Arial" w:cs="Arial" w:eastAsia="Arial" w:hAnsi="Arial"/>
                <w:sz w:val="18"/>
                <w:szCs w:val="18"/>
                <w:color w:val="auto"/>
                <w:w w:val="92"/>
              </w:rPr>
              <w:t>(Principal Financial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Shawn Assad</w:t>
            </w:r>
          </w:p>
        </w:tc>
        <w:tc>
          <w:tcPr>
            <w:tcW w:w="100" w:type="dxa"/>
            <w:vAlign w:val="bottom"/>
          </w:tcPr>
          <w:p>
            <w:pPr>
              <w:spacing w:after="0"/>
              <w:rPr>
                <w:sz w:val="24"/>
                <w:szCs w:val="24"/>
                <w:color w:val="auto"/>
              </w:rPr>
            </w:pPr>
          </w:p>
        </w:tc>
        <w:tc>
          <w:tcPr>
            <w:tcW w:w="40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Accounting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7"/>
              </w:rPr>
              <w:t>Shawn Assad</w:t>
            </w:r>
          </w:p>
        </w:tc>
        <w:tc>
          <w:tcPr>
            <w:tcW w:w="100" w:type="dxa"/>
            <w:vAlign w:val="bottom"/>
          </w:tcPr>
          <w:p>
            <w:pPr>
              <w:spacing w:after="0"/>
              <w:rPr>
                <w:sz w:val="7"/>
                <w:szCs w:val="7"/>
                <w:color w:val="auto"/>
              </w:rPr>
            </w:pPr>
          </w:p>
        </w:tc>
        <w:tc>
          <w:tcPr>
            <w:tcW w:w="4020" w:type="dxa"/>
            <w:vAlign w:val="bottom"/>
            <w:gridSpan w:val="2"/>
            <w:vMerge w:val="restart"/>
          </w:tcPr>
          <w:p>
            <w:pPr>
              <w:jc w:val="center"/>
              <w:ind w:right="80"/>
              <w:spacing w:after="0" w:line="205" w:lineRule="exact"/>
              <w:rPr>
                <w:sz w:val="20"/>
                <w:szCs w:val="20"/>
                <w:color w:val="auto"/>
              </w:rPr>
            </w:pPr>
            <w:r>
              <w:rPr>
                <w:rFonts w:ascii="Arial" w:cs="Arial" w:eastAsia="Arial" w:hAnsi="Arial"/>
                <w:sz w:val="18"/>
                <w:szCs w:val="18"/>
                <w:color w:val="auto"/>
                <w:w w:val="93"/>
              </w:rPr>
              <w:t>(Principal Accounting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2"/>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Jason Ryan</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0"/>
              </w:rPr>
              <w:t>Executive Chairman and 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4"/>
              </w:rPr>
              <w:t>Jason Ryan</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Eli D. Casdin</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2"/>
              </w:rPr>
              <w:t>Eli D. Casdin</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Dennis Charney</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8"/>
              </w:rPr>
              <w:t>Dennis Charney</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Emily Leproust</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2"/>
              </w:rPr>
              <w:t>Emily Leproust</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Keith Meister</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3"/>
              </w:rPr>
              <w:t>Keith Meister</w:t>
            </w:r>
          </w:p>
        </w:tc>
        <w:tc>
          <w:tcPr>
            <w:tcW w:w="10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Pellini</w:t>
            </w:r>
          </w:p>
        </w:tc>
        <w:tc>
          <w:tcPr>
            <w:tcW w:w="100" w:type="dxa"/>
            <w:vAlign w:val="bottom"/>
          </w:tcPr>
          <w:p>
            <w:pPr>
              <w:spacing w:after="0"/>
              <w:rPr>
                <w:sz w:val="24"/>
                <w:szCs w:val="24"/>
                <w:color w:val="auto"/>
              </w:rPr>
            </w:pPr>
          </w:p>
        </w:tc>
        <w:tc>
          <w:tcPr>
            <w:tcW w:w="40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1"/>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89"/>
              </w:rPr>
              <w:t>March 14, 2022</w:t>
            </w:r>
          </w:p>
        </w:tc>
        <w:tc>
          <w:tcPr>
            <w:tcW w:w="0" w:type="dxa"/>
            <w:vAlign w:val="bottom"/>
          </w:tcPr>
          <w:p>
            <w:pPr>
              <w:spacing w:after="0"/>
              <w:rPr>
                <w:sz w:val="1"/>
                <w:szCs w:val="1"/>
                <w:color w:val="auto"/>
              </w:rPr>
            </w:pPr>
          </w:p>
        </w:tc>
      </w:tr>
      <w:tr>
        <w:trPr>
          <w:trHeight w:val="99"/>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3"/>
              </w:rPr>
              <w:t>Michael Pellini</w:t>
            </w:r>
          </w:p>
        </w:tc>
        <w:tc>
          <w:tcPr>
            <w:tcW w:w="100" w:type="dxa"/>
            <w:vAlign w:val="bottom"/>
          </w:tcPr>
          <w:p>
            <w:pPr>
              <w:spacing w:after="0"/>
              <w:rPr>
                <w:sz w:val="8"/>
                <w:szCs w:val="8"/>
                <w:color w:val="auto"/>
              </w:rPr>
            </w:pPr>
          </w:p>
        </w:tc>
        <w:tc>
          <w:tcPr>
            <w:tcW w:w="4020" w:type="dxa"/>
            <w:vAlign w:val="bottom"/>
            <w:gridSpan w:val="2"/>
            <w:vMerge w:val="continue"/>
          </w:tcPr>
          <w:p>
            <w:pPr>
              <w:spacing w:after="0"/>
              <w:rPr>
                <w:sz w:val="8"/>
                <w:szCs w:val="8"/>
                <w:color w:val="auto"/>
              </w:rPr>
            </w:pPr>
          </w:p>
        </w:tc>
        <w:tc>
          <w:tcPr>
            <w:tcW w:w="2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3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320" w:top="1393" w:right="339" w:bottom="1440" w:gutter="0" w:footer="0" w:header="0"/>
        </w:sectPr>
      </w:pPr>
    </w:p>
    <w:bookmarkStart w:id="185" w:name="page186"/>
    <w:bookmarkEnd w:id="185"/>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Joshua Ruch</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5"/>
              </w:rPr>
              <w:t>Joshua Ruch</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Rachel Sherman</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5"/>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86"/>
              </w:rPr>
              <w:t>Rachel Sherman</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 Turner</w:t>
            </w:r>
          </w:p>
        </w:tc>
        <w:tc>
          <w:tcPr>
            <w:tcW w:w="3660" w:type="dxa"/>
            <w:vAlign w:val="bottom"/>
            <w:vMerge w:val="restart"/>
          </w:tcPr>
          <w:p>
            <w:pPr>
              <w:ind w:left="1780"/>
              <w:spacing w:after="0"/>
              <w:rPr>
                <w:sz w:val="20"/>
                <w:szCs w:val="20"/>
                <w:color w:val="auto"/>
              </w:rPr>
            </w:pPr>
            <w:r>
              <w:rPr>
                <w:rFonts w:ascii="Arial" w:cs="Arial" w:eastAsia="Arial" w:hAnsi="Arial"/>
                <w:sz w:val="18"/>
                <w:szCs w:val="18"/>
                <w:color w:val="auto"/>
              </w:rPr>
              <w:t>Director</w:t>
            </w:r>
          </w:p>
        </w:tc>
        <w:tc>
          <w:tcPr>
            <w:tcW w:w="2420" w:type="dxa"/>
            <w:vAlign w:val="bottom"/>
            <w:vMerge w:val="restart"/>
          </w:tcPr>
          <w:p>
            <w:pPr>
              <w:ind w:left="1300"/>
              <w:spacing w:after="0"/>
              <w:rPr>
                <w:sz w:val="20"/>
                <w:szCs w:val="20"/>
                <w:color w:val="auto"/>
              </w:rPr>
            </w:pPr>
            <w:r>
              <w:rPr>
                <w:rFonts w:ascii="Arial" w:cs="Arial" w:eastAsia="Arial" w:hAnsi="Arial"/>
                <w:sz w:val="18"/>
                <w:szCs w:val="18"/>
                <w:color w:val="auto"/>
                <w:w w:val="87"/>
              </w:rPr>
              <w:t>March 14, 2022</w:t>
            </w:r>
          </w:p>
        </w:tc>
        <w:tc>
          <w:tcPr>
            <w:tcW w:w="0" w:type="dxa"/>
            <w:vAlign w:val="bottom"/>
          </w:tcPr>
          <w:p>
            <w:pPr>
              <w:spacing w:after="0"/>
              <w:rPr>
                <w:sz w:val="1"/>
                <w:szCs w:val="1"/>
                <w:color w:val="auto"/>
              </w:rPr>
            </w:pPr>
          </w:p>
        </w:tc>
      </w:tr>
      <w:tr>
        <w:trPr>
          <w:trHeight w:val="86"/>
        </w:trPr>
        <w:tc>
          <w:tcPr>
            <w:tcW w:w="4320" w:type="dxa"/>
            <w:vAlign w:val="bottom"/>
            <w:vMerge w:val="restart"/>
          </w:tcPr>
          <w:p>
            <w:pPr>
              <w:jc w:val="center"/>
              <w:spacing w:after="0"/>
              <w:rPr>
                <w:sz w:val="20"/>
                <w:szCs w:val="20"/>
                <w:color w:val="auto"/>
              </w:rPr>
            </w:pPr>
            <w:r>
              <w:rPr>
                <w:rFonts w:ascii="Arial" w:cs="Arial" w:eastAsia="Arial" w:hAnsi="Arial"/>
                <w:sz w:val="18"/>
                <w:szCs w:val="18"/>
                <w:color w:val="auto"/>
                <w:w w:val="90"/>
              </w:rPr>
              <w:t>Nat Turner</w:t>
            </w:r>
          </w:p>
        </w:tc>
        <w:tc>
          <w:tcPr>
            <w:tcW w:w="3660" w:type="dxa"/>
            <w:vAlign w:val="bottom"/>
            <w:vMerge w:val="continue"/>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4320" w:type="dxa"/>
            <w:vAlign w:val="bottom"/>
            <w:vMerge w:val="continue"/>
          </w:tcPr>
          <w:p>
            <w:pPr>
              <w:spacing w:after="0"/>
              <w:rPr>
                <w:sz w:val="11"/>
                <w:szCs w:val="11"/>
                <w:color w:val="auto"/>
              </w:rPr>
            </w:pPr>
          </w:p>
        </w:tc>
        <w:tc>
          <w:tcPr>
            <w:tcW w:w="36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184</w:t>
      </w:r>
    </w:p>
    <w:sectPr>
      <w:pgSz w:w="11900" w:h="16838" w:orient="portrait"/>
      <w:cols w:equalWidth="0" w:num="1">
        <w:col w:w="10400"/>
      </w:cols>
      <w:pgMar w:left="320" w:top="144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lowerRoman"/>
      <w:start w:val="1"/>
    </w:lvl>
  </w:abstractNum>
  <w:abstractNum w:abstractNumId="1">
    <w:nsid w:val="542289EC"/>
    <w:multiLevelType w:val="hybridMultilevel"/>
    <w:lvl w:ilvl="0">
      <w:lvlJc w:val="left"/>
      <w:lvlText w:val="x"/>
      <w:numFmt w:val="bullet"/>
      <w:start w:val="1"/>
    </w:lvl>
  </w:abstractNum>
  <w:abstractNum w:abstractNumId="2">
    <w:nsid w:val="6DE91B18"/>
    <w:multiLevelType w:val="hybridMultilevel"/>
    <w:lvl w:ilvl="0">
      <w:lvlJc w:val="left"/>
      <w:lvlText w:val="o"/>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
      <w:numFmt w:val="bullet"/>
      <w:start w:val="1"/>
    </w:lvl>
  </w:abstractNum>
  <w:abstractNum w:abstractNumId="29">
    <w:nsid w:val="D34B6A8"/>
    <w:multiLevelType w:val="hybridMultilevel"/>
    <w:lvl w:ilvl="0">
      <w:lvlJc w:val="left"/>
      <w:lvlText w:val="•"/>
      <w:numFmt w:val="bullet"/>
      <w:start w:val="1"/>
    </w:lvl>
  </w:abstractNum>
  <w:abstractNum w:abstractNumId="30">
    <w:nsid w:val="10233C99"/>
    <w:multiLevelType w:val="hybridMultilevel"/>
    <w:lvl w:ilvl="0">
      <w:lvlJc w:val="left"/>
      <w:lvlText w:val="•"/>
      <w:numFmt w:val="bullet"/>
      <w:start w:val="1"/>
    </w:lvl>
  </w:abstractNum>
  <w:abstractNum w:abstractNumId="31">
    <w:nsid w:val="3F6AB60F"/>
    <w:multiLevelType w:val="hybridMultilevel"/>
    <w:lvl w:ilvl="0">
      <w:lvlJc w:val="left"/>
      <w:lvlText w:val="•"/>
      <w:numFmt w:val="bullet"/>
      <w:start w:val="1"/>
    </w:lvl>
  </w:abstractNum>
  <w:abstractNum w:abstractNumId="32">
    <w:nsid w:val="61574095"/>
    <w:multiLevelType w:val="hybridMultilevel"/>
    <w:lvl w:ilvl="0">
      <w:lvlJc w:val="left"/>
      <w:lvlText w:val="•"/>
      <w:numFmt w:val="bullet"/>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Roman"/>
      <w:start w:val="4"/>
    </w:lvl>
  </w:abstractNum>
  <w:abstractNum w:abstractNumId="40">
    <w:nsid w:val="1DBABF00"/>
    <w:multiLevelType w:val="hybridMultilevel"/>
    <w:lvl w:ilvl="0">
      <w:lvlJc w:val="left"/>
      <w:lvlText w:val="•"/>
      <w:numFmt w:val="bullet"/>
      <w:start w:val="1"/>
    </w:lvl>
  </w:abstractNum>
  <w:abstractNum w:abstractNumId="41">
    <w:nsid w:val="4AD084E9"/>
    <w:multiLevelType w:val="hybridMultilevel"/>
    <w:lvl w:ilvl="0">
      <w:lvlJc w:val="left"/>
      <w:lvlText w:val="(%1)"/>
      <w:numFmt w:val="decimal"/>
      <w:start w:val="1"/>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
      <w:numFmt w:val="bullet"/>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5"/>
    </w:lvl>
  </w:abstractNum>
  <w:abstractNum w:abstractNumId="50">
    <w:nsid w:val="799D0247"/>
    <w:multiLevelType w:val="hybridMultilevel"/>
    <w:lvl w:ilvl="0">
      <w:lvlJc w:val="left"/>
      <w:lvlText w:val="%1."/>
      <w:numFmt w:val="decimal"/>
      <w:start w:val="6"/>
    </w:lvl>
  </w:abstractNum>
  <w:abstractNum w:abstractNumId="51">
    <w:nsid w:val="6B94764"/>
    <w:multiLevelType w:val="hybridMultilevel"/>
    <w:lvl w:ilvl="0">
      <w:lvlJc w:val="left"/>
      <w:lvlText w:val="(%1)"/>
      <w:numFmt w:val="lowerRoman"/>
      <w:start w:val="1"/>
    </w:lvl>
  </w:abstractNum>
  <w:abstractNum w:abstractNumId="52">
    <w:nsid w:val="42C296BD"/>
    <w:multiLevelType w:val="hybridMultilevel"/>
    <w:lvl w:ilvl="0">
      <w:lvlJc w:val="left"/>
      <w:lvlText w:val="\endash "/>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
      <w:numFmt w:val="bullet"/>
      <w:start w:val="1"/>
    </w:lvl>
  </w:abstractNum>
  <w:abstractNum w:abstractNumId="57">
    <w:nsid w:val="540A471C"/>
    <w:multiLevelType w:val="hybridMultilevel"/>
    <w:lvl w:ilvl="0">
      <w:lvlJc w:val="left"/>
      <w:lvlText w:val="(%1)"/>
      <w:numFmt w:val="decimal"/>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1)"/>
      <w:numFmt w:val="decimal"/>
      <w:start w:val="1"/>
    </w:lvl>
  </w:abstractNum>
  <w:abstractNum w:abstractNumId="68">
    <w:nsid w:val="68EB2F63"/>
    <w:multiLevelType w:val="hybridMultilevel"/>
    <w:lvl w:ilvl="0">
      <w:lvlJc w:val="left"/>
      <w:lvlText w:val="(%1)"/>
      <w:numFmt w:val="decimal"/>
      <w:start w:val="8"/>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lowerRoman"/>
      <w:start w:val="4"/>
    </w:lvl>
  </w:abstractNum>
  <w:abstractNum w:abstractNumId="73">
    <w:nsid w:val="7FFFCA11"/>
    <w:multiLevelType w:val="hybridMultilevel"/>
    <w:lvl w:ilvl="0">
      <w:lvlJc w:val="left"/>
      <w:lvlText w:val="(%1)"/>
      <w:numFmt w:val="decimal"/>
      <w:start w:val="1"/>
    </w:lvl>
  </w:abstractNum>
  <w:abstractNum w:abstractNumId="74">
    <w:nsid w:val="1A27709E"/>
    <w:multiLevelType w:val="hybridMultilevel"/>
    <w:lvl w:ilvl="0">
      <w:lvlJc w:val="left"/>
      <w:lvlText w:val="(%1)"/>
      <w:numFmt w:val="decimal"/>
      <w:start w:val="1"/>
    </w:lvl>
  </w:abstractNum>
  <w:abstractNum w:abstractNumId="75">
    <w:nsid w:val="71EA1109"/>
    <w:multiLevelType w:val="hybridMultilevel"/>
    <w:lvl w:ilvl="0">
      <w:lvlJc w:val="left"/>
      <w:lvlText w:val="(%1)"/>
      <w:numFmt w:val="decimal"/>
      <w:start w:val="1"/>
    </w:lvl>
  </w:abstractNum>
  <w:abstractNum w:abstractNumId="76">
    <w:nsid w:val="100F59DC"/>
    <w:multiLevelType w:val="hybridMultilevel"/>
    <w:lvl w:ilvl="0">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3"/>
    </w:lvl>
  </w:abstractNum>
  <w:abstractNum w:abstractNumId="80">
    <w:nsid w:val="94211F2"/>
    <w:multiLevelType w:val="hybridMultilevel"/>
    <w:lvl w:ilvl="0">
      <w:lvlJc w:val="left"/>
      <w:lvlText w:val="%1."/>
      <w:numFmt w:val="lowerLetter"/>
      <w:start w:val="1"/>
    </w:lvl>
  </w:abstractNum>
  <w:abstractNum w:abstractNumId="81">
    <w:nsid w:val="885E1B"/>
    <w:multiLevelType w:val="hybridMultilevel"/>
    <w:lvl w:ilvl="0">
      <w:lvlJc w:val="left"/>
      <w:lvlText w:val="%1."/>
      <w:numFmt w:val="lowerLetter"/>
      <w:start w:val="3"/>
    </w:lvl>
  </w:abstractNum>
  <w:abstractNum w:abstractNumId="82">
    <w:nsid w:val="76272110"/>
    <w:multiLevelType w:val="hybridMultilevel"/>
    <w:lvl w:ilvl="0">
      <w:lvlJc w:val="left"/>
      <w:lvlText w:val="(%1)"/>
      <w:numFmt w:val="decimal"/>
      <w:start w:val="1"/>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1"/>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1)"/>
      <w:numFmt w:val="lowerLetter"/>
      <w:start w:val="1"/>
    </w:lvl>
    <w:lvl w:ilvl="1">
      <w:lvlJc w:val="left"/>
      <w:lvlText w:val="%2."/>
      <w:numFmt w:val="decimal"/>
      <w:start w:val="1"/>
    </w:lvl>
  </w:abstractNum>
  <w:abstractNum w:abstractNumId="87">
    <w:nsid w:val="74DE0EE3"/>
    <w:multiLevelType w:val="hybridMultilevel"/>
    <w:lvl w:ilvl="0">
      <w:lvlJc w:val="left"/>
      <w:lvlText w:val="*"/>
      <w:numFmt w:val="bullet"/>
      <w:start w:val="1"/>
    </w:lvl>
    <w:lvl w:ilvl="1">
      <w:lvlJc w:val="left"/>
      <w:lvlText w:val="%2"/>
      <w:numFmt w:val="decimal"/>
      <w:start w:val="104"/>
    </w:lvl>
  </w:abstractNum>
  <w:abstractNum w:abstractNumId="88">
    <w:nsid w:val="68EBC550"/>
    <w:multiLevelType w:val="hybridMultilevel"/>
    <w:lvl w:ilvl="0">
      <w:lvlJc w:val="left"/>
      <w:lvlText w:val="**"/>
      <w:numFmt w:val="bullet"/>
      <w:start w:val="1"/>
    </w:lvl>
    <w:lvl w:ilvl="1">
      <w:lvlJc w:val="left"/>
      <w:lvlText w:val="%2"/>
      <w:numFmt w:val="decimal"/>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61" Type="http://schemas.openxmlformats.org/officeDocument/2006/relationships/image" Target="media/image10.png"/><Relationship Id="rId17" Type="http://schemas.openxmlformats.org/officeDocument/2006/relationships/hyperlink" Target="https://www.sec.gov/Archives/edgar/data/0001818331/000162828021013404/sema4proxy.htm#i8b8880c1ddfa423593153735d1fc233d_1878" TargetMode="External"/><Relationship Id="rId18" Type="http://schemas.openxmlformats.org/officeDocument/2006/relationships/hyperlink" Target="https://www.sec.gov/Archives/edgar/data/0001818331/000181833122000010/exhibit21-mergeragreement2.htm" TargetMode="External"/><Relationship Id="rId19" Type="http://schemas.openxmlformats.org/officeDocument/2006/relationships/hyperlink" Target="https://www.sec.gov/Archives/edgar/data/0001818331/000162828021014760/exhibit31-super8xk.htm" TargetMode="External"/><Relationship Id="rId20" Type="http://schemas.openxmlformats.org/officeDocument/2006/relationships/hyperlink" Target="https://www.sec.gov/Archives/edgar/data/0001818331/000162828021014760/exhibit32-super8xk.htm" TargetMode="External"/><Relationship Id="rId21" Type="http://schemas.openxmlformats.org/officeDocument/2006/relationships/hyperlink" Target="https://www.sec.gov/Archives/edgar/data/0001818331/000121390020023383/fs12020a1ex4-2_cmlifesci.htm" TargetMode="External"/><Relationship Id="rId22" Type="http://schemas.openxmlformats.org/officeDocument/2006/relationships/hyperlink" Target="https://www.sec.gov/Archives/edgar/data/0001818331/000121390020023383/fs12020a1ex4-3_cmlifesci.htm" TargetMode="External"/><Relationship Id="rId23" Type="http://schemas.openxmlformats.org/officeDocument/2006/relationships/hyperlink" Target="https://www.sec.gov/Archives/edgar/data/0001818331/000121390020025454/ea126481ex10-1_cmlife.htm" TargetMode="External"/><Relationship Id="rId24" Type="http://schemas.openxmlformats.org/officeDocument/2006/relationships/hyperlink" Target="https://www.sec.gov/Archives/edgar/data/0001818331/000181833122000037/sema4-descriptionofsecurit.htm" TargetMode="External"/><Relationship Id="rId25" Type="http://schemas.openxmlformats.org/officeDocument/2006/relationships/hyperlink" Target="https://www.sec.gov/Archives/edgar/data/0001818331/000162828021014760/exhibit102-super8xk.htm" TargetMode="External"/><Relationship Id="rId26" Type="http://schemas.openxmlformats.org/officeDocument/2006/relationships/hyperlink" Target="https://www.sec.gov/Archives/edgar/data/0001818331/000162828021014760/exhibit104-super8xk.htm" TargetMode="External"/><Relationship Id="rId27" Type="http://schemas.openxmlformats.org/officeDocument/2006/relationships/hyperlink" Target="https://www.sec.gov/Archives/edgar/data/0001818331/000162828021014760/exhibit105-super8xk.htm" TargetMode="External"/><Relationship Id="rId28" Type="http://schemas.openxmlformats.org/officeDocument/2006/relationships/hyperlink" Target="https://www.sec.gov/Archives/edgar/data/0001818331/000162828021014760/exhibit106-super8xk.htm" TargetMode="External"/><Relationship Id="rId29" Type="http://schemas.openxmlformats.org/officeDocument/2006/relationships/hyperlink" Target="https://www.sec.gov/Archives/edgar/data/0001818331/000162828021014760/exhibit107-super8xk.htm" TargetMode="External"/><Relationship Id="rId30" Type="http://schemas.openxmlformats.org/officeDocument/2006/relationships/hyperlink" Target="https://www.sec.gov/Archives/edgar/data/0001818331/000162828021014760/exhibit108-super8xk.htm" TargetMode="External"/><Relationship Id="rId31" Type="http://schemas.openxmlformats.org/officeDocument/2006/relationships/hyperlink" Target="https://www.sec.gov/Archives/edgar/data/0001818331/000162828021014760/exhibit109-super8xk.htm" TargetMode="External"/><Relationship Id="rId32" Type="http://schemas.openxmlformats.org/officeDocument/2006/relationships/hyperlink" Target="https://www.sec.gov/Archives/edgar/data/0001818331/000162828021014760/exhibit1010-super8xk.htm" TargetMode="External"/><Relationship Id="rId33" Type="http://schemas.openxmlformats.org/officeDocument/2006/relationships/hyperlink" Target="https://www.sec.gov/Archives/edgar/data/0001818331/000162828021014760/exhibit1011-super8xk.htm" TargetMode="External"/><Relationship Id="rId34" Type="http://schemas.openxmlformats.org/officeDocument/2006/relationships/hyperlink" Target="https://www.sec.gov/Archives/edgar/data/0001818331/000162828021014760/exhibit1013-super8xk.htm" TargetMode="External"/><Relationship Id="rId35" Type="http://schemas.openxmlformats.org/officeDocument/2006/relationships/hyperlink" Target="https://www.sec.gov/Archives/edgar/data/0001818331/000162828021014760/exhibit1017-super8xk.htm" TargetMode="External"/><Relationship Id="rId36" Type="http://schemas.openxmlformats.org/officeDocument/2006/relationships/hyperlink" Target="https://www.sec.gov/Archives/edgar/data/0001818331/000162828021014760/exhibit1018-super8xk.htm" TargetMode="External"/><Relationship Id="rId37" Type="http://schemas.openxmlformats.org/officeDocument/2006/relationships/hyperlink" Target="https://www.sec.gov/Archives/edgar/data/0001818331/000162828021014760/exhibit1019-super8xk.htm" TargetMode="External"/><Relationship Id="rId38" Type="http://schemas.openxmlformats.org/officeDocument/2006/relationships/hyperlink" Target="https://www.sec.gov/Archives/edgar/data/0001818331/000162828021014760/exhibit1020-super8xk.htm" TargetMode="External"/><Relationship Id="rId39" Type="http://schemas.openxmlformats.org/officeDocument/2006/relationships/hyperlink" Target="https://www.sec.gov/Archives/edgar/data/0001818331/000162828021014760/exhibit1021-super8xk.htm" TargetMode="External"/><Relationship Id="rId40" Type="http://schemas.openxmlformats.org/officeDocument/2006/relationships/hyperlink" Target="https://www.sec.gov/Archives/edgar/data/0001818331/000162828021014760/exhibit1022-super8xk.htm" TargetMode="External"/><Relationship Id="rId41" Type="http://schemas.openxmlformats.org/officeDocument/2006/relationships/hyperlink" Target="https://www.sec.gov/Archives/edgar/data/0001818331/000162828021014760/exhibit1023-super8xk.htm" TargetMode="External"/><Relationship Id="rId42" Type="http://schemas.openxmlformats.org/officeDocument/2006/relationships/hyperlink" Target="https://www.sec.gov/Archives/edgar/data/0001818331/000162828021014760/exhibit1024-super8xk.htm" TargetMode="External"/><Relationship Id="rId43" Type="http://schemas.openxmlformats.org/officeDocument/2006/relationships/hyperlink" Target="https://www.sec.gov/Archives/edgar/data/0001818331/000162828021014760/exhibit1025-super8xk.htm" TargetMode="External"/><Relationship Id="rId44" Type="http://schemas.openxmlformats.org/officeDocument/2006/relationships/hyperlink" Target="https://www.sec.gov/Archives/edgar/data/0001818331/000162828021014760/exhibit1026-super8xk.htm" TargetMode="External"/><Relationship Id="rId45" Type="http://schemas.openxmlformats.org/officeDocument/2006/relationships/hyperlink" Target="https://www.sec.gov/Archives/edgar/data/0001818331/000162828021014760/exhibit1027-super8xk.htm" TargetMode="External"/><Relationship Id="rId46" Type="http://schemas.openxmlformats.org/officeDocument/2006/relationships/hyperlink" Target="https://www.sec.gov/Archives/edgar/data/0001818331/000162828021019193/exhibit996-sx8.htm" TargetMode="External"/><Relationship Id="rId47" Type="http://schemas.openxmlformats.org/officeDocument/2006/relationships/hyperlink" Target="https://www.sec.gov/Archives/edgar/data/0001818331/000181833121000012/sema4-svbxxloanandsecurity.htm" TargetMode="External"/><Relationship Id="rId48" Type="http://schemas.openxmlformats.org/officeDocument/2006/relationships/hyperlink" Target="https://www.sec.gov/Archives/edgar/data/0001818331/000121390021008253/ea135116ex10-2_cmlife.htm" TargetMode="External"/><Relationship Id="rId49" Type="http://schemas.openxmlformats.org/officeDocument/2006/relationships/hyperlink" Target="https://www.sec.gov/Archives/edgar/data/0001818331/000121390021008253/ea135116ex10-1_cmlife.htm" TargetMode="External"/><Relationship Id="rId50" Type="http://schemas.openxmlformats.org/officeDocument/2006/relationships/hyperlink" Target="https://www.sec.gov/Archives/edgar/data/1818331/000181833122000010/exhibit102-formofsharehold.htm" TargetMode="External"/><Relationship Id="rId51" Type="http://schemas.openxmlformats.org/officeDocument/2006/relationships/hyperlink" Target="https://www.sec.gov/Archives/edgar/data/1818331/000181833122000010/exhibit103-formofstockhold.htm" TargetMode="External"/><Relationship Id="rId52" Type="http://schemas.openxmlformats.org/officeDocument/2006/relationships/hyperlink" Target="https://www.sec.gov/Archives/edgar/data/1818331/000181833122000010/exhibit104-formofpipeinves.htm" TargetMode="External"/><Relationship Id="rId53" Type="http://schemas.openxmlformats.org/officeDocument/2006/relationships/hyperlink" Target="https://www.sec.gov/Archives/edgar/data/1818331/000181833122000022/sema4-separationagreement.htm" TargetMode="External"/><Relationship Id="rId54" Type="http://schemas.openxmlformats.org/officeDocument/2006/relationships/hyperlink" Target="https://www.sec.gov/Archives/edgar/data/0001818331/000181833122000037/fw_15470948x3xsema4-execut.htm" TargetMode="External"/><Relationship Id="rId55" Type="http://schemas.openxmlformats.org/officeDocument/2006/relationships/hyperlink" Target="https://www.sec.gov/Archives/edgar/data/0001818331/000181833122000037/sema4-10xkfy2021xex211subs.htm" TargetMode="External"/><Relationship Id="rId56" Type="http://schemas.openxmlformats.org/officeDocument/2006/relationships/hyperlink" Target="https://www.sec.gov/Archives/edgar/data/0001818331/000181833122000037/a10-kxeyconsent.htm" TargetMode="External"/><Relationship Id="rId57" Type="http://schemas.openxmlformats.org/officeDocument/2006/relationships/hyperlink" Target="https://www.sec.gov/Archives/edgar/data/0001818331/000181833122000037/ceocertificationfor-ex311x.htm" TargetMode="External"/><Relationship Id="rId58" Type="http://schemas.openxmlformats.org/officeDocument/2006/relationships/hyperlink" Target="https://www.sec.gov/Archives/edgar/data/0001818331/000181833122000037/cfocertificationfor-ex312x.htm" TargetMode="External"/><Relationship Id="rId59" Type="http://schemas.openxmlformats.org/officeDocument/2006/relationships/hyperlink" Target="https://www.sec.gov/Archives/edgar/data/0001818331/000181833122000037/ceocertificationfor-ex321x.htm" TargetMode="External"/><Relationship Id="rId60" Type="http://schemas.openxmlformats.org/officeDocument/2006/relationships/hyperlink" Target="https://www.sec.gov/Archives/edgar/data/0001818331/000181833122000037/cfocertificationfor-ex322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2022-03-14T16:27:09Z</dcterms:created>
  <dcterms:modified xsi:type="dcterms:W3CDTF">2022-03-14T16:27:09Z</dcterms:modified>
</cp:coreProperties>
</file>