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6"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0"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36830</wp:posOffset>
            </wp:positionH>
            <wp:positionV relativeFrom="paragraph">
              <wp:posOffset>-237490</wp:posOffset>
            </wp:positionV>
            <wp:extent cx="133985" cy="133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985" cy="1339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3"/>
        </w:trPr>
        <w:tc>
          <w:tcPr>
            <w:tcW w:w="6360" w:type="dxa"/>
            <w:vAlign w:val="bottom"/>
          </w:tcPr>
          <w:p>
            <w:pPr>
              <w:jc w:val="center"/>
              <w:ind w:right="94"/>
              <w:spacing w:after="0"/>
              <w:rPr>
                <w:sz w:val="20"/>
                <w:szCs w:val="20"/>
                <w:color w:val="auto"/>
              </w:rPr>
            </w:pPr>
            <w:r>
              <w:rPr>
                <w:rFonts w:ascii="Arial" w:cs="Arial" w:eastAsia="Arial" w:hAnsi="Arial"/>
                <w:sz w:val="21"/>
                <w:szCs w:val="21"/>
                <w:b w:val="1"/>
                <w:bCs w:val="1"/>
                <w:color w:val="auto"/>
                <w:w w:val="99"/>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60" w:type="dxa"/>
            <w:vAlign w:val="bottom"/>
            <w:vMerge w:val="restart"/>
          </w:tcPr>
          <w:p>
            <w:pPr>
              <w:jc w:val="center"/>
              <w:ind w:right="94"/>
              <w:spacing w:after="0" w:line="144"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3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7"/>
        </w:trPr>
        <w:tc>
          <w:tcPr>
            <w:tcW w:w="6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360" w:type="dxa"/>
            <w:vAlign w:val="bottom"/>
            <w:vMerge w:val="restart"/>
          </w:tcPr>
          <w:p>
            <w:pPr>
              <w:jc w:val="center"/>
              <w:ind w:right="94"/>
              <w:spacing w:after="0"/>
              <w:rPr>
                <w:sz w:val="20"/>
                <w:szCs w:val="20"/>
                <w:color w:val="auto"/>
              </w:rPr>
            </w:pPr>
            <w:r>
              <w:rPr>
                <w:rFonts w:ascii="Arial" w:cs="Arial" w:eastAsia="Arial" w:hAnsi="Arial"/>
                <w:sz w:val="21"/>
                <w:szCs w:val="21"/>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5"/>
        </w:trPr>
        <w:tc>
          <w:tcPr>
            <w:tcW w:w="63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63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1"/>
        </w:trPr>
        <w:tc>
          <w:tcPr>
            <w:tcW w:w="63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5"/>
        </w:trPr>
        <w:tc>
          <w:tcPr>
            <w:tcW w:w="6360" w:type="dxa"/>
            <w:vAlign w:val="bottom"/>
            <w:vMerge w:val="restart"/>
          </w:tcPr>
          <w:p>
            <w:pPr>
              <w:jc w:val="center"/>
              <w:ind w:right="9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3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5301615</wp:posOffset>
            </wp:positionH>
            <wp:positionV relativeFrom="paragraph">
              <wp:posOffset>-640080</wp:posOffset>
            </wp:positionV>
            <wp:extent cx="59055" cy="6534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3415"/>
                    </a:xfrm>
                    <a:prstGeom prst="rect">
                      <a:avLst/>
                    </a:prstGeom>
                    <a:noFill/>
                  </pic:spPr>
                </pic:pic>
              </a:graphicData>
            </a:graphic>
          </wp:anchor>
        </w:drawing>
        <w:drawing>
          <wp:anchor simplePos="0" relativeHeight="251657728" behindDoc="1" locked="0" layoutInCell="0" allowOverlap="1">
            <wp:simplePos x="0" y="0"/>
            <wp:positionH relativeFrom="column">
              <wp:posOffset>4029075</wp:posOffset>
            </wp:positionH>
            <wp:positionV relativeFrom="paragraph">
              <wp:posOffset>-640080</wp:posOffset>
            </wp:positionV>
            <wp:extent cx="59055" cy="6534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341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-1596390</wp:posOffset>
            </wp:positionH>
            <wp:positionV relativeFrom="paragraph">
              <wp:posOffset>23495</wp:posOffset>
            </wp:positionV>
            <wp:extent cx="6990715" cy="55505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0715" cy="5550535"/>
                    </a:xfrm>
                    <a:prstGeom prst="rect">
                      <a:avLst/>
                    </a:prstGeom>
                    <a:noFill/>
                  </pic:spPr>
                </pic:pic>
              </a:graphicData>
            </a:graphic>
          </wp:anchor>
        </w:drawing>
      </w:r>
    </w:p>
    <w:p>
      <w:pPr>
        <w:spacing w:after="0" w:line="110" w:lineRule="exact"/>
        <w:rPr>
          <w:sz w:val="24"/>
          <w:szCs w:val="24"/>
          <w:color w:val="auto"/>
        </w:rPr>
      </w:pPr>
    </w:p>
    <w:p>
      <w:pPr>
        <w:sectPr>
          <w:pgSz w:w="11900" w:h="16838" w:orient="portrait"/>
          <w:cols w:equalWidth="0" w:num="2">
            <w:col w:w="2320" w:space="180"/>
            <w:col w:w="8580"/>
          </w:cols>
          <w:pgMar w:left="460" w:top="224" w:right="359" w:bottom="1440" w:gutter="0" w:footer="0" w:header="0"/>
        </w:sectPr>
      </w:pPr>
    </w:p>
    <w:p>
      <w:pPr>
        <w:spacing w:after="0" w:line="5"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Saad Kareem</w:t>
        </w:r>
      </w:hyperlink>
    </w:p>
    <w:p>
      <w:pPr>
        <w:spacing w:after="0" w:line="307" w:lineRule="exact"/>
        <w:rPr>
          <w:sz w:val="24"/>
          <w:szCs w:val="24"/>
          <w:color w:val="auto"/>
        </w:rPr>
      </w:pPr>
    </w:p>
    <w:p>
      <w:pPr>
        <w:ind w:left="120"/>
        <w:spacing w:after="0"/>
        <w:tabs>
          <w:tab w:leader="none" w:pos="1320" w:val="left"/>
          <w:tab w:leader="none" w:pos="25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5"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GENEDX HOLDINGS CORP.</w:t>
      </w:r>
    </w:p>
    <w:p>
      <w:pPr>
        <w:spacing w:after="0" w:line="68"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333 LUDLOW ST, NORTH TOWER, 6TH FL.</w:t>
      </w:r>
    </w:p>
    <w:p>
      <w:pPr>
        <w:spacing w:after="0" w:line="292" w:lineRule="exact"/>
        <w:rPr>
          <w:sz w:val="24"/>
          <w:szCs w:val="24"/>
          <w:color w:val="auto"/>
        </w:rPr>
      </w:pPr>
    </w:p>
    <w:tbl>
      <w:tblPr>
        <w:tblLayout w:type="fixed"/>
        <w:tblInd w:w="80" w:type="dxa"/>
        <w:tblCellMar>
          <w:top w:w="0" w:type="dxa"/>
          <w:left w:w="0" w:type="dxa"/>
          <w:bottom w:w="0" w:type="dxa"/>
          <w:right w:w="0" w:type="dxa"/>
        </w:tblCellMar>
      </w:tblPr>
      <w:tr>
        <w:trPr>
          <w:trHeight w:val="16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36"/>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Arial" w:cs="Arial" w:eastAsia="Arial" w:hAnsi="Arial"/>
                <w:sz w:val="17"/>
                <w:szCs w:val="17"/>
                <w:color w:val="0000FF"/>
              </w:rPr>
              <w:t>STAMFORD</w:t>
            </w:r>
          </w:p>
        </w:tc>
        <w:tc>
          <w:tcPr>
            <w:tcW w:w="960" w:type="dxa"/>
            <w:vAlign w:val="bottom"/>
          </w:tcPr>
          <w:p>
            <w:pPr>
              <w:ind w:left="140"/>
              <w:spacing w:after="0"/>
              <w:rPr>
                <w:sz w:val="20"/>
                <w:szCs w:val="20"/>
                <w:color w:val="auto"/>
              </w:rPr>
            </w:pPr>
            <w:r>
              <w:rPr>
                <w:rFonts w:ascii="Arial" w:cs="Arial" w:eastAsia="Arial" w:hAnsi="Arial"/>
                <w:sz w:val="17"/>
                <w:szCs w:val="17"/>
                <w:color w:val="0000FF"/>
              </w:rPr>
              <w:t>CT</w:t>
            </w:r>
          </w:p>
        </w:tc>
        <w:tc>
          <w:tcPr>
            <w:tcW w:w="1600" w:type="dxa"/>
            <w:vAlign w:val="bottom"/>
          </w:tcPr>
          <w:p>
            <w:pPr>
              <w:ind w:left="420"/>
              <w:spacing w:after="0"/>
              <w:rPr>
                <w:sz w:val="20"/>
                <w:szCs w:val="20"/>
                <w:color w:val="auto"/>
              </w:rPr>
            </w:pPr>
            <w:r>
              <w:rPr>
                <w:rFonts w:ascii="Arial" w:cs="Arial" w:eastAsia="Arial" w:hAnsi="Arial"/>
                <w:sz w:val="17"/>
                <w:szCs w:val="17"/>
                <w:color w:val="0000FF"/>
              </w:rPr>
              <w:t>06902</w:t>
            </w:r>
          </w:p>
        </w:tc>
      </w:tr>
      <w:tr>
        <w:trPr>
          <w:trHeight w:val="154"/>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2"/>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0"/>
        </w:trPr>
        <w:tc>
          <w:tcPr>
            <w:tcW w:w="60" w:type="dxa"/>
            <w:vAlign w:val="bottom"/>
          </w:tcPr>
          <w:p>
            <w:pPr>
              <w:spacing w:after="0"/>
              <w:rPr>
                <w:sz w:val="12"/>
                <w:szCs w:val="12"/>
                <w:color w:val="auto"/>
              </w:rPr>
            </w:pPr>
          </w:p>
        </w:tc>
        <w:tc>
          <w:tcPr>
            <w:tcW w:w="3760" w:type="dxa"/>
            <w:vAlign w:val="bottom"/>
            <w:gridSpan w:val="3"/>
          </w:tcPr>
          <w:p>
            <w:pPr>
              <w:spacing w:after="0" w:line="140" w:lineRule="exact"/>
              <w:rPr>
                <w:rFonts w:ascii="Arial" w:cs="Arial" w:eastAsia="Arial" w:hAnsi="Arial"/>
                <w:sz w:val="16"/>
                <w:szCs w:val="16"/>
                <w:color w:val="0000EE"/>
              </w:rPr>
            </w:pPr>
            <w:hyperlink r:id="rId13">
              <w:r>
                <w:rPr>
                  <w:rFonts w:ascii="Arial" w:cs="Arial" w:eastAsia="Arial" w:hAnsi="Arial"/>
                  <w:sz w:val="16"/>
                  <w:szCs w:val="16"/>
                  <w:color w:val="0000EE"/>
                </w:rPr>
                <w:t xml:space="preserve">GeneDx Holdings Corp.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WGS</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940" w:type="dxa"/>
            <w:vAlign w:val="bottom"/>
          </w:tcPr>
          <w:p>
            <w:pPr>
              <w:spacing w:after="0"/>
              <w:rPr>
                <w:sz w:val="3"/>
                <w:szCs w:val="3"/>
                <w:color w:val="auto"/>
              </w:rPr>
            </w:pPr>
          </w:p>
        </w:tc>
        <w:tc>
          <w:tcPr>
            <w:tcW w:w="170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940" w:type="dxa"/>
            <w:vAlign w:val="bottom"/>
            <w:tcBorders>
              <w:bottom w:val="single" w:sz="8" w:color="0000EE"/>
            </w:tcBorders>
          </w:tcPr>
          <w:p>
            <w:pPr>
              <w:spacing w:after="0"/>
              <w:rPr>
                <w:sz w:val="3"/>
                <w:szCs w:val="3"/>
                <w:color w:val="auto"/>
              </w:rPr>
            </w:pPr>
          </w:p>
        </w:tc>
        <w:tc>
          <w:tcPr>
            <w:tcW w:w="17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3"/>
        </w:trPr>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7"/>
        </w:trPr>
        <w:tc>
          <w:tcPr>
            <w:tcW w:w="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940" w:type="dxa"/>
            <w:vAlign w:val="bottom"/>
            <w:tcBorders>
              <w:bottom w:val="single" w:sz="8" w:color="2C2C2C"/>
            </w:tcBorders>
          </w:tcPr>
          <w:p>
            <w:pPr>
              <w:spacing w:after="0"/>
              <w:rPr>
                <w:sz w:val="7"/>
                <w:szCs w:val="7"/>
                <w:color w:val="auto"/>
              </w:rPr>
            </w:pPr>
          </w:p>
        </w:tc>
        <w:tc>
          <w:tcPr>
            <w:tcW w:w="1700" w:type="dxa"/>
            <w:vAlign w:val="bottom"/>
            <w:tcBorders>
              <w:bottom w:val="single" w:sz="8" w:color="2C2C2C"/>
            </w:tcBorders>
          </w:tcPr>
          <w:p>
            <w:pPr>
              <w:spacing w:after="0"/>
              <w:rPr>
                <w:sz w:val="7"/>
                <w:szCs w:val="7"/>
                <w:color w:val="auto"/>
              </w:rPr>
            </w:pPr>
          </w:p>
        </w:tc>
        <w:tc>
          <w:tcPr>
            <w:tcW w:w="480" w:type="dxa"/>
            <w:vAlign w:val="bottom"/>
            <w:vMerge w:val="restart"/>
          </w:tcPr>
          <w:p>
            <w:pPr>
              <w:ind w:left="260"/>
              <w:spacing w:after="0"/>
              <w:rPr>
                <w:sz w:val="20"/>
                <w:szCs w:val="20"/>
                <w:color w:val="auto"/>
              </w:rPr>
            </w:pPr>
            <w:r>
              <w:rPr>
                <w:rFonts w:ascii="Arial" w:cs="Arial" w:eastAsia="Arial" w:hAnsi="Arial"/>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0"/>
        </w:trPr>
        <w:tc>
          <w:tcPr>
            <w:tcW w:w="180" w:type="dxa"/>
            <w:vAlign w:val="bottom"/>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480" w:type="dxa"/>
            <w:vAlign w:val="bottom"/>
            <w:vMerge w:val="continue"/>
          </w:tcPr>
          <w:p>
            <w:pPr>
              <w:spacing w:after="0"/>
              <w:rPr>
                <w:sz w:val="6"/>
                <w:szCs w:val="6"/>
                <w:color w:val="auto"/>
              </w:rPr>
            </w:pPr>
          </w:p>
        </w:tc>
        <w:tc>
          <w:tcPr>
            <w:tcW w:w="13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7"/>
        </w:trPr>
        <w:tc>
          <w:tcPr>
            <w:tcW w:w="180" w:type="dxa"/>
            <w:vAlign w:val="bottom"/>
            <w:gridSpan w:val="2"/>
            <w:vMerge w:val="continue"/>
          </w:tcPr>
          <w:p>
            <w:pPr>
              <w:spacing w:after="0"/>
              <w:rPr>
                <w:sz w:val="11"/>
                <w:szCs w:val="11"/>
                <w:color w:val="auto"/>
              </w:rPr>
            </w:pPr>
          </w:p>
        </w:tc>
        <w:tc>
          <w:tcPr>
            <w:tcW w:w="3640" w:type="dxa"/>
            <w:vAlign w:val="bottom"/>
            <w:gridSpan w:val="2"/>
            <w:vMerge w:val="continue"/>
          </w:tcPr>
          <w:p>
            <w:pPr>
              <w:spacing w:after="0"/>
              <w:rPr>
                <w:sz w:val="11"/>
                <w:szCs w:val="11"/>
                <w:color w:val="auto"/>
              </w:rPr>
            </w:pPr>
          </w:p>
        </w:tc>
        <w:tc>
          <w:tcPr>
            <w:tcW w:w="480" w:type="dxa"/>
            <w:vAlign w:val="bottom"/>
            <w:vMerge w:val="continue"/>
          </w:tcPr>
          <w:p>
            <w:pPr>
              <w:spacing w:after="0"/>
              <w:rPr>
                <w:sz w:val="11"/>
                <w:szCs w:val="11"/>
                <w:color w:val="auto"/>
              </w:rPr>
            </w:pPr>
          </w:p>
        </w:tc>
        <w:tc>
          <w:tcPr>
            <w:tcW w:w="1360" w:type="dxa"/>
            <w:vAlign w:val="bottom"/>
          </w:tcPr>
          <w:p>
            <w:pPr>
              <w:ind w:left="100"/>
              <w:spacing w:after="0" w:line="128"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8"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7"/>
        </w:trPr>
        <w:tc>
          <w:tcPr>
            <w:tcW w:w="2120" w:type="dxa"/>
            <w:vAlign w:val="bottom"/>
            <w:gridSpan w:val="3"/>
          </w:tcPr>
          <w:p>
            <w:pPr>
              <w:ind w:left="60"/>
              <w:spacing w:after="0"/>
              <w:rPr>
                <w:sz w:val="20"/>
                <w:szCs w:val="20"/>
                <w:color w:val="auto"/>
              </w:rPr>
            </w:pPr>
            <w:r>
              <w:rPr>
                <w:rFonts w:ascii="Arial" w:cs="Arial" w:eastAsia="Arial" w:hAnsi="Arial"/>
                <w:sz w:val="17"/>
                <w:szCs w:val="17"/>
                <w:color w:val="0000FF"/>
              </w:rPr>
              <w:t>06/09/2023</w:t>
            </w:r>
          </w:p>
        </w:tc>
        <w:tc>
          <w:tcPr>
            <w:tcW w:w="1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0" w:type="dxa"/>
            <w:vAlign w:val="bottom"/>
            <w:gridSpan w:val="2"/>
            <w:vMerge w:val="restart"/>
          </w:tcPr>
          <w:p>
            <w:pPr>
              <w:ind w:left="160"/>
              <w:spacing w:after="0"/>
              <w:rPr>
                <w:sz w:val="20"/>
                <w:szCs w:val="20"/>
                <w:color w:val="auto"/>
              </w:rPr>
            </w:pPr>
            <w:r>
              <w:rPr>
                <w:rFonts w:ascii="Arial" w:cs="Arial" w:eastAsia="Arial" w:hAnsi="Arial"/>
                <w:sz w:val="17"/>
                <w:szCs w:val="17"/>
                <w:color w:val="0000FF"/>
              </w:rPr>
              <w:t>Chief Transformation Officer</w:t>
            </w:r>
          </w:p>
        </w:tc>
        <w:tc>
          <w:tcPr>
            <w:tcW w:w="0" w:type="dxa"/>
            <w:vAlign w:val="bottom"/>
          </w:tcPr>
          <w:p>
            <w:pPr>
              <w:spacing w:after="0"/>
              <w:rPr>
                <w:sz w:val="1"/>
                <w:szCs w:val="1"/>
                <w:color w:val="auto"/>
              </w:rPr>
            </w:pPr>
          </w:p>
        </w:tc>
      </w:tr>
      <w:tr>
        <w:trPr>
          <w:trHeight w:val="71"/>
        </w:trPr>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940" w:type="dxa"/>
            <w:vAlign w:val="bottom"/>
          </w:tcPr>
          <w:p>
            <w:pPr>
              <w:spacing w:after="0"/>
              <w:rPr>
                <w:sz w:val="6"/>
                <w:szCs w:val="6"/>
                <w:color w:val="auto"/>
              </w:rPr>
            </w:pPr>
          </w:p>
        </w:tc>
        <w:tc>
          <w:tcPr>
            <w:tcW w:w="1700" w:type="dxa"/>
            <w:vAlign w:val="bottom"/>
          </w:tcPr>
          <w:p>
            <w:pPr>
              <w:spacing w:after="0"/>
              <w:rPr>
                <w:sz w:val="6"/>
                <w:szCs w:val="6"/>
                <w:color w:val="auto"/>
              </w:rPr>
            </w:pPr>
          </w:p>
        </w:tc>
        <w:tc>
          <w:tcPr>
            <w:tcW w:w="48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940" w:type="dxa"/>
            <w:vAlign w:val="bottom"/>
            <w:tcBorders>
              <w:bottom w:val="single" w:sz="8" w:color="2C2C2C"/>
            </w:tcBorders>
          </w:tcPr>
          <w:p>
            <w:pPr>
              <w:spacing w:after="0"/>
              <w:rPr>
                <w:sz w:val="8"/>
                <w:szCs w:val="8"/>
                <w:color w:val="auto"/>
              </w:rPr>
            </w:pPr>
          </w:p>
        </w:tc>
        <w:tc>
          <w:tcPr>
            <w:tcW w:w="1700" w:type="dxa"/>
            <w:vAlign w:val="bottom"/>
            <w:tcBorders>
              <w:bottom w:val="single" w:sz="8" w:color="2C2C2C"/>
            </w:tcBorders>
          </w:tcPr>
          <w:p>
            <w:pPr>
              <w:spacing w:after="0"/>
              <w:rPr>
                <w:sz w:val="8"/>
                <w:szCs w:val="8"/>
                <w:color w:val="auto"/>
              </w:rPr>
            </w:pPr>
          </w:p>
        </w:tc>
        <w:tc>
          <w:tcPr>
            <w:tcW w:w="328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7"/>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36"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7" w:lineRule="exact"/>
        <w:rPr>
          <w:sz w:val="24"/>
          <w:szCs w:val="24"/>
          <w:color w:val="auto"/>
        </w:rPr>
      </w:pPr>
    </w:p>
    <w:p>
      <w:pPr>
        <w:ind w:left="60"/>
        <w:spacing w:after="0"/>
        <w:rPr>
          <w:sz w:val="20"/>
          <w:szCs w:val="20"/>
          <w:color w:val="auto"/>
        </w:rPr>
      </w:pPr>
      <w:r>
        <w:rPr>
          <w:rFonts w:ascii="Arial" w:cs="Arial" w:eastAsia="Arial" w:hAnsi="Arial"/>
          <w:sz w:val="21"/>
          <w:szCs w:val="21"/>
          <w:color w:val="auto"/>
        </w:rPr>
        <w:t>Rule 10b5-1(c) Transaction Indication</w:t>
      </w:r>
    </w:p>
    <w:p>
      <w:pPr>
        <w:spacing w:after="0" w:line="217" w:lineRule="exact"/>
        <w:rPr>
          <w:sz w:val="24"/>
          <w:szCs w:val="24"/>
          <w:color w:val="auto"/>
        </w:rPr>
      </w:pPr>
    </w:p>
    <w:p>
      <w:pPr>
        <w:ind w:left="320" w:right="500"/>
        <w:spacing w:after="0" w:line="24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4" w:lineRule="exact"/>
        <w:rPr>
          <w:sz w:val="24"/>
          <w:szCs w:val="24"/>
          <w:color w:val="auto"/>
        </w:rPr>
      </w:pPr>
    </w:p>
    <w:p>
      <w:pPr>
        <w:sectPr>
          <w:pgSz w:w="11900" w:h="16838" w:orient="portrait"/>
          <w:cols w:equalWidth="0" w:num="2">
            <w:col w:w="3760" w:space="100"/>
            <w:col w:w="7220"/>
          </w:cols>
          <w:pgMar w:left="460" w:top="224"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ind w:left="500"/>
              <w:spacing w:after="0" w:line="129"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120"/>
              <w:spacing w:after="0" w:line="129" w:lineRule="exact"/>
              <w:rPr>
                <w:sz w:val="20"/>
                <w:szCs w:val="20"/>
                <w:color w:val="auto"/>
              </w:rPr>
            </w:pPr>
            <w:r>
              <w:rPr>
                <w:rFonts w:ascii="Arial" w:cs="Arial" w:eastAsia="Arial" w:hAnsi="Arial"/>
                <w:sz w:val="12"/>
                <w:szCs w:val="12"/>
                <w:b w:val="1"/>
                <w:bCs w:val="1"/>
                <w:color w:val="auto"/>
                <w:w w:val="97"/>
              </w:rPr>
              <w:t>Disposed Of (D) (Instr. 3, 4 and 5)</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540" w:type="dxa"/>
            <w:vAlign w:val="bottom"/>
            <w:gridSpan w:val="2"/>
          </w:tcPr>
          <w:p>
            <w:pPr>
              <w:ind w:left="500"/>
              <w:spacing w:after="0" w:line="132"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160" w:type="dxa"/>
            <w:vAlign w:val="bottom"/>
            <w:gridSpan w:val="2"/>
            <w:vMerge w:val="restart"/>
          </w:tcPr>
          <w:p>
            <w:pPr>
              <w:ind w:left="60"/>
              <w:spacing w:after="0" w:line="132"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(A) or</w:t>
            </w: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60" w:type="dxa"/>
            <w:vAlign w:val="bottom"/>
            <w:vMerge w:val="continue"/>
          </w:tcPr>
          <w:p>
            <w:pPr>
              <w:spacing w:after="0"/>
              <w:rPr>
                <w:sz w:val="11"/>
                <w:szCs w:val="11"/>
                <w:color w:val="auto"/>
              </w:rPr>
            </w:pPr>
          </w:p>
        </w:tc>
        <w:tc>
          <w:tcPr>
            <w:tcW w:w="6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6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580" w:type="dxa"/>
            <w:vAlign w:val="bottom"/>
            <w:tcBorders>
              <w:bottom w:val="single" w:sz="8" w:color="2C2C2C"/>
            </w:tcBorders>
            <w:gridSpan w:val="3"/>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3"/>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2580" w:type="dxa"/>
            <w:vAlign w:val="bottom"/>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40" w:type="dxa"/>
            <w:vAlign w:val="bottom"/>
            <w:gridSpan w:val="2"/>
          </w:tcPr>
          <w:p>
            <w:pPr>
              <w:ind w:left="600"/>
              <w:spacing w:after="0"/>
              <w:rPr>
                <w:sz w:val="20"/>
                <w:szCs w:val="20"/>
                <w:color w:val="auto"/>
              </w:rPr>
            </w:pPr>
            <w:r>
              <w:rPr>
                <w:rFonts w:ascii="Arial" w:cs="Arial" w:eastAsia="Arial" w:hAnsi="Arial"/>
                <w:sz w:val="17"/>
                <w:szCs w:val="17"/>
                <w:color w:val="0000FF"/>
              </w:rPr>
              <w:t>06/09/2023</w:t>
            </w:r>
          </w:p>
        </w:tc>
        <w:tc>
          <w:tcPr>
            <w:tcW w:w="4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80" w:type="dxa"/>
            <w:vAlign w:val="bottom"/>
          </w:tcPr>
          <w:p>
            <w:pPr>
              <w:ind w:left="200"/>
              <w:spacing w:after="0"/>
              <w:rPr>
                <w:sz w:val="20"/>
                <w:szCs w:val="20"/>
                <w:color w:val="auto"/>
              </w:rPr>
            </w:pPr>
            <w:r>
              <w:rPr>
                <w:rFonts w:ascii="Arial" w:cs="Arial" w:eastAsia="Arial" w:hAnsi="Arial"/>
                <w:sz w:val="13"/>
                <w:szCs w:val="13"/>
                <w:color w:val="0000FF"/>
              </w:rPr>
              <w:t>M</w:t>
            </w:r>
          </w:p>
        </w:tc>
        <w:tc>
          <w:tcPr>
            <w:tcW w:w="720" w:type="dxa"/>
            <w:vAlign w:val="bottom"/>
          </w:tcPr>
          <w:p>
            <w:pPr>
              <w:jc w:val="right"/>
              <w:ind w:right="15"/>
              <w:spacing w:after="0"/>
              <w:rPr>
                <w:sz w:val="20"/>
                <w:szCs w:val="20"/>
                <w:color w:val="auto"/>
              </w:rPr>
            </w:pPr>
            <w:r>
              <w:rPr>
                <w:rFonts w:ascii="Arial" w:cs="Arial" w:eastAsia="Arial" w:hAnsi="Arial"/>
                <w:sz w:val="17"/>
                <w:szCs w:val="17"/>
                <w:color w:val="0000FF"/>
              </w:rPr>
              <w:t>2,841</w:t>
            </w:r>
          </w:p>
        </w:tc>
        <w:tc>
          <w:tcPr>
            <w:tcW w:w="660" w:type="dxa"/>
            <w:vAlign w:val="bottom"/>
          </w:tcPr>
          <w:p>
            <w:pPr>
              <w:ind w:left="300"/>
              <w:spacing w:after="0"/>
              <w:rPr>
                <w:sz w:val="20"/>
                <w:szCs w:val="20"/>
                <w:color w:val="auto"/>
              </w:rPr>
            </w:pPr>
            <w:r>
              <w:rPr>
                <w:rFonts w:ascii="Arial" w:cs="Arial" w:eastAsia="Arial" w:hAnsi="Arial"/>
                <w:sz w:val="17"/>
                <w:szCs w:val="17"/>
                <w:color w:val="0000FF"/>
              </w:rPr>
              <w:t>A</w:t>
            </w:r>
          </w:p>
        </w:tc>
        <w:tc>
          <w:tcPr>
            <w:tcW w:w="520" w:type="dxa"/>
            <w:vAlign w:val="bottom"/>
          </w:tcPr>
          <w:p>
            <w:pPr>
              <w:jc w:val="right"/>
              <w:ind w:right="55"/>
              <w:spacing w:after="0"/>
              <w:rPr>
                <w:sz w:val="20"/>
                <w:szCs w:val="20"/>
                <w:color w:val="auto"/>
              </w:rPr>
            </w:pPr>
            <w:r>
              <w:rPr>
                <w:rFonts w:ascii="Arial" w:cs="Arial" w:eastAsia="Arial" w:hAnsi="Arial"/>
                <w:sz w:val="11"/>
                <w:szCs w:val="11"/>
                <w:color w:val="008000"/>
              </w:rPr>
              <w:t>(1)</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0" w:type="dxa"/>
            <w:vAlign w:val="bottom"/>
            <w:gridSpan w:val="3"/>
          </w:tcPr>
          <w:p>
            <w:pPr>
              <w:jc w:val="right"/>
              <w:ind w:right="340"/>
              <w:spacing w:after="0"/>
              <w:rPr>
                <w:sz w:val="20"/>
                <w:szCs w:val="20"/>
                <w:color w:val="auto"/>
              </w:rPr>
            </w:pPr>
            <w:r>
              <w:rPr>
                <w:rFonts w:ascii="Arial" w:cs="Arial" w:eastAsia="Arial" w:hAnsi="Arial"/>
                <w:sz w:val="17"/>
                <w:szCs w:val="17"/>
                <w:color w:val="0000FF"/>
              </w:rPr>
              <w:t>8,821</w:t>
            </w:r>
          </w:p>
        </w:tc>
        <w:tc>
          <w:tcPr>
            <w:tcW w:w="26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580" w:type="dxa"/>
            <w:vAlign w:val="bottom"/>
            <w:tcBorders>
              <w:bottom w:val="single" w:sz="8" w:color="2C2C2C"/>
            </w:tcBorders>
            <w:gridSpan w:val="3"/>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gridSpan w:val="2"/>
          </w:tcPr>
          <w:p>
            <w:pPr>
              <w:spacing w:after="0"/>
              <w:rPr>
                <w:sz w:val="5"/>
                <w:szCs w:val="5"/>
                <w:color w:val="auto"/>
              </w:rPr>
            </w:pPr>
          </w:p>
        </w:tc>
        <w:tc>
          <w:tcPr>
            <w:tcW w:w="1200" w:type="dxa"/>
            <w:vAlign w:val="bottom"/>
            <w:tcBorders>
              <w:bottom w:val="single" w:sz="8" w:color="2C2C2C"/>
            </w:tcBorders>
            <w:gridSpan w:val="3"/>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63"/>
        </w:trPr>
        <w:tc>
          <w:tcPr>
            <w:tcW w:w="20" w:type="dxa"/>
            <w:vAlign w:val="bottom"/>
            <w:tcBorders>
              <w:bottom w:val="single" w:sz="8" w:color="2C2C2C"/>
            </w:tcBorders>
          </w:tcPr>
          <w:p>
            <w:pPr>
              <w:spacing w:after="0"/>
              <w:rPr>
                <w:sz w:val="24"/>
                <w:szCs w:val="24"/>
                <w:color w:val="auto"/>
              </w:rPr>
            </w:pPr>
          </w:p>
        </w:tc>
        <w:tc>
          <w:tcPr>
            <w:tcW w:w="25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40" w:type="dxa"/>
            <w:vAlign w:val="bottom"/>
            <w:tcBorders>
              <w:bottom w:val="single" w:sz="8" w:color="2C2C2C"/>
            </w:tcBorders>
            <w:gridSpan w:val="2"/>
          </w:tcPr>
          <w:p>
            <w:pPr>
              <w:ind w:left="600"/>
              <w:spacing w:after="0"/>
              <w:rPr>
                <w:sz w:val="20"/>
                <w:szCs w:val="20"/>
                <w:color w:val="auto"/>
              </w:rPr>
            </w:pPr>
            <w:r>
              <w:rPr>
                <w:rFonts w:ascii="Arial" w:cs="Arial" w:eastAsia="Arial" w:hAnsi="Arial"/>
                <w:sz w:val="17"/>
                <w:szCs w:val="17"/>
                <w:color w:val="0000FF"/>
              </w:rPr>
              <w:t>06/12/2023</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(2)</w:t>
            </w:r>
          </w:p>
        </w:tc>
        <w:tc>
          <w:tcPr>
            <w:tcW w:w="720" w:type="dxa"/>
            <w:vAlign w:val="bottom"/>
            <w:tcBorders>
              <w:bottom w:val="single" w:sz="8" w:color="2C2C2C"/>
            </w:tcBorders>
          </w:tcPr>
          <w:p>
            <w:pPr>
              <w:jc w:val="right"/>
              <w:ind w:right="75"/>
              <w:spacing w:after="0"/>
              <w:rPr>
                <w:sz w:val="20"/>
                <w:szCs w:val="20"/>
                <w:color w:val="auto"/>
              </w:rPr>
            </w:pPr>
            <w:r>
              <w:rPr>
                <w:rFonts w:ascii="Arial" w:cs="Arial" w:eastAsia="Arial" w:hAnsi="Arial"/>
                <w:sz w:val="17"/>
                <w:szCs w:val="17"/>
                <w:color w:val="0000FF"/>
              </w:rPr>
              <w:t>845</w:t>
            </w:r>
          </w:p>
        </w:tc>
        <w:tc>
          <w:tcPr>
            <w:tcW w:w="66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6.4898</w:t>
            </w:r>
            <w:r>
              <w:rPr>
                <w:rFonts w:ascii="Arial" w:cs="Arial" w:eastAsia="Arial" w:hAnsi="Arial"/>
                <w:sz w:val="21"/>
                <w:szCs w:val="21"/>
                <w:color w:val="008000"/>
                <w:w w:val="86"/>
                <w:vertAlign w:val="superscript"/>
              </w:rPr>
              <w:t>(3)</w:t>
            </w:r>
          </w:p>
        </w:tc>
        <w:tc>
          <w:tcPr>
            <w:tcW w:w="1200" w:type="dxa"/>
            <w:vAlign w:val="bottom"/>
            <w:tcBorders>
              <w:bottom w:val="single" w:sz="8" w:color="2C2C2C"/>
            </w:tcBorders>
            <w:gridSpan w:val="3"/>
          </w:tcPr>
          <w:p>
            <w:pPr>
              <w:jc w:val="right"/>
              <w:ind w:right="340"/>
              <w:spacing w:after="0"/>
              <w:rPr>
                <w:sz w:val="20"/>
                <w:szCs w:val="20"/>
                <w:color w:val="auto"/>
              </w:rPr>
            </w:pPr>
            <w:r>
              <w:rPr>
                <w:rFonts w:ascii="Arial" w:cs="Arial" w:eastAsia="Arial" w:hAnsi="Arial"/>
                <w:sz w:val="17"/>
                <w:szCs w:val="17"/>
                <w:color w:val="0000FF"/>
              </w:rPr>
              <w:t>7,976</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160" w:type="dxa"/>
            <w:vAlign w:val="bottom"/>
            <w:tcBorders>
              <w:top w:val="single" w:sz="8" w:color="2C2C2C"/>
            </w:tcBorders>
            <w:gridSpan w:val="13"/>
          </w:tcPr>
          <w:p>
            <w:pPr>
              <w:ind w:left="9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6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400" w:type="dxa"/>
            <w:vAlign w:val="bottom"/>
            <w:gridSpan w:val="9"/>
          </w:tcPr>
          <w:p>
            <w:pPr>
              <w:ind w:left="5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0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6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Derivative</w:t>
            </w:r>
          </w:p>
        </w:tc>
        <w:tc>
          <w:tcPr>
            <w:tcW w:w="66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tcBorders>
              <w:right w:val="single" w:sz="8" w:color="2C2C2C"/>
            </w:tcBorders>
            <w:gridSpan w:val="3"/>
          </w:tcPr>
          <w:p>
            <w:pPr>
              <w:ind w:left="120"/>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Security</w:t>
            </w:r>
          </w:p>
        </w:tc>
        <w:tc>
          <w:tcPr>
            <w:tcW w:w="66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70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6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Underlying</w:t>
            </w:r>
          </w:p>
        </w:tc>
        <w:tc>
          <w:tcPr>
            <w:tcW w:w="66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6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6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2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5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Date</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6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4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V</w:t>
            </w:r>
          </w:p>
        </w:tc>
        <w:tc>
          <w:tcPr>
            <w:tcW w:w="7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vMerge w:val="continue"/>
          </w:tcPr>
          <w:p>
            <w:pPr>
              <w:spacing w:after="0"/>
              <w:rPr>
                <w:sz w:val="14"/>
                <w:szCs w:val="14"/>
                <w:color w:val="auto"/>
              </w:rPr>
            </w:pPr>
          </w:p>
        </w:tc>
        <w:tc>
          <w:tcPr>
            <w:tcW w:w="40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60" w:type="dxa"/>
            <w:vAlign w:val="bottom"/>
            <w:vMerge w:val="continue"/>
          </w:tcPr>
          <w:p>
            <w:pPr>
              <w:spacing w:after="0"/>
              <w:rPr>
                <w:sz w:val="14"/>
                <w:szCs w:val="14"/>
                <w:color w:val="auto"/>
              </w:rPr>
            </w:pP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60" w:type="dxa"/>
            <w:vAlign w:val="bottom"/>
          </w:tcPr>
          <w:p>
            <w:pPr>
              <w:ind w:left="100"/>
              <w:spacing w:after="0"/>
              <w:rPr>
                <w:sz w:val="20"/>
                <w:szCs w:val="20"/>
                <w:color w:val="auto"/>
              </w:rPr>
            </w:pPr>
            <w:r>
              <w:rPr>
                <w:rFonts w:ascii="Arial" w:cs="Arial" w:eastAsia="Arial" w:hAnsi="Arial"/>
                <w:sz w:val="13"/>
                <w:szCs w:val="13"/>
                <w:color w:val="0000FF"/>
              </w:rPr>
              <w:t>Class A</w:t>
            </w:r>
          </w:p>
        </w:tc>
        <w:tc>
          <w:tcPr>
            <w:tcW w:w="520" w:type="dxa"/>
            <w:vAlign w:val="bottom"/>
            <w:vMerge w:val="restart"/>
          </w:tcPr>
          <w:p>
            <w:pPr>
              <w:ind w:left="60"/>
              <w:spacing w:after="0"/>
              <w:rPr>
                <w:sz w:val="20"/>
                <w:szCs w:val="20"/>
                <w:color w:val="auto"/>
              </w:rPr>
            </w:pPr>
            <w:r>
              <w:rPr>
                <w:rFonts w:ascii="Arial" w:cs="Arial" w:eastAsia="Arial" w:hAnsi="Arial"/>
                <w:sz w:val="17"/>
                <w:szCs w:val="17"/>
                <w:color w:val="0000FF"/>
              </w:rPr>
              <w:t>2,841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00" w:type="dxa"/>
            <w:vAlign w:val="bottom"/>
          </w:tcPr>
          <w:p>
            <w:pPr>
              <w:ind w:left="60"/>
              <w:spacing w:after="0" w:line="145" w:lineRule="exact"/>
              <w:rPr>
                <w:sz w:val="20"/>
                <w:szCs w:val="20"/>
                <w:color w:val="auto"/>
              </w:rPr>
            </w:pPr>
            <w:r>
              <w:rPr>
                <w:rFonts w:ascii="Arial" w:cs="Arial" w:eastAsia="Arial" w:hAnsi="Arial"/>
                <w:sz w:val="13"/>
                <w:szCs w:val="13"/>
                <w:color w:val="0000FF"/>
              </w:rPr>
              <w:t>Stock</w:t>
            </w:r>
          </w:p>
        </w:tc>
        <w:tc>
          <w:tcPr>
            <w:tcW w:w="780" w:type="dxa"/>
            <w:vAlign w:val="bottom"/>
          </w:tcPr>
          <w:p>
            <w:pPr>
              <w:ind w:left="320"/>
              <w:spacing w:after="0"/>
              <w:rPr>
                <w:sz w:val="20"/>
                <w:szCs w:val="20"/>
                <w:color w:val="auto"/>
              </w:rPr>
            </w:pPr>
            <w:r>
              <w:rPr>
                <w:rFonts w:ascii="Arial" w:cs="Arial" w:eastAsia="Arial" w:hAnsi="Arial"/>
                <w:sz w:val="11"/>
                <w:szCs w:val="11"/>
                <w:color w:val="008000"/>
              </w:rPr>
              <w:t>(1)</w:t>
            </w:r>
          </w:p>
        </w:tc>
        <w:tc>
          <w:tcPr>
            <w:tcW w:w="1100" w:type="dxa"/>
            <w:vAlign w:val="bottom"/>
          </w:tcPr>
          <w:p>
            <w:pPr>
              <w:ind w:left="260"/>
              <w:spacing w:after="0" w:line="145" w:lineRule="exact"/>
              <w:rPr>
                <w:sz w:val="20"/>
                <w:szCs w:val="20"/>
                <w:color w:val="auto"/>
              </w:rPr>
            </w:pPr>
            <w:r>
              <w:rPr>
                <w:rFonts w:ascii="Arial" w:cs="Arial" w:eastAsia="Arial" w:hAnsi="Arial"/>
                <w:sz w:val="13"/>
                <w:szCs w:val="13"/>
                <w:color w:val="0000FF"/>
              </w:rPr>
              <w:t>06/09/2023</w:t>
            </w:r>
          </w:p>
        </w:tc>
        <w:tc>
          <w:tcPr>
            <w:tcW w:w="1120" w:type="dxa"/>
            <w:vAlign w:val="bottom"/>
          </w:tcPr>
          <w:p>
            <w:pPr>
              <w:spacing w:after="0"/>
              <w:rPr>
                <w:sz w:val="12"/>
                <w:szCs w:val="12"/>
                <w:color w:val="auto"/>
              </w:rPr>
            </w:pPr>
          </w:p>
        </w:tc>
        <w:tc>
          <w:tcPr>
            <w:tcW w:w="420" w:type="dxa"/>
            <w:vAlign w:val="bottom"/>
          </w:tcPr>
          <w:p>
            <w:pPr>
              <w:ind w:left="180"/>
              <w:spacing w:after="0" w:line="145" w:lineRule="exact"/>
              <w:rPr>
                <w:sz w:val="20"/>
                <w:szCs w:val="20"/>
                <w:color w:val="auto"/>
              </w:rPr>
            </w:pPr>
            <w:r>
              <w:rPr>
                <w:rFonts w:ascii="Arial" w:cs="Arial" w:eastAsia="Arial" w:hAnsi="Arial"/>
                <w:sz w:val="13"/>
                <w:szCs w:val="13"/>
                <w:color w:val="0000FF"/>
              </w:rPr>
              <w:t>M</w:t>
            </w:r>
          </w:p>
        </w:tc>
        <w:tc>
          <w:tcPr>
            <w:tcW w:w="400" w:type="dxa"/>
            <w:vAlign w:val="bottom"/>
          </w:tcPr>
          <w:p>
            <w:pPr>
              <w:spacing w:after="0"/>
              <w:rPr>
                <w:sz w:val="12"/>
                <w:szCs w:val="12"/>
                <w:color w:val="auto"/>
              </w:rPr>
            </w:pPr>
          </w:p>
        </w:tc>
        <w:tc>
          <w:tcPr>
            <w:tcW w:w="700" w:type="dxa"/>
            <w:vAlign w:val="bottom"/>
          </w:tcPr>
          <w:p>
            <w:pPr>
              <w:ind w:left="320"/>
              <w:spacing w:after="0" w:line="145" w:lineRule="exact"/>
              <w:rPr>
                <w:sz w:val="20"/>
                <w:szCs w:val="20"/>
                <w:color w:val="auto"/>
              </w:rPr>
            </w:pPr>
            <w:r>
              <w:rPr>
                <w:rFonts w:ascii="Arial" w:cs="Arial" w:eastAsia="Arial" w:hAnsi="Arial"/>
                <w:sz w:val="13"/>
                <w:szCs w:val="13"/>
                <w:color w:val="0000FF"/>
              </w:rPr>
              <w:t>2,841</w:t>
            </w:r>
          </w:p>
        </w:tc>
        <w:tc>
          <w:tcPr>
            <w:tcW w:w="780" w:type="dxa"/>
            <w:vAlign w:val="bottom"/>
          </w:tcPr>
          <w:p>
            <w:pPr>
              <w:ind w:left="320"/>
              <w:spacing w:after="0"/>
              <w:rPr>
                <w:sz w:val="20"/>
                <w:szCs w:val="20"/>
                <w:color w:val="auto"/>
              </w:rPr>
            </w:pPr>
            <w:r>
              <w:rPr>
                <w:rFonts w:ascii="Arial" w:cs="Arial" w:eastAsia="Arial" w:hAnsi="Arial"/>
                <w:sz w:val="11"/>
                <w:szCs w:val="11"/>
                <w:color w:val="008000"/>
              </w:rPr>
              <w:t>(4)</w:t>
            </w:r>
          </w:p>
        </w:tc>
        <w:tc>
          <w:tcPr>
            <w:tcW w:w="720" w:type="dxa"/>
            <w:vAlign w:val="bottom"/>
          </w:tcPr>
          <w:p>
            <w:pPr>
              <w:ind w:left="300"/>
              <w:spacing w:after="0"/>
              <w:rPr>
                <w:sz w:val="20"/>
                <w:szCs w:val="20"/>
                <w:color w:val="auto"/>
              </w:rPr>
            </w:pPr>
            <w:r>
              <w:rPr>
                <w:rFonts w:ascii="Arial" w:cs="Arial" w:eastAsia="Arial" w:hAnsi="Arial"/>
                <w:sz w:val="11"/>
                <w:szCs w:val="11"/>
                <w:color w:val="008000"/>
              </w:rPr>
              <w:t>(4)</w:t>
            </w:r>
          </w:p>
        </w:tc>
        <w:tc>
          <w:tcPr>
            <w:tcW w:w="660" w:type="dxa"/>
            <w:vAlign w:val="bottom"/>
          </w:tcPr>
          <w:p>
            <w:pPr>
              <w:ind w:left="60"/>
              <w:spacing w:after="0" w:line="145" w:lineRule="exact"/>
              <w:rPr>
                <w:sz w:val="20"/>
                <w:szCs w:val="20"/>
                <w:color w:val="auto"/>
              </w:rPr>
            </w:pPr>
            <w:r>
              <w:rPr>
                <w:rFonts w:ascii="Arial" w:cs="Arial" w:eastAsia="Arial" w:hAnsi="Arial"/>
                <w:sz w:val="13"/>
                <w:szCs w:val="13"/>
                <w:color w:val="0000FF"/>
              </w:rPr>
              <w:t>Common</w:t>
            </w:r>
          </w:p>
        </w:tc>
        <w:tc>
          <w:tcPr>
            <w:tcW w:w="5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gridSpan w:val="2"/>
          </w:tcPr>
          <w:p>
            <w:pPr>
              <w:jc w:val="right"/>
              <w:ind w:right="161"/>
              <w:spacing w:after="0" w:line="145" w:lineRule="exact"/>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0.00</w:t>
            </w:r>
          </w:p>
        </w:tc>
        <w:tc>
          <w:tcPr>
            <w:tcW w:w="660" w:type="dxa"/>
            <w:vAlign w:val="bottom"/>
          </w:tcPr>
          <w:p>
            <w:pPr>
              <w:ind w:left="260"/>
              <w:spacing w:after="0" w:line="145" w:lineRule="exact"/>
              <w:rPr>
                <w:sz w:val="20"/>
                <w:szCs w:val="20"/>
                <w:color w:val="auto"/>
              </w:rPr>
            </w:pPr>
            <w:r>
              <w:rPr>
                <w:rFonts w:ascii="Arial" w:cs="Arial" w:eastAsia="Arial" w:hAnsi="Arial"/>
                <w:sz w:val="13"/>
                <w:szCs w:val="13"/>
                <w:color w:val="0000FF"/>
                <w:w w:val="95"/>
              </w:rPr>
              <w:t>39,772</w:t>
            </w:r>
          </w:p>
        </w:tc>
        <w:tc>
          <w:tcPr>
            <w:tcW w:w="260" w:type="dxa"/>
            <w:vAlign w:val="bottom"/>
          </w:tcPr>
          <w:p>
            <w:pPr>
              <w:spacing w:after="0"/>
              <w:rPr>
                <w:sz w:val="12"/>
                <w:szCs w:val="12"/>
                <w:color w:val="auto"/>
              </w:rPr>
            </w:pPr>
          </w:p>
        </w:tc>
        <w:tc>
          <w:tcPr>
            <w:tcW w:w="680" w:type="dxa"/>
            <w:vAlign w:val="bottom"/>
          </w:tcPr>
          <w:p>
            <w:pPr>
              <w:ind w:left="320"/>
              <w:spacing w:after="0" w:line="145"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Unit</w:t>
            </w: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ind w:left="160"/>
              <w:spacing w:after="0"/>
              <w:rPr>
                <w:sz w:val="20"/>
                <w:szCs w:val="20"/>
                <w:color w:val="auto"/>
              </w:rPr>
            </w:pPr>
            <w:r>
              <w:rPr>
                <w:rFonts w:ascii="Arial" w:cs="Arial" w:eastAsia="Arial" w:hAnsi="Arial"/>
                <w:sz w:val="13"/>
                <w:szCs w:val="13"/>
                <w:color w:val="0000FF"/>
              </w:rPr>
              <w:t>Stock</w:t>
            </w: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-2138680</wp:posOffset>
            </wp:positionV>
            <wp:extent cx="29210" cy="21437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14376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4"/>
          <w:szCs w:val="24"/>
          <w:color w:val="auto"/>
        </w:rPr>
      </w:pPr>
    </w:p>
    <w:p>
      <w:pPr>
        <w:ind w:left="180" w:hanging="135"/>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Each restricted stock unit ("RSU") represents a contingent right to receive 1 share of the Issuer's Class A Common Stock upon settlement for no consideration.</w:t>
      </w:r>
    </w:p>
    <w:p>
      <w:pPr>
        <w:spacing w:after="0" w:line="48" w:lineRule="exact"/>
        <w:rPr>
          <w:rFonts w:ascii="Arial" w:cs="Arial" w:eastAsia="Arial" w:hAnsi="Arial"/>
          <w:sz w:val="13"/>
          <w:szCs w:val="13"/>
          <w:color w:val="008000"/>
        </w:rPr>
      </w:pPr>
    </w:p>
    <w:p>
      <w:pPr>
        <w:ind w:left="40" w:right="400" w:firstLine="5"/>
        <w:spacing w:after="0" w:line="258" w:lineRule="auto"/>
        <w:tabs>
          <w:tab w:leader="none" w:pos="16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sale reported on this Form 4 represents shares sold by the Reporting Person to cover tax withholding obligations in connection with the vesting and settlement of RSUs. The sale was to satisfy tax withholding obligations to be funded by a "sell to cover" transaction and does not represent a discretionary transaction by the Reporting Person.</w:t>
      </w:r>
    </w:p>
    <w:p>
      <w:pPr>
        <w:spacing w:after="0" w:line="21" w:lineRule="exact"/>
        <w:rPr>
          <w:rFonts w:ascii="Arial" w:cs="Arial" w:eastAsia="Arial" w:hAnsi="Arial"/>
          <w:sz w:val="13"/>
          <w:szCs w:val="13"/>
          <w:color w:val="008000"/>
        </w:rPr>
      </w:pPr>
    </w:p>
    <w:p>
      <w:pPr>
        <w:ind w:left="40" w:right="140" w:firstLine="5"/>
        <w:spacing w:after="0" w:line="245" w:lineRule="auto"/>
        <w:tabs>
          <w:tab w:leader="none" w:pos="16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$6.10 to $6.77, inclusive. The reporting person undertakes to provide to the Issuer, any security holder of the Issuer, or the staff of the Securities and Exchange Commission, upon request, full information regarding the number of shares sold at each separate price within the range set forth herein.</w:t>
      </w:r>
    </w:p>
    <w:p>
      <w:pPr>
        <w:spacing w:after="0" w:line="29" w:lineRule="exact"/>
        <w:rPr>
          <w:rFonts w:ascii="Arial" w:cs="Arial" w:eastAsia="Arial" w:hAnsi="Arial"/>
          <w:sz w:val="13"/>
          <w:szCs w:val="13"/>
          <w:color w:val="008000"/>
        </w:rPr>
      </w:pPr>
    </w:p>
    <w:p>
      <w:pPr>
        <w:ind w:left="180" w:hanging="135"/>
        <w:spacing w:after="0"/>
        <w:tabs>
          <w:tab w:leader="none" w:pos="18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6.25% vest in quarterly installments over the 4-year period commencing on March 9, 2023 until fully vested, subject to the Reporting Person's continued service to the Issuer on each vesting date.</w:t>
      </w:r>
    </w:p>
    <w:p>
      <w:pPr>
        <w:spacing w:after="0" w:line="52"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7"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9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2"/>
              </w:rPr>
              <w:t>/s/ Devin Schaffer, Attorney-</w:t>
            </w:r>
          </w:p>
        </w:tc>
        <w:tc>
          <w:tcPr>
            <w:tcW w:w="1000" w:type="dxa"/>
            <w:vAlign w:val="bottom"/>
            <w:gridSpan w:val="2"/>
            <w:vMerge w:val="restart"/>
          </w:tcPr>
          <w:p>
            <w:pPr>
              <w:ind w:left="220"/>
              <w:spacing w:after="0"/>
              <w:rPr>
                <w:sz w:val="20"/>
                <w:szCs w:val="20"/>
                <w:color w:val="auto"/>
              </w:rPr>
            </w:pPr>
            <w:r>
              <w:rPr>
                <w:rFonts w:ascii="Arial" w:cs="Arial" w:eastAsia="Arial" w:hAnsi="Arial"/>
                <w:sz w:val="17"/>
                <w:szCs w:val="17"/>
                <w:color w:val="0000FF"/>
                <w:w w:val="89"/>
              </w:rPr>
              <w:t>06/13/2023</w:t>
            </w:r>
          </w:p>
        </w:tc>
        <w:tc>
          <w:tcPr>
            <w:tcW w:w="0" w:type="dxa"/>
            <w:vAlign w:val="bottom"/>
          </w:tcPr>
          <w:p>
            <w:pPr>
              <w:spacing w:after="0"/>
              <w:rPr>
                <w:sz w:val="1"/>
                <w:szCs w:val="1"/>
                <w:color w:val="auto"/>
              </w:rPr>
            </w:pPr>
          </w:p>
        </w:tc>
      </w:tr>
      <w:tr>
        <w:trPr>
          <w:trHeight w:val="85"/>
        </w:trPr>
        <w:tc>
          <w:tcPr>
            <w:tcW w:w="500" w:type="dxa"/>
            <w:vAlign w:val="bottom"/>
            <w:vMerge w:val="restart"/>
          </w:tcPr>
          <w:p>
            <w:pPr>
              <w:spacing w:after="0" w:line="191" w:lineRule="exact"/>
              <w:rPr>
                <w:sz w:val="20"/>
                <w:szCs w:val="20"/>
                <w:color w:val="auto"/>
              </w:rPr>
            </w:pPr>
            <w:r>
              <w:rPr>
                <w:rFonts w:ascii="Arial" w:cs="Arial" w:eastAsia="Arial" w:hAnsi="Arial"/>
                <w:sz w:val="17"/>
                <w:szCs w:val="17"/>
                <w:color w:val="0000FF"/>
                <w:w w:val="92"/>
              </w:rPr>
              <w:t>in-Fact</w:t>
            </w:r>
          </w:p>
        </w:tc>
        <w:tc>
          <w:tcPr>
            <w:tcW w:w="1480" w:type="dxa"/>
            <w:vAlign w:val="bottom"/>
            <w:vMerge w:val="restart"/>
          </w:tcPr>
          <w:p>
            <w:pPr>
              <w:spacing w:after="0"/>
              <w:rPr>
                <w:sz w:val="7"/>
                <w:szCs w:val="7"/>
                <w:color w:val="auto"/>
              </w:rPr>
            </w:pPr>
          </w:p>
        </w:tc>
        <w:tc>
          <w:tcPr>
            <w:tcW w:w="10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500" w:type="dxa"/>
            <w:vAlign w:val="bottom"/>
            <w:tcBorders>
              <w:bottom w:val="single" w:sz="8" w:color="auto"/>
            </w:tcBorders>
            <w:vMerge w:val="continue"/>
          </w:tcPr>
          <w:p>
            <w:pPr>
              <w:spacing w:after="0"/>
              <w:rPr>
                <w:sz w:val="7"/>
                <w:szCs w:val="7"/>
                <w:color w:val="auto"/>
              </w:rPr>
            </w:pPr>
          </w:p>
        </w:tc>
        <w:tc>
          <w:tcPr>
            <w:tcW w:w="148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9"/>
        </w:trPr>
        <w:tc>
          <w:tcPr>
            <w:tcW w:w="19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1000" w:type="dxa"/>
            <w:vAlign w:val="bottom"/>
            <w:gridSpan w:val="2"/>
          </w:tcPr>
          <w:p>
            <w:pPr>
              <w:ind w:left="2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8" w:lineRule="exact"/>
        <w:rPr>
          <w:sz w:val="24"/>
          <w:szCs w:val="24"/>
          <w:color w:val="auto"/>
        </w:rPr>
      </w:pPr>
    </w:p>
    <w:p>
      <w:pPr>
        <w:jc w:val="both"/>
        <w:ind w:left="40" w:right="3420" w:firstLine="5"/>
        <w:spacing w:after="0" w:line="315" w:lineRule="auto"/>
        <w:tabs>
          <w:tab w:leader="none" w:pos="179"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4"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POWER OF ATTORNEY</w:t>
      </w:r>
    </w:p>
    <w:p>
      <w:pPr>
        <w:spacing w:after="0" w:line="203" w:lineRule="exact"/>
        <w:rPr>
          <w:sz w:val="20"/>
          <w:szCs w:val="20"/>
          <w:color w:val="auto"/>
        </w:rPr>
      </w:pPr>
    </w:p>
    <w:p>
      <w:pPr>
        <w:ind w:right="1439" w:firstLine="826"/>
        <w:spacing w:after="0" w:line="275" w:lineRule="auto"/>
        <w:rPr>
          <w:sz w:val="20"/>
          <w:szCs w:val="20"/>
          <w:color w:val="auto"/>
        </w:rPr>
      </w:pPr>
      <w:r>
        <w:rPr>
          <w:rFonts w:ascii="Courier New" w:cs="Courier New" w:eastAsia="Courier New" w:hAnsi="Courier New"/>
          <w:sz w:val="17"/>
          <w:szCs w:val="17"/>
          <w:color w:val="auto"/>
        </w:rPr>
        <w:t>KNOW ALL MEN BY THESE PRESENTS, that the undersigned hereby constitutes and appoints each of Kevin Feeley, Bridget Brown and Devin Schaffer as his or her true and lawful attorney-in-fact to:</w:t>
      </w:r>
    </w:p>
    <w:p>
      <w:pPr>
        <w:spacing w:after="0" w:line="129" w:lineRule="exact"/>
        <w:rPr>
          <w:sz w:val="20"/>
          <w:szCs w:val="20"/>
          <w:color w:val="auto"/>
        </w:rPr>
      </w:pPr>
    </w:p>
    <w:p>
      <w:pPr>
        <w:ind w:right="599" w:firstLine="831"/>
        <w:spacing w:after="0" w:line="256" w:lineRule="auto"/>
        <w:tabs>
          <w:tab w:leader="none" w:pos="1651"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 capacity as a representative of Sema4 Holdings Corp (the "Company"), any and all Form ID,</w:t>
      </w:r>
    </w:p>
    <w:p>
      <w:pPr>
        <w:ind w:right="1739"/>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or Form 3, 4 or 5 reports and any amendments thereto required to be filed by the undersigned in accordance with Section 16(a) of the Securities Exchange Act of</w:t>
      </w:r>
    </w:p>
    <w:p>
      <w:pPr>
        <w:ind w:right="1839"/>
        <w:spacing w:after="0" w:line="284"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1934 (the "Exchange Act") and the rules thereunder with respect to transactions in the Company's securities;</w:t>
      </w:r>
    </w:p>
    <w:p>
      <w:pPr>
        <w:spacing w:after="0" w:line="121" w:lineRule="exact"/>
        <w:rPr>
          <w:rFonts w:ascii="Courier New" w:cs="Courier New" w:eastAsia="Courier New" w:hAnsi="Courier New"/>
          <w:sz w:val="17"/>
          <w:szCs w:val="17"/>
          <w:color w:val="auto"/>
        </w:rPr>
      </w:pPr>
    </w:p>
    <w:p>
      <w:pPr>
        <w:ind w:right="699" w:firstLine="831"/>
        <w:spacing w:after="0" w:line="256" w:lineRule="auto"/>
        <w:tabs>
          <w:tab w:leader="none" w:pos="1651"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ID, or Form</w:t>
      </w:r>
    </w:p>
    <w:p>
      <w:pPr>
        <w:jc w:val="both"/>
        <w:ind w:right="2039"/>
        <w:spacing w:after="0" w:line="265"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3, 4 or 5 report and any amendments thereto and timely file such reports with the U.S. Securities and Exchange Commission and any stock exchange or similar authority; and</w:t>
      </w:r>
    </w:p>
    <w:p>
      <w:pPr>
        <w:spacing w:after="0" w:line="137" w:lineRule="exact"/>
        <w:rPr>
          <w:rFonts w:ascii="Courier New" w:cs="Courier New" w:eastAsia="Courier New" w:hAnsi="Courier New"/>
          <w:sz w:val="17"/>
          <w:szCs w:val="17"/>
          <w:color w:val="auto"/>
        </w:rPr>
      </w:pPr>
    </w:p>
    <w:p>
      <w:pPr>
        <w:ind w:right="1439" w:firstLine="831"/>
        <w:spacing w:after="0" w:line="256" w:lineRule="auto"/>
        <w:tabs>
          <w:tab w:leader="none" w:pos="1651"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 in-fact, may be of benefit to,</w:t>
      </w:r>
    </w:p>
    <w:p>
      <w:pPr>
        <w:ind w:right="1739"/>
        <w:spacing w:after="0" w:line="255"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in the best interest of, or legally required by, the undersigned, it being understood that the documents executed by such attorney in-fact on behalf of the undersigned, pursuant to this Power of Attorney, shall be in such form and shall contain such terms and conditions as such attorney in-fact may approve in his or her discretion.</w:t>
      </w:r>
    </w:p>
    <w:p>
      <w:pPr>
        <w:spacing w:after="0" w:line="147" w:lineRule="exact"/>
        <w:rPr>
          <w:sz w:val="20"/>
          <w:szCs w:val="20"/>
          <w:color w:val="auto"/>
        </w:rPr>
      </w:pPr>
    </w:p>
    <w:p>
      <w:pPr>
        <w:ind w:right="1739"/>
        <w:spacing w:after="0" w:line="251" w:lineRule="auto"/>
        <w:rPr>
          <w:sz w:val="20"/>
          <w:szCs w:val="20"/>
          <w:color w:val="auto"/>
        </w:rPr>
      </w:pPr>
      <w:r>
        <w:rPr>
          <w:rFonts w:ascii="Courier New" w:cs="Courier New" w:eastAsia="Courier New" w:hAnsi="Courier New"/>
          <w:sz w:val="17"/>
          <w:szCs w:val="17"/>
          <w:color w:val="auto"/>
        </w:rPr>
        <w:t>The undersigned hereby grants to each such attorney-in-fact full power and authority to do and perform each and every act and thing whatsoever requisite, necessary, and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his or her substitute or substitutes, shall lawfully do or cause to be done by virtue of this Power of Attorney and the rights and powers herein granted. The undersigned acknowledges that no such attorney in-fact, in serving in such capacity at the request of the undersigned, is hereby assuming, nor is the Company hereby assuming, any of the undersigned's responsibilities to comply with Section 16 of the Exchange Act.</w:t>
      </w:r>
    </w:p>
    <w:p>
      <w:pPr>
        <w:spacing w:after="0" w:line="154" w:lineRule="exact"/>
        <w:rPr>
          <w:sz w:val="20"/>
          <w:szCs w:val="20"/>
          <w:color w:val="auto"/>
        </w:rPr>
      </w:pPr>
    </w:p>
    <w:p>
      <w:pPr>
        <w:ind w:right="1739"/>
        <w:spacing w:after="0" w:line="252" w:lineRule="auto"/>
        <w:rPr>
          <w:sz w:val="20"/>
          <w:szCs w:val="20"/>
          <w:color w:val="auto"/>
        </w:rPr>
      </w:pPr>
      <w:r>
        <w:rPr>
          <w:rFonts w:ascii="Courier New" w:cs="Courier New" w:eastAsia="Courier New" w:hAnsi="Courier New"/>
          <w:sz w:val="17"/>
          <w:szCs w:val="17"/>
          <w:color w:val="auto"/>
        </w:rPr>
        <w:t>The undersigned agrees that each such attorney-in-fact may rely entirely on information furnished orally or in writing by the undersigned to each such attorney-in-fact. The undersigned also agrees to indemnify and hold harmless the Company and each such attorney-in-fact against any losses, claims, damages or liabilities (or actions in these respects) that arise out of or are based on any untrue statement or omission of necessary facts in the information provided by the undersigned to such attorney-in-fact for purposes of executing, acknowledging, delivering and filing Forms 3, 4 or 5 (including amendments thereto) and agrees to reimburse the Company and each such attorney-in-fact for any legal or other expenses reasonably incurred in connection with investigating or defending against any such loss, claim, damage, liability or action.</w:t>
      </w:r>
    </w:p>
    <w:p>
      <w:pPr>
        <w:spacing w:after="0" w:line="149" w:lineRule="exact"/>
        <w:rPr>
          <w:sz w:val="20"/>
          <w:szCs w:val="20"/>
          <w:color w:val="auto"/>
        </w:rPr>
      </w:pPr>
    </w:p>
    <w:p>
      <w:pPr>
        <w:ind w:right="1739"/>
        <w:spacing w:after="0" w:line="260" w:lineRule="auto"/>
        <w:rPr>
          <w:sz w:val="20"/>
          <w:szCs w:val="20"/>
          <w:color w:val="auto"/>
        </w:rPr>
      </w:pPr>
      <w:r>
        <w:rPr>
          <w:rFonts w:ascii="Courier New" w:cs="Courier New" w:eastAsia="Courier New" w:hAnsi="Courier New"/>
          <w:sz w:val="17"/>
          <w:szCs w:val="17"/>
          <w:color w:val="auto"/>
        </w:rPr>
        <w:t>This Power of Attorney shall remain in full force and effect until the undersigned is no longer required to file Form 3, 4 or 5 reports with respect to the undersigned's holdings of and transactions in securities issued by the Company, unless earlier revoked by the undersigned in a signed writing delivered to the foregoing attorneys in-fact.</w:t>
      </w:r>
    </w:p>
    <w:p>
      <w:pPr>
        <w:spacing w:after="0" w:line="143" w:lineRule="exact"/>
        <w:rPr>
          <w:sz w:val="20"/>
          <w:szCs w:val="20"/>
          <w:color w:val="auto"/>
        </w:rPr>
      </w:pPr>
    </w:p>
    <w:p>
      <w:pPr>
        <w:ind w:right="2259"/>
        <w:spacing w:after="0" w:line="304" w:lineRule="auto"/>
        <w:rPr>
          <w:sz w:val="20"/>
          <w:szCs w:val="20"/>
          <w:color w:val="auto"/>
        </w:rPr>
      </w:pPr>
      <w:r>
        <w:rPr>
          <w:rFonts w:ascii="Courier New" w:cs="Courier New" w:eastAsia="Courier New" w:hAnsi="Courier New"/>
          <w:sz w:val="17"/>
          <w:szCs w:val="17"/>
          <w:color w:val="auto"/>
        </w:rPr>
        <w:t>IN WITNESS WHEREOF, the undersigned has caused this Power of Attorney to be executed as of this 24th day of May, 2023.</w:t>
      </w:r>
    </w:p>
    <w:p>
      <w:pPr>
        <w:spacing w:after="0" w:line="10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Kareem Saad</w:t>
      </w:r>
    </w:p>
    <w:sectPr>
      <w:pgSz w:w="11900" w:h="16838" w:orient="portrait"/>
      <w:cols w:equalWidth="0" w:num="1">
        <w:col w:w="9999"/>
      </w:cols>
      <w:pgMar w:left="460" w:top="29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73805" TargetMode="External"/><Relationship Id="rId13" Type="http://schemas.openxmlformats.org/officeDocument/2006/relationships/hyperlink" Target="http://www.sec.gov/cgi-bin/browse-edgar?action=getcompany&amp;CIK=00018183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2023-06-13T16:30:10Z</dcterms:created>
  <dcterms:modified xsi:type="dcterms:W3CDTF">2023-06-13T16:30:10Z</dcterms:modified>
</cp:coreProperties>
</file>