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120"/>
        <w:jc w:val="center"/>
        <w:rPr>
          <w:rFonts w:ascii="Times New Roman;sans-serif" w:hAnsi="Times New Roman;sans-serif"/>
          <w:b/>
          <w:color w:val="231F20"/>
          <w:sz w:val="20"/>
        </w:rPr>
      </w:pPr>
      <w:r>
        <w:rPr>
          <w:rFonts w:ascii="Times New Roman;sans-serif" w:hAnsi="Times New Roman;sans-serif"/>
          <w:b/>
          <w:color w:val="231F20"/>
          <w:sz w:val="20"/>
        </w:rPr>
        <w:t>CURRENT REPORT</w:t>
      </w:r>
    </w:p>
    <w:p>
      <w:pPr>
        <w:pStyle w:val="TextBody"/>
        <w:bidi w:val="0"/>
        <w:spacing w:lineRule="auto" w:line="288" w:before="0" w:after="120"/>
        <w:jc w:val="center"/>
        <w:rPr>
          <w:rFonts w:ascii="Times New Roman;sans-serif" w:hAnsi="Times New Roman;sans-serif"/>
          <w:b/>
          <w:color w:val="231F20"/>
          <w:sz w:val="20"/>
        </w:rPr>
      </w:pPr>
      <w:r>
        <w:rPr>
          <w:rFonts w:ascii="Times New Roman;sans-serif" w:hAnsi="Times New Roman;sans-serif"/>
          <w:b/>
          <w:color w:val="231F20"/>
          <w:sz w:val="20"/>
        </w:rPr>
        <w:t>Pursuant to Section 13 OR 15(d) of The Securities Exchange Act of 1934</w:t>
      </w:r>
    </w:p>
    <w:p>
      <w:pPr>
        <w:pStyle w:val="TextBody"/>
        <w:bidi w:val="0"/>
        <w:spacing w:lineRule="auto" w:line="288" w:before="0" w:after="120"/>
        <w:jc w:val="center"/>
        <w:rPr/>
      </w:pPr>
      <w:r>
        <w:rPr>
          <w:rFonts w:ascii="Times New Roman;sans-serif" w:hAnsi="Times New Roman;sans-serif"/>
          <w:b w:val="false"/>
          <w:color w:val="000000"/>
          <w:sz w:val="20"/>
        </w:rPr>
        <w:t>Date of Report (date of earliest event reported): April 29,2024</w:t>
      </w:r>
      <w:r>
        <w:rPr>
          <w:color w:val="000000"/>
        </w:rPr>
        <w:t xml:space="preserve">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Commission file number 001-39482</w:t>
      </w:r>
    </w:p>
    <w:p>
      <w:pPr>
        <w:pStyle w:val="TextBody"/>
        <w:bidi w:val="0"/>
        <w:spacing w:before="0" w:after="0"/>
        <w:jc w:val="center"/>
        <w:rPr/>
      </w:pPr>
      <w:r>
        <w:rPr/>
        <w:drawing>
          <wp:inline distT="0" distB="0" distL="0" distR="0">
            <wp:extent cx="16002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552450"/>
                    </a:xfrm>
                    <a:prstGeom prst="rect">
                      <a:avLst/>
                    </a:prstGeom>
                  </pic:spPr>
                </pic:pic>
              </a:graphicData>
            </a:graphic>
          </wp:inline>
        </w:drawing>
      </w:r>
    </w:p>
    <w:p>
      <w:pPr>
        <w:pStyle w:val="TextBody"/>
        <w:bidi w:val="0"/>
        <w:spacing w:lineRule="auto" w:line="288" w:before="0" w:after="0"/>
        <w:jc w:val="center"/>
        <w:rPr/>
      </w:pPr>
      <w:r>
        <w:rPr>
          <w:rFonts w:ascii="Times New Roman;sans-serif" w:hAnsi="Times New Roman;sans-serif"/>
          <w:b/>
          <w:color w:val="000000"/>
          <w:sz w:val="32"/>
        </w:rPr>
        <w:t>GeneDx Holdings Corp.</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center"/>
        <w:rPr/>
      </w:pPr>
      <w:r>
        <w:rPr/>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85-1966622</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4" w:type="dxa"/>
            <w:gridSpan w:val="6"/>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 xml:space="preserve">333 Ludlow Street, North Tower; 6th Floor </w:t>
            </w:r>
          </w:p>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tc>
      </w:tr>
      <w:tr>
        <w:trPr/>
        <w:tc>
          <w:tcPr>
            <w:tcW w:w="79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tc>
      </w:tr>
    </w:tbl>
    <w:p>
      <w:pPr>
        <w:pStyle w:val="TextBody"/>
        <w:bidi w:val="0"/>
        <w:spacing w:lineRule="auto" w:line="288" w:before="0" w:after="36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(888) 729-1206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120"/>
        <w:jc w:val="left"/>
        <w:rPr>
          <w:color w:val="00000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18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080"/>
        <w:gridCol w:w="1721"/>
        <w:gridCol w:w="1742"/>
        <w:gridCol w:w="109"/>
        <w:gridCol w:w="109"/>
        <w:gridCol w:w="109"/>
        <w:gridCol w:w="439"/>
        <w:gridCol w:w="411"/>
        <w:gridCol w:w="412"/>
        <w:gridCol w:w="109"/>
        <w:gridCol w:w="109"/>
        <w:gridCol w:w="109"/>
        <w:gridCol w:w="801"/>
        <w:gridCol w:w="801"/>
        <w:gridCol w:w="1144"/>
      </w:tblGrid>
      <w:tr>
        <w:trPr/>
        <w:tc>
          <w:tcPr>
            <w:tcW w:w="2080"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5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5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one share of Class A common stock, each at an exercise price of $379.50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jc w:val="lef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1.01    Entry into a Material Definitive Agreement</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2024, GeneDx Holdings Corp. (the “Company”), entered into a sales agreement (the “Sales Agreement”) with TD Securities (USA) LLC, as sales agent and/or principal (“TD Cowen”), pursuant to which the Company may offer and sell, from time to time to or through TD Cowen, shares of the Company’s Class A common stock, par value $0.0001 per share (the “Class A Common Stock”), having an aggregate offering price of up to $75.0 million (the “Shares”).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offer and sale of the Shares will be made pursuant to the Company’s shelf registration statement on Form S-3 and the related prospectus (File No. 333-267112) filed by the Company with the Securities and Exchange Commission (the “SEC”) on August 26, 2022, and declared effective by the SEC on September 7, 2022, as supplemented by a prospectus supplement dated April 29, 2024, filed with the SEC pursuant to Rule 424(b) under the Securities Act of 1933, as amended (the “Securities Act”).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Sales Agreement, TD Cowen may sell the Shares by any method permitted by law deemed to be an “at the market offering” as defined in Rule 415(a)(4) of the Securities Act. The Company is not obligated to make any sales of the Shares under the Sales Agreement. The offering of Shares pursuant to the Sales Agreement will terminate upon the earliest of (a) the sale of all of the Shares subject to the Sales Agreement or (b) the termination of the Sales Agreement by TD Cowen or the Company, as permitted therein.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will pay TD Cowen a selling commission of up to 3.0% of the gross proceeds from each sale of Shares and has agreed to provide TD Cowen with customary indemnification and contribution rights. The Company will also reimburse TD Cowen for certain specified expenses in connection with entering into the Sales Agreement. The Sales Agreement contains customary representations and warranties and conditions to the placements of the Shares pursuant thereto.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description of the Sales Agreement is not complete and is qualified in its entirety by reference to the full text of such agreement, a copy of which is filed herewith as Exhibit 1.1 to this Current Report on Form 8-K and is incorporated herein by reference. The opinion of the Company’s counsel regarding the validity of the Shares that will be issued pursuant to the Sales Agreement is also filed herewith as Exhibit 5.1.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Current Report on Form 8-K shall not constitute an offer to sell or the solicitation of an offer to buy the Shares discussed herein, nor shall there be any offer, solicitation, or sale of Shares in any state in which such offer, solicitation or sale would be unlawful prior to registration or qualification under the securities laws of any such state.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9.01</w:t>
      </w:r>
      <w:r>
        <w:rPr>
          <w:color w:val="000000"/>
          <w:shd w:fill="FFFFFF" w:val="clear"/>
        </w:rPr>
        <w:t>           </w:t>
      </w:r>
      <w:r>
        <w:rPr>
          <w:rFonts w:ascii="Times New Roman;sans-serif" w:hAnsi="Times New Roman;sans-serif"/>
          <w:b/>
          <w:color w:val="000000"/>
          <w:sz w:val="20"/>
        </w:rPr>
        <w:t>Financial Statements and Exhibits.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71"/>
        <w:gridCol w:w="325"/>
        <w:gridCol w:w="327"/>
        <w:gridCol w:w="109"/>
        <w:gridCol w:w="109"/>
        <w:gridCol w:w="109"/>
        <w:gridCol w:w="2595"/>
        <w:gridCol w:w="2583"/>
        <w:gridCol w:w="3677"/>
      </w:tblGrid>
      <w:tr>
        <w:trPr/>
        <w:tc>
          <w:tcPr>
            <w:tcW w:w="3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77" w:type="dxa"/>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ojectgallant-salesagreem.htm">
              <w:r>
                <w:rPr>
                  <w:rStyle w:val="InternetLink"/>
                  <w:rFonts w:ascii="Times New Roman;sans-serif" w:hAnsi="Times New Roman;sans-serif"/>
                  <w:b w:val="false"/>
                  <w:color w:val="0000FF"/>
                  <w:sz w:val="20"/>
                  <w:u w:val="single"/>
                </w:rPr>
                <w:t>Sales Agreement, dated April 29, 2024, by and between GeneDx Holdings Corp. and TD Securities (USA) LLC.</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enedx-ex51opinionforforms.htm">
              <w:r>
                <w:rPr>
                  <w:rStyle w:val="InternetLink"/>
                  <w:rFonts w:ascii="Times New Roman;sans-serif" w:hAnsi="Times New Roman;sans-serif"/>
                  <w:b w:val="false"/>
                  <w:color w:val="0000FF"/>
                  <w:sz w:val="20"/>
                  <w:u w:val="single"/>
                </w:rPr>
                <w:t xml:space="preserve">Opinion of Fenwick &amp; West LLP. </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enedx-ex51opinionforforms.htm">
              <w:r>
                <w:rPr>
                  <w:rStyle w:val="InternetLink"/>
                  <w:rFonts w:ascii="Times New Roman;sans-serif" w:hAnsi="Times New Roman;sans-serif"/>
                  <w:b w:val="false"/>
                  <w:color w:val="0000FF"/>
                  <w:sz w:val="20"/>
                  <w:u w:val="single"/>
                </w:rPr>
                <w:t xml:space="preserve">Consent of Fenwick &amp; West LLP (contained in Exhibit 5.1). </w:t>
              </w:r>
            </w:hyperlink>
          </w:p>
        </w:tc>
      </w:tr>
      <w:tr>
        <w:trPr/>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117" w:type="dxa"/>
        <w:jc w:val="left"/>
        <w:tblInd w:w="0" w:type="dxa"/>
        <w:tblLayout w:type="fixed"/>
        <w:tblCellMar>
          <w:top w:w="28" w:type="dxa"/>
          <w:left w:w="28" w:type="dxa"/>
          <w:bottom w:w="28" w:type="dxa"/>
          <w:right w:w="28" w:type="dxa"/>
        </w:tblCellMar>
      </w:tblPr>
      <w:tblGrid>
        <w:gridCol w:w="200"/>
        <w:gridCol w:w="177"/>
        <w:gridCol w:w="178"/>
        <w:gridCol w:w="414"/>
        <w:gridCol w:w="414"/>
        <w:gridCol w:w="416"/>
        <w:gridCol w:w="416"/>
        <w:gridCol w:w="416"/>
        <w:gridCol w:w="416"/>
        <w:gridCol w:w="600"/>
        <w:gridCol w:w="600"/>
        <w:gridCol w:w="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GENEDX HOLDINGS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29,2024</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ans-serif" w:hAnsi="Times New Roman;sans-serif"/>
          <w:b/>
          <w:color w:val="000000"/>
          <w:sz w:val="24"/>
        </w:rPr>
      </w:pPr>
      <w:r>
        <w:rPr>
          <w:rFonts w:ascii="Times New Roman;sans-serif" w:hAnsi="Times New Roman;sans-serif"/>
          <w:b/>
          <w:color w:val="000000"/>
          <w:sz w:val="24"/>
        </w:rPr>
        <w:t>GENEDX HOLDINGS CORP.</w:t>
      </w:r>
    </w:p>
    <w:p>
      <w:pPr>
        <w:pStyle w:val="TextBody"/>
        <w:bidi w:val="0"/>
        <w:spacing w:lineRule="auto" w:line="288" w:before="0" w:after="100"/>
        <w:jc w:val="center"/>
        <w:rPr/>
      </w:pPr>
      <w:r>
        <w:rPr>
          <w:rFonts w:ascii="Times New Roman;sans-serif" w:hAnsi="Times New Roman;sans-serif"/>
          <w:b/>
          <w:color w:val="000000"/>
          <w:sz w:val="24"/>
        </w:rPr>
        <w:t>$75,000,000</w:t>
        <w:br/>
        <w:br/>
        <w:t>CLASS A COMMON STOCK</w:t>
      </w:r>
      <w:r>
        <w:rPr>
          <w:rFonts w:ascii="Times New Roman;sans-serif" w:hAnsi="Times New Roman;sans-serif"/>
          <w:b/>
          <w:color w:val="000000"/>
          <w:sz w:val="24"/>
          <w:u w:val="single"/>
        </w:rPr>
        <w:br/>
        <w:br/>
        <w:t>SALES AGREEMENT</w:t>
      </w:r>
    </w:p>
    <w:p>
      <w:pPr>
        <w:pStyle w:val="TextBody"/>
        <w:bidi w:val="0"/>
        <w:spacing w:lineRule="auto" w:line="288" w:before="0" w:after="100"/>
        <w:jc w:val="right"/>
        <w:rPr>
          <w:rFonts w:ascii="Times New Roman;sans-serif" w:hAnsi="Times New Roman;sans-serif"/>
          <w:b w:val="false"/>
          <w:color w:val="000000"/>
          <w:sz w:val="24"/>
        </w:rPr>
      </w:pPr>
      <w:r>
        <w:rPr>
          <w:rFonts w:ascii="Times New Roman;sans-serif" w:hAnsi="Times New Roman;sans-serif"/>
          <w:b w:val="false"/>
          <w:color w:val="000000"/>
          <w:sz w:val="24"/>
        </w:rPr>
        <w:t>April 29, 2024</w:t>
      </w:r>
    </w:p>
    <w:p>
      <w:pPr>
        <w:pStyle w:val="TextBody"/>
        <w:bidi w:val="0"/>
        <w:spacing w:before="0" w:after="100"/>
        <w:jc w:val="center"/>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TD Securities (USA) LLC (dba TD Cowen)</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Vanderbilt Avenue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New York, New York 10017</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GeneDx Holdings Corp., a Delaware corporation (the “</w:t>
      </w:r>
      <w:r>
        <w:rPr>
          <w:rFonts w:ascii="Times New Roman;sans-serif" w:hAnsi="Times New Roman;sans-serif"/>
          <w:b/>
          <w:color w:val="000000"/>
          <w:sz w:val="24"/>
          <w:u w:val="single"/>
        </w:rPr>
        <w:t>Company</w:t>
      </w:r>
      <w:r>
        <w:rPr>
          <w:color w:val="000000"/>
        </w:rPr>
        <w:t>”</w:t>
      </w:r>
      <w:r>
        <w:rPr>
          <w:rFonts w:ascii="Times New Roman;sans-serif" w:hAnsi="Times New Roman;sans-serif"/>
          <w:b w:val="false"/>
          <w:color w:val="000000"/>
          <w:sz w:val="24"/>
        </w:rPr>
        <w:t>), confirms its agreement (this “</w:t>
      </w:r>
      <w:r>
        <w:rPr>
          <w:rFonts w:ascii="Times New Roman;sans-serif" w:hAnsi="Times New Roman;sans-serif"/>
          <w:b/>
          <w:color w:val="000000"/>
          <w:sz w:val="24"/>
          <w:u w:val="single"/>
        </w:rPr>
        <w:t>Agreement</w:t>
      </w:r>
      <w:r>
        <w:rPr>
          <w:color w:val="000000"/>
        </w:rPr>
        <w:t>”</w:t>
      </w:r>
      <w:r>
        <w:rPr>
          <w:rFonts w:ascii="Times New Roman;sans-serif" w:hAnsi="Times New Roman;sans-serif"/>
          <w:b w:val="false"/>
          <w:color w:val="000000"/>
          <w:sz w:val="24"/>
        </w:rPr>
        <w:t>) with TD Securities (USA) LLC (“</w:t>
      </w:r>
      <w:r>
        <w:rPr>
          <w:rFonts w:ascii="Times New Roman;sans-serif" w:hAnsi="Times New Roman;sans-serif"/>
          <w:b/>
          <w:color w:val="000000"/>
          <w:sz w:val="24"/>
          <w:u w:val="single"/>
        </w:rPr>
        <w:t>TD Cowen</w:t>
      </w:r>
      <w:r>
        <w:rPr>
          <w:color w:val="000000"/>
        </w:rPr>
        <w:t>”</w:t>
      </w:r>
      <w:r>
        <w:rPr>
          <w:rFonts w:ascii="Times New Roman;sans-serif" w:hAnsi="Times New Roman;sans-serif"/>
          <w:b w:val="false"/>
          <w:color w:val="000000"/>
          <w:sz w:val="24"/>
        </w:rPr>
        <w:t>),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Issuance and Sale of Shares</w:t>
      </w:r>
      <w:r>
        <w:rPr>
          <w:rFonts w:ascii="Times New Roman;sans-serif" w:hAnsi="Times New Roman;sans-serif"/>
          <w:b w:val="false"/>
          <w:color w:val="000000"/>
          <w:sz w:val="24"/>
        </w:rPr>
        <w:t>. The Company agrees that, from time to time during the term of this Agreement, on the terms and subject to the conditions set forth herein, it may issue and sell through TD Cowen, acting as agent and/or principal, shares (the “</w:t>
      </w:r>
      <w:r>
        <w:rPr>
          <w:rFonts w:ascii="Times New Roman;sans-serif" w:hAnsi="Times New Roman;sans-serif"/>
          <w:b/>
          <w:color w:val="000000"/>
          <w:sz w:val="24"/>
          <w:u w:val="single"/>
        </w:rPr>
        <w:t>Placement Shares</w:t>
      </w:r>
      <w:r>
        <w:rPr>
          <w:color w:val="000000"/>
        </w:rPr>
        <w:t>”</w:t>
      </w:r>
      <w:r>
        <w:rPr>
          <w:rFonts w:ascii="Times New Roman;sans-serif" w:hAnsi="Times New Roman;sans-serif"/>
          <w:b w:val="false"/>
          <w:color w:val="000000"/>
          <w:sz w:val="24"/>
        </w:rPr>
        <w:t>) of the Company’s Class A common stock, par value $0.0001 per share (the “</w:t>
      </w:r>
      <w:r>
        <w:rPr>
          <w:rFonts w:ascii="Times New Roman;sans-serif" w:hAnsi="Times New Roman;sans-serif"/>
          <w:b/>
          <w:color w:val="000000"/>
          <w:sz w:val="24"/>
          <w:u w:val="single"/>
        </w:rPr>
        <w:t>Common Stock</w:t>
      </w:r>
      <w:r>
        <w:rPr>
          <w:color w:val="000000"/>
        </w:rPr>
        <w:t>”</w:t>
      </w:r>
      <w:r>
        <w:rPr>
          <w:rFonts w:ascii="Times New Roman;sans-serif" w:hAnsi="Times New Roman;sans-serif"/>
          <w:b w:val="false"/>
          <w:color w:val="000000"/>
          <w:sz w:val="24"/>
        </w:rPr>
        <w:t>), having an aggregate offering price of up to $75,000,000 (the “</w:t>
      </w:r>
      <w:r>
        <w:rPr>
          <w:rFonts w:ascii="Times New Roman;sans-serif" w:hAnsi="Times New Roman;sans-serif"/>
          <w:b/>
          <w:color w:val="000000"/>
          <w:sz w:val="24"/>
          <w:u w:val="single"/>
        </w:rPr>
        <w:t>Maximum Amount</w:t>
      </w:r>
      <w:r>
        <w:rPr>
          <w:color w:val="000000"/>
        </w:rPr>
        <w:t>”</w:t>
      </w:r>
      <w:r>
        <w:rPr>
          <w:rFonts w:ascii="Times New Roman;sans-serif" w:hAnsi="Times New Roman;sans-serif"/>
          <w:b w:val="false"/>
          <w:color w:val="000000"/>
          <w:sz w:val="24"/>
        </w:rPr>
        <w:t xml:space="preserve">). Notwithstanding anything to the contrary contained herein, the parties hereto agree that compliance with the limitation set forth in this </w:t>
      </w:r>
      <w:r>
        <w:rPr>
          <w:rFonts w:ascii="Times New Roman;sans-serif" w:hAnsi="Times New Roman;sans-serif"/>
          <w:b w:val="false"/>
          <w:color w:val="000000"/>
          <w:sz w:val="24"/>
          <w:u w:val="single"/>
        </w:rPr>
        <w:t>Section 1</w:t>
      </w:r>
      <w:r>
        <w:rPr>
          <w:color w:val="000000"/>
        </w:rPr>
        <w:t xml:space="preserve"> </w:t>
      </w:r>
      <w:r>
        <w:rPr>
          <w:rFonts w:ascii="Times New Roman;sans-serif" w:hAnsi="Times New Roman;sans-serif"/>
          <w:b w:val="false"/>
          <w:color w:val="000000"/>
          <w:sz w:val="24"/>
        </w:rPr>
        <w:t>on the number of shares of Common Stock issued and sold under this Agreement shall be the sole responsibility of the Company, and TD Cowen shall have no obligation in connection with such compliance. The issuance and sale of Common Stock through TD Cowen will be effected pursuant to the Registration Statement (as defined below) filed by the Company and declared effective by the Securities and Exchange Commission (the “</w:t>
      </w:r>
      <w:r>
        <w:rPr>
          <w:rFonts w:ascii="Times New Roman;sans-serif" w:hAnsi="Times New Roman;sans-serif"/>
          <w:b/>
          <w:color w:val="000000"/>
          <w:sz w:val="24"/>
          <w:u w:val="single"/>
        </w:rPr>
        <w:t>Commission</w:t>
      </w:r>
      <w:r>
        <w:rPr>
          <w:color w:val="000000"/>
        </w:rPr>
        <w:t>”</w:t>
      </w:r>
      <w:r>
        <w:rPr>
          <w:rFonts w:ascii="Times New Roman;sans-serif" w:hAnsi="Times New Roman;sans-serif"/>
          <w:b w:val="false"/>
          <w:color w:val="000000"/>
          <w:sz w:val="24"/>
        </w:rPr>
        <w:t>), although nothing in this Agreement shall be construed as requiring the Company to use the Registration Statement (as defined below) to issue the Common Stock. The Company acknowledges and agrees that sales of Placement Shares under this Agreement may be made through affiliates of TD Cowen, and that TD Cowen may otherwise fulfill its obligations pursuant to this Agreement to or through an affiliated broker-dealer.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The Company has filed, in accordance with the provisions of the Securities Act of 1933, as amended, and the rules and regulations thereunder (collectively, the “</w:t>
      </w:r>
      <w:r>
        <w:rPr>
          <w:rFonts w:ascii="Times New Roman;sans-serif" w:hAnsi="Times New Roman;sans-serif"/>
          <w:b/>
          <w:color w:val="000000"/>
          <w:sz w:val="24"/>
          <w:u w:val="single"/>
        </w:rPr>
        <w:t>Securities Act</w:t>
      </w:r>
      <w:r>
        <w:rPr>
          <w:color w:val="000000"/>
        </w:rPr>
        <w:t>”</w:t>
      </w:r>
      <w:r>
        <w:rPr>
          <w:rFonts w:ascii="Times New Roman;sans-serif" w:hAnsi="Times New Roman;sans-serif"/>
          <w:b w:val="false"/>
          <w:color w:val="000000"/>
          <w:sz w:val="24"/>
        </w:rPr>
        <w:t>), with the Commission a registration statement on Form S-3 (File No. 333-267112),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sans-serif" w:hAnsi="Times New Roman;sans-serif"/>
          <w:b/>
          <w:color w:val="000000"/>
          <w:sz w:val="24"/>
          <w:u w:val="single"/>
        </w:rPr>
        <w:t>Exchange Act</w:t>
      </w:r>
      <w:r>
        <w:rPr>
          <w:color w:val="000000"/>
        </w:rPr>
        <w:t>”</w:t>
      </w:r>
      <w:r>
        <w:rPr>
          <w:rFonts w:ascii="Times New Roman;sans-serif" w:hAnsi="Times New Roman;sans-serif"/>
          <w:b w:val="false"/>
          <w:color w:val="000000"/>
          <w:sz w:val="24"/>
        </w:rPr>
        <w:t xml:space="preserve">). The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Company has prepared a prospectus supplement specifically relating to the Placement Shares (the “</w:t>
      </w:r>
      <w:r>
        <w:rPr>
          <w:rFonts w:ascii="Times New Roman;sans-serif" w:hAnsi="Times New Roman;sans-serif"/>
          <w:b/>
          <w:color w:val="000000"/>
          <w:sz w:val="24"/>
          <w:u w:val="single"/>
        </w:rPr>
        <w:t>Prospectus Supplement</w:t>
      </w:r>
      <w:r>
        <w:rPr>
          <w:color w:val="000000"/>
        </w:rPr>
        <w:t>”</w:t>
      </w:r>
      <w:r>
        <w:rPr>
          <w:rFonts w:ascii="Times New Roman;sans-serif" w:hAnsi="Times New Roman;sans-serif"/>
          <w:b w:val="false"/>
          <w:color w:val="000000"/>
          <w:sz w:val="24"/>
        </w:rPr>
        <w:t>) to the base prospectus included as part of such registration statement. The Company has furnished to TD Cowen, for use by TD Cowen, copies of the prospectus included as part of such registration statement, as supplemented by the Prospectus Supplement, relating to the Placement Shares. Except where the context otherwise requires, such registration statement, and any post-effective amendment thereto,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with respect to the Placement Shares, is herein called the “</w:t>
      </w:r>
      <w:r>
        <w:rPr>
          <w:rFonts w:ascii="Times New Roman;sans-serif" w:hAnsi="Times New Roman;sans-serif"/>
          <w:b/>
          <w:color w:val="000000"/>
          <w:sz w:val="24"/>
          <w:u w:val="single"/>
        </w:rPr>
        <w:t>Registration Statement.</w:t>
      </w:r>
      <w:r>
        <w:rPr>
          <w:color w:val="000000"/>
        </w:rPr>
        <w:t xml:space="preserve">” </w:t>
      </w:r>
      <w:r>
        <w:rPr>
          <w:rFonts w:ascii="Times New Roman;sans-serif" w:hAnsi="Times New Roman;sans-serif"/>
          <w:b w:val="false"/>
          <w:color w:val="000000"/>
          <w:sz w:val="24"/>
        </w:rPr>
        <w:t>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defined in Rule 433 under the Securities Act (“</w:t>
      </w:r>
      <w:r>
        <w:rPr>
          <w:rFonts w:ascii="Times New Roman;sans-serif" w:hAnsi="Times New Roman;sans-serif"/>
          <w:b/>
          <w:color w:val="000000"/>
          <w:sz w:val="24"/>
          <w:u w:val="single"/>
        </w:rPr>
        <w:t>Rule 433</w:t>
      </w:r>
      <w:r>
        <w:rPr>
          <w:color w:val="000000"/>
        </w:rPr>
        <w:t>”</w:t>
      </w:r>
      <w:r>
        <w:rPr>
          <w:rFonts w:ascii="Times New Roman;sans-serif" w:hAnsi="Times New Roman;sans-serif"/>
          <w:b w:val="false"/>
          <w:color w:val="000000"/>
          <w:sz w:val="24"/>
        </w:rPr>
        <w:t>), relating to the Placement Shares that (i) is consented to by TD Cowen, hereinafter referred to as a “</w:t>
      </w:r>
      <w:r>
        <w:rPr>
          <w:rFonts w:ascii="Times New Roman;sans-serif" w:hAnsi="Times New Roman;sans-serif"/>
          <w:b/>
          <w:color w:val="000000"/>
          <w:sz w:val="24"/>
          <w:u w:val="single"/>
        </w:rPr>
        <w:t>Permitted Free Writing Prospectus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sans-serif" w:hAnsi="Times New Roman;sans-serif"/>
          <w:b/>
          <w:color w:val="000000"/>
          <w:sz w:val="24"/>
          <w:u w:val="single"/>
        </w:rPr>
        <w:t>Prospectus</w:t>
      </w:r>
      <w:r>
        <w:rPr>
          <w:rFonts w:ascii="Times New Roman;sans-serif" w:hAnsi="Times New Roman;sans-serif"/>
          <w:b w:val="false"/>
          <w:color w:val="000000"/>
          <w:sz w:val="24"/>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sans-serif" w:hAnsi="Times New Roman;sans-serif"/>
          <w:b/>
          <w:color w:val="000000"/>
          <w:sz w:val="24"/>
          <w:u w:val="single"/>
        </w:rPr>
        <w:t>EDGAR</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Placements</w:t>
      </w:r>
      <w:r>
        <w:rPr>
          <w:rFonts w:ascii="Times New Roman;sans-serif" w:hAnsi="Times New Roman;sans-serif"/>
          <w:b w:val="false"/>
          <w:color w:val="000000"/>
          <w:sz w:val="24"/>
        </w:rPr>
        <w:t>. Each time that the Company wishes to issue and sell the Placement Shares hereunder (each, a “</w:t>
      </w:r>
      <w:r>
        <w:rPr>
          <w:rFonts w:ascii="Times New Roman;sans-serif" w:hAnsi="Times New Roman;sans-serif"/>
          <w:b/>
          <w:color w:val="000000"/>
          <w:sz w:val="24"/>
          <w:u w:val="single"/>
        </w:rPr>
        <w:t>Placement</w:t>
      </w:r>
      <w:r>
        <w:rPr>
          <w:color w:val="000000"/>
        </w:rPr>
        <w:t>”</w:t>
      </w:r>
      <w:r>
        <w:rPr>
          <w:rFonts w:ascii="Times New Roman;sans-serif" w:hAnsi="Times New Roman;sans-serif"/>
          <w:b w:val="false"/>
          <w:color w:val="000000"/>
          <w:sz w:val="24"/>
        </w:rPr>
        <w:t>), it will notify TD Cowen by email notice (or other method mutually agreed to in writing by the parties) (a “</w:t>
      </w:r>
      <w:r>
        <w:rPr>
          <w:rFonts w:ascii="Times New Roman;sans-serif" w:hAnsi="Times New Roman;sans-serif"/>
          <w:b/>
          <w:color w:val="000000"/>
          <w:sz w:val="24"/>
          <w:u w:val="single"/>
        </w:rPr>
        <w:t>Placement Notice</w:t>
      </w:r>
      <w:r>
        <w:rPr>
          <w:color w:val="000000"/>
        </w:rPr>
        <w:t>”</w:t>
      </w:r>
      <w:r>
        <w:rPr>
          <w:rFonts w:ascii="Times New Roman;sans-serif" w:hAnsi="Times New Roman;sans-serif"/>
          <w:b w:val="false"/>
          <w:color w:val="000000"/>
          <w:sz w:val="24"/>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xml:space="preserve">) and any minimum price below which sales may not be made, a form of which containing such minimum sales parameters necessary is attached hereto as </w:t>
      </w:r>
      <w:r>
        <w:rPr>
          <w:rFonts w:ascii="Times New Roman;sans-serif" w:hAnsi="Times New Roman;sans-serif"/>
          <w:b/>
          <w:color w:val="000000"/>
          <w:sz w:val="24"/>
          <w:u w:val="single"/>
        </w:rPr>
        <w:t>Schedule 1</w:t>
      </w:r>
      <w:r>
        <w:rPr>
          <w:rFonts w:ascii="Times New Roman;sans-serif" w:hAnsi="Times New Roman;sans-serif"/>
          <w:b w:val="false"/>
          <w:color w:val="000000"/>
          <w:sz w:val="24"/>
        </w:rPr>
        <w:t xml:space="preserve">. The Placement Notice shall originate from any of the individuals from the Company set forth on </w:t>
      </w:r>
      <w:r>
        <w:rPr>
          <w:rFonts w:ascii="Times New Roman;sans-serif" w:hAnsi="Times New Roman;sans-serif"/>
          <w:b/>
          <w:color w:val="000000"/>
          <w:sz w:val="24"/>
          <w:u w:val="single"/>
        </w:rPr>
        <w:t>Schedule 2</w:t>
      </w:r>
      <w:r>
        <w:rPr>
          <w:color w:val="000000"/>
        </w:rPr>
        <w:t xml:space="preserve"> </w:t>
      </w:r>
      <w:r>
        <w:rPr>
          <w:rFonts w:ascii="Times New Roman;sans-serif" w:hAnsi="Times New Roman;sans-serif"/>
          <w:b w:val="false"/>
          <w:color w:val="000000"/>
          <w:sz w:val="24"/>
        </w:rPr>
        <w:t xml:space="preserve">(with a copy to each of the other individuals from the Company listed on such schedule), and shall be addressed to each of the individuals from TD Cowen set forth on </w:t>
      </w:r>
      <w:r>
        <w:rPr>
          <w:rFonts w:ascii="Times New Roman;sans-serif" w:hAnsi="Times New Roman;sans-serif"/>
          <w:b/>
          <w:color w:val="000000"/>
          <w:sz w:val="24"/>
          <w:u w:val="single"/>
        </w:rPr>
        <w:t>Schedule 2</w:t>
      </w:r>
      <w:r>
        <w:rPr>
          <w:rFonts w:ascii="Times New Roman;sans-serif" w:hAnsi="Times New Roman;sans-serif"/>
          <w:b w:val="false"/>
          <w:color w:val="000000"/>
          <w:sz w:val="24"/>
        </w:rPr>
        <w:t xml:space="preserve">, as such </w:t>
      </w:r>
      <w:r>
        <w:rPr>
          <w:rFonts w:ascii="Times New Roman;sans-serif" w:hAnsi="Times New Roman;sans-serif"/>
          <w:b/>
          <w:color w:val="000000"/>
          <w:sz w:val="24"/>
          <w:u w:val="single"/>
        </w:rPr>
        <w:t>Schedule 2</w:t>
      </w:r>
      <w:r>
        <w:rPr>
          <w:color w:val="000000"/>
        </w:rPr>
        <w:t xml:space="preserve"> </w:t>
      </w:r>
      <w:r>
        <w:rPr>
          <w:rFonts w:ascii="Times New Roman;sans-serif" w:hAnsi="Times New Roman;sans-serif"/>
          <w:b w:val="false"/>
          <w:color w:val="000000"/>
          <w:sz w:val="24"/>
        </w:rPr>
        <w:t xml:space="preserve">may be amended from time to time. The Placement Notice shall be effective upon receipt by TD Cowen unless and until (i) in accordance with the notice requirements set forth in </w:t>
      </w:r>
      <w:r>
        <w:rPr>
          <w:rFonts w:ascii="Times New Roman;sans-serif" w:hAnsi="Times New Roman;sans-serif"/>
          <w:b w:val="false"/>
          <w:color w:val="000000"/>
          <w:sz w:val="24"/>
          <w:u w:val="single"/>
        </w:rPr>
        <w:t>Section 4</w:t>
      </w:r>
      <w:r>
        <w:rPr>
          <w:rFonts w:ascii="Times New Roman;sans-serif" w:hAnsi="Times New Roman;sans-serif"/>
          <w:b w:val="false"/>
          <w:color w:val="000000"/>
          <w:sz w:val="24"/>
        </w:rPr>
        <w:t xml:space="preserve">, TD Cowen declines to accept the terms </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7025"/>
                <wp:effectExtent l="0" t="0" r="0" b="0"/>
                <wp:wrapNone/>
                <wp:docPr id="6" name="Frame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contained therein for any reason, in its sole discretion, (ii) the entire amount of the Placement Shares have been sold, (iii) in accordance with the notice requirements set forth in </w:t>
      </w:r>
      <w:r>
        <w:rPr>
          <w:rFonts w:ascii="Times New Roman;sans-serif" w:hAnsi="Times New Roman;sans-serif"/>
          <w:b w:val="false"/>
          <w:color w:val="000000"/>
          <w:sz w:val="24"/>
          <w:u w:val="single"/>
        </w:rPr>
        <w:t>Section 4</w:t>
      </w:r>
      <w:r>
        <w:rPr>
          <w:rFonts w:ascii="Times New Roman;sans-serif" w:hAnsi="Times New Roman;sans-serif"/>
          <w:b w:val="false"/>
          <w:color w:val="000000"/>
          <w:sz w:val="24"/>
        </w:rPr>
        <w:t xml:space="preserve">, the Company suspends or terminates the Placement Notice for any reason, in its sole discretion, (iv) the Company issues a subsequent Placement Notice with parameters superseding those on the earlier dated Placement Notice, or (v) this Agreement has been terminated under the provisions of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 xml:space="preserve">. The amount of any discount, commission or other compensation to be paid by the Company to TD Cowen in connection with the sale of the Placement Shares shall be calculated in accordance with the terms set forth in </w:t>
      </w:r>
      <w:r>
        <w:rPr>
          <w:rFonts w:ascii="Times New Roman;sans-serif" w:hAnsi="Times New Roman;sans-serif"/>
          <w:b/>
          <w:color w:val="000000"/>
          <w:sz w:val="24"/>
          <w:u w:val="single"/>
        </w:rPr>
        <w:t>Schedule 3</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It is expressly acknowledged and agreed that neither the Company nor TD Cowen will have any obligation whatsoever with respect to a Placement or any Placement Shares unless and until the Company delivers a Placement Notice to TD Cowen and TD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Sale of Placement Shares by TD Cowen.</w:t>
      </w:r>
      <w:r>
        <w:rPr>
          <w:color w:val="000000"/>
        </w:rPr>
        <w:t xml:space="preserve"> </w:t>
      </w:r>
      <w:r>
        <w:rPr>
          <w:rFonts w:ascii="Times New Roman;sans-serif" w:hAnsi="Times New Roman;sans-serif"/>
          <w:b w:val="false"/>
          <w:color w:val="000000"/>
          <w:sz w:val="24"/>
        </w:rPr>
        <w:t>Subject to the terms and conditions herein set forth, upon the Company’s delivery of a Placement Notice, and unless the sale of the Placement Shares described therein has been declined, suspended, or otherwise terminated in accordance with the terms of this Agreement, TD Cowen or its affiliate, for the period specified in the Placement Notice, will use its commercially reasonable efforts consistent with its normal trading and sales practices and applicable state and federal laws, rules and regulations and the rules of the Nasdaq Stock Market, Inc. (“</w:t>
      </w:r>
      <w:r>
        <w:rPr>
          <w:rFonts w:ascii="Times New Roman;sans-serif" w:hAnsi="Times New Roman;sans-serif"/>
          <w:b/>
          <w:color w:val="000000"/>
          <w:sz w:val="24"/>
          <w:u w:val="single"/>
        </w:rPr>
        <w:t>Nasdaq</w:t>
      </w:r>
      <w:r>
        <w:rPr>
          <w:color w:val="000000"/>
        </w:rPr>
        <w:t>”</w:t>
      </w:r>
      <w:r>
        <w:rPr>
          <w:rFonts w:ascii="Times New Roman;sans-serif" w:hAnsi="Times New Roman;sans-serif"/>
          <w:b w:val="false"/>
          <w:color w:val="000000"/>
          <w:sz w:val="24"/>
        </w:rPr>
        <w:t xml:space="preserve">) to sell such Placement Shares up to the amount specified, and otherwise in accordance with the terms of such Placement Notice. TD Cowen will provide written confirmation to the Company (including by email correspondence to each of the individuals of the Company set forth on </w:t>
      </w:r>
      <w:r>
        <w:rPr>
          <w:rFonts w:ascii="Times New Roman;sans-serif" w:hAnsi="Times New Roman;sans-serif"/>
          <w:b/>
          <w:color w:val="000000"/>
          <w:sz w:val="24"/>
          <w:u w:val="single"/>
        </w:rPr>
        <w:t>Schedule 2</w:t>
      </w:r>
      <w:r>
        <w:rPr>
          <w:rFonts w:ascii="Times New Roman;sans-serif" w:hAnsi="Times New Roman;sans-serif"/>
          <w:b w:val="false"/>
          <w:color w:val="000000"/>
          <w:sz w:val="24"/>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TD Cowen for a sale of Placement Shares that would constitute a “block” within the meaning of Rule 10b-18(a)(5) under the Exchange Act (a “</w:t>
      </w:r>
      <w:r>
        <w:rPr>
          <w:rFonts w:ascii="Times New Roman;sans-serif" w:hAnsi="Times New Roman;sans-serif"/>
          <w:b/>
          <w:color w:val="000000"/>
          <w:sz w:val="24"/>
          <w:u w:val="single"/>
        </w:rPr>
        <w:t>Block Sale</w:t>
      </w:r>
      <w:r>
        <w:rPr>
          <w:color w:val="000000"/>
        </w:rPr>
        <w:t>”</w:t>
      </w:r>
      <w:r>
        <w:rPr>
          <w:rFonts w:ascii="Times New Roman;sans-serif" w:hAnsi="Times New Roman;sans-serif"/>
          <w:b w:val="false"/>
          <w:color w:val="000000"/>
          <w:sz w:val="24"/>
        </w:rPr>
        <w:t xml:space="preserve">), the Company will provide TD Cowen, at TD Cowen’s request and upon reasonable advance notice to the Company, on or prior to the Settlement Date (as defined below), the opinions of counsel, accountant’s letter and officers’ certificates set forth in </w:t>
      </w:r>
      <w:r>
        <w:rPr>
          <w:rFonts w:ascii="Times New Roman;sans-serif" w:hAnsi="Times New Roman;sans-serif"/>
          <w:b w:val="false"/>
          <w:color w:val="000000"/>
          <w:sz w:val="24"/>
          <w:u w:val="single"/>
        </w:rPr>
        <w:t>Section 8</w:t>
      </w:r>
      <w:r>
        <w:rPr>
          <w:color w:val="000000"/>
        </w:rPr>
        <w:t xml:space="preserve"> </w:t>
      </w:r>
      <w:r>
        <w:rPr>
          <w:rFonts w:ascii="Times New Roman;sans-serif" w:hAnsi="Times New Roman;sans-serif"/>
          <w:b w:val="false"/>
          <w:color w:val="000000"/>
          <w:sz w:val="24"/>
        </w:rPr>
        <w:t xml:space="preserve">hereof, each dated the Settlement Date, and such other documents and information as TD Cowen shall reasonably request. TD Cowen may sell Placement Shares by any method permitted by law deemed to be an “at the market” offering as defined in Rule 415 of the Securities Act, including without limitation sales made through Nasdaq or on any other existing trading market for the Common Stock. TD Cowen shall not purchase Placement Shares for its own account as principal unless expressly authorized to do so by the Company in a Placement Notice. The Company acknowledges and agrees that (i) there can be no assurance that TD Cowen will be successful in selling Placement Shares, and (ii) TD Cowen will incur no liability or obligation to the Company or any other person or entity if it does not sell Placement Shares for any reason other than a failure by TD Cowen to use its commercially reasonable efforts consistent with its normal trading and sales practices to sell such Placement Shares as required under this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7025"/>
                <wp:effectExtent l="0" t="0" r="0" b="0"/>
                <wp:wrapNone/>
                <wp:docPr id="7" name="Frame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For the purposes hereof, “</w:t>
      </w:r>
      <w:r>
        <w:rPr>
          <w:rFonts w:ascii="Times New Roman;sans-serif" w:hAnsi="Times New Roman;sans-serif"/>
          <w:b/>
          <w:color w:val="000000"/>
          <w:sz w:val="24"/>
          <w:u w:val="single"/>
        </w:rPr>
        <w:t>Trading Day</w:t>
      </w:r>
      <w:r>
        <w:rPr>
          <w:color w:val="000000"/>
        </w:rPr>
        <w:t xml:space="preserve">” </w:t>
      </w:r>
      <w:r>
        <w:rPr>
          <w:rFonts w:ascii="Times New Roman;sans-serif" w:hAnsi="Times New Roman;sans-serif"/>
          <w:b w:val="false"/>
          <w:color w:val="000000"/>
          <w:sz w:val="24"/>
        </w:rPr>
        <w:t>means any day on which the Company’s Common Stock is purchased and sold on the principal market on which the Common Stock is listed or quoted.</w:t>
      </w:r>
    </w:p>
    <w:p>
      <w:pPr>
        <w:pStyle w:val="TextBody"/>
        <w:bidi w:val="0"/>
        <w:spacing w:lineRule="auto" w:line="288" w:before="0" w:after="240"/>
        <w:jc w:val="both"/>
        <w:rPr/>
      </w:pPr>
      <w:r>
        <w:rPr>
          <w:rFonts w:ascii="Times New Roman;sans-serif" w:hAnsi="Times New Roman;sans-serif"/>
          <w:b w:val="false"/>
          <w:color w:val="000000"/>
          <w:sz w:val="24"/>
        </w:rPr>
        <w:t>Notwithstanding any other provision of this Agreement, the Company shall not offer, sell or deliver, or request the offer or sale, of any Placement Shares pursuant to this Agreement and, by notice to TD Cowen given by telephone (confirmed promptly by email), shall cancel any instructions for the offer or sale of any Placement Shares, and TD Cowen shall not be obligated to offer or sell any Placement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sans-serif" w:hAnsi="Times New Roman;sans-serif"/>
          <w:b/>
          <w:color w:val="000000"/>
          <w:sz w:val="24"/>
          <w:u w:val="single"/>
        </w:rPr>
        <w:t>Earnings Announcement</w:t>
      </w:r>
      <w:r>
        <w:rPr>
          <w:color w:val="000000"/>
        </w:rPr>
        <w:t>”</w:t>
      </w:r>
      <w:r>
        <w:rPr>
          <w:rFonts w:ascii="Times New Roman;sans-serif" w:hAnsi="Times New Roman;sans-serif"/>
          <w:b w:val="false"/>
          <w:color w:val="000000"/>
          <w:sz w:val="24"/>
        </w:rPr>
        <w:t>) through and including the time that the Company files a Quarterly Report on Form 10-Q or an Annual Report on Form 10-K that includes consolidated financial statements as of and for the same period or periods, as the case may be, covered by such Earnings Announcement.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Suspension of Sales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    The Company or TD Cowen may, upon notice to the other party in writing (including by email correspondence to each of the individuals of the other party set forth on </w:t>
      </w:r>
      <w:r>
        <w:rPr>
          <w:rFonts w:ascii="Times New Roman;sans-serif" w:hAnsi="Times New Roman;sans-serif"/>
          <w:b/>
          <w:color w:val="000000"/>
          <w:sz w:val="24"/>
          <w:u w:val="single"/>
        </w:rPr>
        <w:t>Schedule 2</w:t>
      </w:r>
      <w:r>
        <w:rPr>
          <w:rFonts w:ascii="Times New Roman;sans-serif" w:hAnsi="Times New Roman;sans-serif"/>
          <w:b w:val="false"/>
          <w:color w:val="000000"/>
          <w:sz w:val="24"/>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sans-serif" w:hAnsi="Times New Roman;sans-serif"/>
          <w:b/>
          <w:color w:val="000000"/>
          <w:sz w:val="24"/>
          <w:u w:val="single"/>
        </w:rPr>
        <w:t>Schedule 2</w:t>
      </w:r>
      <w:r>
        <w:rPr>
          <w:rFonts w:ascii="Times New Roman;sans-serif" w:hAnsi="Times New Roman;sans-serif"/>
          <w:b w:val="false"/>
          <w:color w:val="000000"/>
          <w:sz w:val="24"/>
        </w:rPr>
        <w:t xml:space="preserve">), suspend any sale of Placement Shares;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such suspension shall not affect or impair either party’s obligations with respect to any Placement Shares sold hereunder prior to the receipt of such notice. While a suspension is in effect, any obligation under Sections 7(m), 7(n), 7(o) and 7(p) with respect to the delivery of certificates, opinions or comfort letter to TD Cowen shall be waived. Each of the parties agrees that no such notice under this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shall be effective against the other unless it is made to one of the individuals named on </w:t>
      </w:r>
      <w:r>
        <w:rPr>
          <w:rFonts w:ascii="Times New Roman;sans-serif" w:hAnsi="Times New Roman;sans-serif"/>
          <w:b/>
          <w:color w:val="000000"/>
          <w:sz w:val="24"/>
          <w:u w:val="single"/>
        </w:rPr>
        <w:t>Schedule 2</w:t>
      </w:r>
      <w:r>
        <w:rPr>
          <w:color w:val="000000"/>
        </w:rPr>
        <w:t xml:space="preserve"> </w:t>
      </w:r>
      <w:r>
        <w:rPr>
          <w:rFonts w:ascii="Times New Roman;sans-serif" w:hAnsi="Times New Roman;sans-serif"/>
          <w:b w:val="false"/>
          <w:color w:val="000000"/>
          <w:sz w:val="24"/>
        </w:rPr>
        <w:t>hereto, as such schedule may be amended from time to time.</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(b)    If either TD Cowen or the Company has reason to believe that the exemptive provisions set forth in Rule 101(c)(1) of Regulation M under the Exchange Act are not satisfied with respect to the Common Stock, it shall promptly notify the other party, and TD Cowen may, at its sole discretion, suspend sales of the Placement Shares under this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(c)    The Registration Statement was declared effective on September 7, 2022. Notwithstanding any other provision of this Agreement, during any period in which the Registration Statement is no longer effective under the Securities Act, the Company shall promptly notify TD Cowen, the Company shall not request the sale of any Placement Shares, and TD Cowen shall not be obligated to sell or offer to sell any Placement Shares.</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Settlement.</w:t>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7025"/>
                <wp:effectExtent l="0" t="0" r="0" b="0"/>
                <wp:wrapNone/>
                <wp:docPr id="8" name="Frame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color w:val="000000"/>
        </w:rPr>
        <w:t>    </w:t>
      </w:r>
      <w:r>
        <w:rPr>
          <w:rFonts w:ascii="Times New Roman;sans-serif" w:hAnsi="Times New Roman;sans-serif"/>
          <w:b w:val="false"/>
          <w:color w:val="000000"/>
          <w:sz w:val="24"/>
          <w:u w:val="single"/>
        </w:rPr>
        <w:t>Settlement of Placement Shares</w:t>
      </w:r>
      <w:r>
        <w:rPr>
          <w:rFonts w:ascii="Times New Roman;sans-serif" w:hAnsi="Times New Roman;sans-serif"/>
          <w:b w:val="false"/>
          <w:color w:val="000000"/>
          <w:sz w:val="24"/>
        </w:rPr>
        <w:t>. Unless otherwise specified in the applicable Placement Notice, settlement for sales of Placement Shares will occur on the second (2</w:t>
      </w:r>
      <w:r>
        <w:rPr>
          <w:rFonts w:ascii="Times New Roman;sans-serif" w:hAnsi="Times New Roman;sans-serif"/>
          <w:b w:val="false"/>
          <w:color w:val="000000"/>
          <w:sz w:val="16"/>
        </w:rPr>
        <w:t>nd</w:t>
      </w:r>
      <w:r>
        <w:rPr>
          <w:rFonts w:ascii="Times New Roman;sans-serif" w:hAnsi="Times New Roman;sans-serif"/>
          <w:b w:val="false"/>
          <w:color w:val="000000"/>
          <w:sz w:val="24"/>
        </w:rPr>
        <w:t>) Trading Day (and on and after May 28, 2024, the first Trading Day or such earlier day as is industry practice for regular-way trading) following the date on which such sales are made (each, a “</w:t>
      </w:r>
      <w:r>
        <w:rPr>
          <w:rFonts w:ascii="Times New Roman;sans-serif" w:hAnsi="Times New Roman;sans-serif"/>
          <w:b/>
          <w:color w:val="000000"/>
          <w:sz w:val="24"/>
          <w:u w:val="single"/>
        </w:rPr>
        <w:t>Settlement Date</w:t>
      </w:r>
      <w:r>
        <w:rPr>
          <w:color w:val="000000"/>
        </w:rPr>
        <w:t xml:space="preserve">” </w:t>
      </w:r>
      <w:r>
        <w:rPr>
          <w:rFonts w:ascii="Times New Roman;sans-serif" w:hAnsi="Times New Roman;sans-serif"/>
          <w:b w:val="false"/>
          <w:color w:val="000000"/>
          <w:sz w:val="24"/>
        </w:rPr>
        <w:t>and the first such settlement date, the “</w:t>
      </w:r>
      <w:r>
        <w:rPr>
          <w:rFonts w:ascii="Times New Roman;sans-serif" w:hAnsi="Times New Roman;sans-serif"/>
          <w:b/>
          <w:color w:val="000000"/>
          <w:sz w:val="24"/>
          <w:u w:val="single"/>
        </w:rPr>
        <w:t>First Delivery Date</w:t>
      </w:r>
      <w:r>
        <w:rPr>
          <w:color w:val="000000"/>
        </w:rPr>
        <w:t>”</w:t>
      </w:r>
      <w:r>
        <w:rPr>
          <w:rFonts w:ascii="Times New Roman;sans-serif" w:hAnsi="Times New Roman;sans-serif"/>
          <w:b w:val="false"/>
          <w:color w:val="000000"/>
          <w:sz w:val="24"/>
        </w:rPr>
        <w:t>). The amount of proceeds to be delivered to the Company on a Settlement Date against receipt of the Placement Shares sold (the “</w:t>
      </w:r>
      <w:r>
        <w:rPr>
          <w:rFonts w:ascii="Times New Roman;sans-serif" w:hAnsi="Times New Roman;sans-serif"/>
          <w:b/>
          <w:color w:val="000000"/>
          <w:sz w:val="24"/>
          <w:u w:val="single"/>
        </w:rPr>
        <w:t>Net Proceeds</w:t>
      </w:r>
      <w:r>
        <w:rPr>
          <w:color w:val="000000"/>
        </w:rPr>
        <w:t>”</w:t>
      </w:r>
      <w:r>
        <w:rPr>
          <w:rFonts w:ascii="Times New Roman;sans-serif" w:hAnsi="Times New Roman;sans-serif"/>
          <w:b w:val="false"/>
          <w:color w:val="000000"/>
          <w:sz w:val="24"/>
        </w:rPr>
        <w:t xml:space="preserve">) will be equal to the aggregate sales price received by TD Cowen at which such Placement Shares were sold, after deduction for (i) TD Cowen’s commission, discount or other compensation for such sales payable by the Company pursuant to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 xml:space="preserve">hereof, (ii) any other amounts due and payable by the Company to TD Cowen hereunder pursuant to </w:t>
      </w:r>
      <w:r>
        <w:rPr>
          <w:rFonts w:ascii="Times New Roman;sans-serif" w:hAnsi="Times New Roman;sans-serif"/>
          <w:b w:val="false"/>
          <w:color w:val="000000"/>
          <w:sz w:val="24"/>
          <w:u w:val="single"/>
        </w:rPr>
        <w:t>Section 7(g)</w:t>
      </w:r>
      <w:r>
        <w:rPr>
          <w:color w:val="000000"/>
        </w:rPr>
        <w:t xml:space="preserve"> </w:t>
      </w:r>
      <w:r>
        <w:rPr>
          <w:rFonts w:ascii="Times New Roman;sans-serif" w:hAnsi="Times New Roman;sans-serif"/>
          <w:b w:val="false"/>
          <w:color w:val="000000"/>
          <w:sz w:val="24"/>
        </w:rPr>
        <w:t xml:space="preserve">(Expenses) hereof, and (iii) any transaction fees imposed by any governmental or self-regulatory organization in respect of such sales.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color w:val="000000"/>
        </w:rPr>
        <w:t>    </w:t>
      </w:r>
      <w:r>
        <w:rPr>
          <w:rFonts w:ascii="Times New Roman;sans-serif" w:hAnsi="Times New Roman;sans-serif"/>
          <w:b w:val="false"/>
          <w:color w:val="000000"/>
          <w:sz w:val="24"/>
          <w:u w:val="single"/>
        </w:rPr>
        <w:t>Delivery of Placement Shares</w:t>
      </w:r>
      <w:r>
        <w:rPr>
          <w:rFonts w:ascii="Times New Roman;sans-serif" w:hAnsi="Times New Roman;sans-serif"/>
          <w:b w:val="false"/>
          <w:color w:val="000000"/>
          <w:sz w:val="24"/>
        </w:rPr>
        <w:t xml:space="preserve">. On or before each Settlement Date, the Company will, or will cause its transfer agent to, electronically transfer the Placement Shares being sold by crediting TD Cowen’s or its designee’s account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TD Cowen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TD Cowen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the Company agrees that in addition to and in no way limiting the rights and obligations set forth in </w:t>
      </w:r>
      <w:r>
        <w:rPr>
          <w:rFonts w:ascii="Times New Roman;sans-serif" w:hAnsi="Times New Roman;sans-serif"/>
          <w:b w:val="false"/>
          <w:color w:val="000000"/>
          <w:sz w:val="24"/>
          <w:u w:val="single"/>
        </w:rPr>
        <w:t>Section 9(a)</w:t>
      </w:r>
      <w:r>
        <w:rPr>
          <w:color w:val="000000"/>
        </w:rPr>
        <w:t xml:space="preserve"> </w:t>
      </w:r>
      <w:r>
        <w:rPr>
          <w:rFonts w:ascii="Times New Roman;sans-serif" w:hAnsi="Times New Roman;sans-serif"/>
          <w:b w:val="false"/>
          <w:color w:val="000000"/>
          <w:sz w:val="24"/>
        </w:rPr>
        <w:t>(Indemnification and Contribution) hereto, it will (i) hold TD Cowen harmless against any loss, claim, damage, or reasonable and documented expense (including reasonable and documented legal fees and expenses), as incurred, arising out of or in connection with such default by the Company and (ii) pay to TD Cowen (without duplication) any commission, discount, or other compensation to which it would otherwise have been entitled absent such default.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Representations and Warranties of the Company</w:t>
      </w:r>
      <w:r>
        <w:rPr>
          <w:rFonts w:ascii="Times New Roman;sans-serif" w:hAnsi="Times New Roman;sans-serif"/>
          <w:b w:val="false"/>
          <w:color w:val="000000"/>
          <w:sz w:val="24"/>
        </w:rPr>
        <w:t>. Except as disclosed in the Registration Statement or the Prospectus, the Company represents and warrants to, and agrees with, TD Cowen that as of (i) the date of this Agreement, (ii) each Time of Sale (as defined below), (iii) each Settlement Date, and (iv) each Bring-Down Date (as defined below) (each date included in (i) through (iv), a “</w:t>
      </w:r>
      <w:r>
        <w:rPr>
          <w:rFonts w:ascii="Times New Roman;sans-serif" w:hAnsi="Times New Roman;sans-serif"/>
          <w:b/>
          <w:color w:val="000000"/>
          <w:sz w:val="24"/>
          <w:u w:val="single"/>
        </w:rPr>
        <w:t>Representation Date</w:t>
      </w:r>
      <w:r>
        <w:rPr>
          <w:color w:val="000000"/>
        </w:rPr>
        <w: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color w:val="000000"/>
        </w:rPr>
        <w:t>    </w:t>
      </w:r>
      <w:r>
        <w:rPr>
          <w:rFonts w:ascii="Times New Roman;sans-serif" w:hAnsi="Times New Roman;sans-serif"/>
          <w:b w:val="false"/>
          <w:color w:val="000000"/>
          <w:sz w:val="24"/>
          <w:u w:val="single"/>
        </w:rPr>
        <w:t>Compliance with Registration Requirements</w:t>
      </w:r>
      <w:r>
        <w:rPr>
          <w:rFonts w:ascii="Times New Roman;sans-serif" w:hAnsi="Times New Roman;sans-serif"/>
          <w:b w:val="false"/>
          <w:color w:val="000000"/>
          <w:sz w:val="24"/>
        </w:rPr>
        <w:t xml:space="preserve">. The Registration Statement and any Rule 462(b) Registration Statement have been declared effective by the Commission under the Securities Act. The Company has complied, or will comply, to the Commission’s satisfaction with all requests of the Commission for additional or supplemental information with respect to the Registration Statement. No stop order suspending the effectiveness of the Registration Statement or any Rule 462(b) Registration Statement is in effect and no proceedings for such purpose have been instituted or are pending or, to the best knowledge of the Company, contemplated or threatened by the Commission. The Company meets the requirements for use of </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7025"/>
                <wp:effectExtent l="0" t="0" r="0" b="0"/>
                <wp:wrapNone/>
                <wp:docPr id="9" name="Frame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Form S-3 under the Securities Act. The sale of the Placement Shares hereunder meets the requirements of General Instruction I.B.1 of Form S-3.</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color w:val="000000"/>
        </w:rPr>
        <w:t xml:space="preserve">     </w:t>
      </w:r>
      <w:r>
        <w:rPr>
          <w:rFonts w:ascii="Times New Roman;sans-serif" w:hAnsi="Times New Roman;sans-serif"/>
          <w:b w:val="false"/>
          <w:color w:val="000000"/>
          <w:sz w:val="24"/>
          <w:u w:val="single"/>
        </w:rPr>
        <w:t>No Misstatement or Omission</w:t>
      </w:r>
      <w:r>
        <w:rPr>
          <w:rFonts w:ascii="Times New Roman;sans-serif" w:hAnsi="Times New Roman;sans-serif"/>
          <w:b w:val="false"/>
          <w:color w:val="000000"/>
          <w:sz w:val="24"/>
        </w:rPr>
        <w:t>. The Prospectus when filed complied and, as amended or supplemented, if applicable, will comply in all material respects with the Securities Act. Each of the Registration Statement, any Rule 462(b) Registration Statement, the Prospectus and any post-effective amendments or supplements thereto, at the time it became effective or its date, as applicable, complied and as of each Representation Date, complied and will comply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sans-serif" w:hAnsi="Times New Roman;sans-serif"/>
          <w:b/>
          <w:color w:val="000000"/>
          <w:sz w:val="24"/>
          <w:u w:val="single"/>
        </w:rPr>
        <w:t>Time of Sale</w:t>
      </w:r>
      <w:r>
        <w:rPr>
          <w:color w:val="000000"/>
        </w:rPr>
        <w:t xml:space="preserve">” </w:t>
      </w:r>
      <w:r>
        <w:rPr>
          <w:rFonts w:ascii="Times New Roman;sans-serif" w:hAnsi="Times New Roman;sans-serif"/>
          <w:b w:val="false"/>
          <w:color w:val="000000"/>
          <w:sz w:val="24"/>
        </w:rPr>
        <w:t>means with respect to each offering of Placement Shares pursuant to this Agreement, the time of TD Cowen’s initial entry into contracts with purchasers for the sale of such Placement Shares.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color w:val="000000"/>
        </w:rPr>
        <w:t>    </w:t>
      </w:r>
      <w:r>
        <w:rPr>
          <w:rFonts w:ascii="Times New Roman;sans-serif" w:hAnsi="Times New Roman;sans-serif"/>
          <w:b w:val="false"/>
          <w:color w:val="000000"/>
          <w:sz w:val="24"/>
          <w:u w:val="single"/>
        </w:rPr>
        <w:t>Offering Materials Furnished to TD Cowen</w:t>
      </w:r>
      <w:r>
        <w:rPr>
          <w:rFonts w:ascii="Times New Roman;sans-serif" w:hAnsi="Times New Roman;sans-serif"/>
          <w:b w:val="false"/>
          <w:color w:val="000000"/>
          <w:sz w:val="24"/>
        </w:rPr>
        <w:t>. The Company has delivered to TD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TD Cowen has reasonably requested. The Registration Statement, the Prospectus and any Permitted Free Writing Prospectus (to the extent any such Permitted Free Writing Prospectus was required to be filed with the Commission) delivered to TD Cowen for use in connection with the public offering of the Placement Shares contemplated herein have been and will be identical to the versions of such documents transmitted to the Commission for filing via EDGAR, except to the extent permitted by Regulation S-T.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 </w:t>
      </w:r>
      <w:r>
        <w:rPr>
          <w:color w:val="000000"/>
        </w:rPr>
        <w:t>    </w:t>
      </w:r>
      <w:r>
        <w:rPr>
          <w:rFonts w:ascii="Times New Roman;sans-serif" w:hAnsi="Times New Roman;sans-serif"/>
          <w:b w:val="false"/>
          <w:color w:val="000000"/>
          <w:sz w:val="24"/>
          <w:u w:val="single"/>
        </w:rPr>
        <w:t>Emerging Growth Company</w:t>
      </w:r>
      <w:r>
        <w:rPr>
          <w:rFonts w:ascii="Times New Roman;sans-serif" w:hAnsi="Times New Roman;sans-serif"/>
          <w:b w:val="false"/>
          <w:color w:val="000000"/>
          <w:sz w:val="24"/>
        </w:rPr>
        <w:t xml:space="preserve">. The Company is an “emerging growth company,” as defined in Section 2(a) of the Securities Act. The Company agrees to notify TD Cowen promptly upon the Company ceasing to be an emerging growth company;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the Company shall not be required to notify TD Cowen when it ceases to be an emerging growth company on December 31, 2025 (i.e., the last day of the fiscal year of the Company following the fifth anniversary of the date of the first sale of common equity securities of the Company pursuant to an effective registration statement under the Securities Act).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 </w:t>
      </w:r>
      <w:r>
        <w:rPr>
          <w:color w:val="000000"/>
        </w:rPr>
        <w:t>    </w:t>
      </w:r>
      <w:r>
        <w:rPr>
          <w:rFonts w:ascii="Times New Roman;sans-serif" w:hAnsi="Times New Roman;sans-serif"/>
          <w:b w:val="false"/>
          <w:color w:val="000000"/>
          <w:sz w:val="24"/>
          <w:u w:val="single"/>
        </w:rPr>
        <w:t>Ineligible Issuer</w:t>
      </w:r>
      <w:r>
        <w:rPr>
          <w:rFonts w:ascii="Times New Roman;sans-serif" w:hAnsi="Times New Roman;sans-serif"/>
          <w:b w:val="false"/>
          <w:color w:val="000000"/>
          <w:sz w:val="24"/>
        </w:rPr>
        <w:t xml:space="preserve">. As of the date of this Agreement, the Company currently is an “ineligible issuer,” as defined in Rule 405 under the Securities Act. The Company has not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7025"/>
                <wp:effectExtent l="0" t="0" r="0" b="0"/>
                <wp:wrapNone/>
                <wp:docPr id="10" name="Frame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prepared, used or referred to, and for so long as the Company is an “ineligible issuer,” the Company will not use or refer to, any free writing prospectus as defined in Rule 405 of the Securities Act. The Company agrees to notify TD Cowen promptly upon the Company becoming an “ineligible issuer” at any time on or after July 23, 2024.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(f) </w:t>
      </w:r>
      <w:r>
        <w:rPr>
          <w:color w:val="000000"/>
        </w:rPr>
        <w:t>    </w:t>
      </w:r>
      <w:r>
        <w:rPr>
          <w:rFonts w:ascii="Times New Roman;sans-serif" w:hAnsi="Times New Roman;sans-serif"/>
          <w:b w:val="false"/>
          <w:color w:val="000000"/>
          <w:sz w:val="24"/>
          <w:u w:val="single"/>
        </w:rPr>
        <w:t>Distribution of Offering Material By the Company</w:t>
      </w:r>
      <w:r>
        <w:rPr>
          <w:rFonts w:ascii="Times New Roman;sans-serif" w:hAnsi="Times New Roman;sans-serif"/>
          <w:b w:val="false"/>
          <w:color w:val="000000"/>
          <w:sz w:val="24"/>
        </w:rPr>
        <w:t>. The Company has not distributed and will not distribute, prior to the completion of TD Cowen’s distribution of the Placement Shares, any offering material in connection with the offering and sale of the Placement Shares other than the Prospectus or the Registration Statement.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(g) </w:t>
      </w:r>
      <w:r>
        <w:rPr>
          <w:color w:val="000000"/>
        </w:rPr>
        <w:t>    </w:t>
      </w:r>
      <w:r>
        <w:rPr>
          <w:rFonts w:ascii="Times New Roman;sans-serif" w:hAnsi="Times New Roman;sans-serif"/>
          <w:b w:val="false"/>
          <w:color w:val="000000"/>
          <w:sz w:val="24"/>
          <w:u w:val="single"/>
        </w:rPr>
        <w:t>The Sales Agreement</w:t>
      </w:r>
      <w:r>
        <w:rPr>
          <w:rFonts w:ascii="Times New Roman;sans-serif" w:hAnsi="Times New Roman;sans-serif"/>
          <w:b w:val="false"/>
          <w:color w:val="000000"/>
          <w:sz w:val="24"/>
        </w:rPr>
        <w:t xml:space="preserve">.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(h) </w:t>
      </w:r>
      <w:r>
        <w:rPr>
          <w:color w:val="000000"/>
        </w:rPr>
        <w:t>    </w:t>
      </w:r>
      <w:r>
        <w:rPr>
          <w:rFonts w:ascii="Times New Roman;sans-serif" w:hAnsi="Times New Roman;sans-serif"/>
          <w:b w:val="false"/>
          <w:color w:val="000000"/>
          <w:sz w:val="24"/>
          <w:u w:val="single"/>
        </w:rPr>
        <w:t>Authorization of the Common Stock</w:t>
      </w:r>
      <w:r>
        <w:rPr>
          <w:rFonts w:ascii="Times New Roman;sans-serif" w:hAnsi="Times New Roman;sans-serif"/>
          <w:b w:val="false"/>
          <w:color w:val="000000"/>
          <w:sz w:val="24"/>
        </w:rPr>
        <w:t>. The Placement Shares, when issued and delivered, will be duly authorized for issuance and sale pursuant to this Agreement and, when issued and delivered by the Company against payment therefor pursuant to this Agreement, will be duly authorized, validly issued, fully paid and nonassessable, free and clear of any pledge, lien, encumbrance, security interest or other claim, and the issuance and sale of the Placement Shares by the Company is not subject to preemptive or other similar rights arising by operation of law, under the organizational documents of the Company or under any agreement to which the Company or any Subsidiary (as defined below) is a party or otherwise, except as have been validly waived or complied with.</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 </w:t>
      </w:r>
      <w:r>
        <w:rPr>
          <w:color w:val="000000"/>
        </w:rPr>
        <w:t>    </w:t>
      </w:r>
      <w:r>
        <w:rPr>
          <w:rFonts w:ascii="Times New Roman;sans-serif" w:hAnsi="Times New Roman;sans-serif"/>
          <w:b w:val="false"/>
          <w:color w:val="000000"/>
          <w:sz w:val="24"/>
          <w:u w:val="single"/>
        </w:rPr>
        <w:t>No Applicable Registration or Other Similar Rights</w:t>
      </w:r>
      <w:r>
        <w:rPr>
          <w:rFonts w:ascii="Times New Roman;sans-serif" w:hAnsi="Times New Roman;sans-serif"/>
          <w:b w:val="false"/>
          <w:color w:val="000000"/>
          <w:sz w:val="24"/>
        </w:rPr>
        <w:t xml:space="preserve">. There are no persons with registration or other similar rights to have any equity or debt securities registered for sale under the Registration Statement or included in the offering contemplated by this Agreement, except for such rights as have been duly waived or complied with.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(j) </w:t>
      </w:r>
      <w:r>
        <w:rPr>
          <w:color w:val="000000"/>
        </w:rPr>
        <w:t>    </w:t>
      </w:r>
      <w:r>
        <w:rPr>
          <w:rFonts w:ascii="Times New Roman;sans-serif" w:hAnsi="Times New Roman;sans-serif"/>
          <w:b w:val="false"/>
          <w:color w:val="000000"/>
          <w:sz w:val="24"/>
          <w:u w:val="single"/>
        </w:rPr>
        <w:t>No Material Adverse Change</w:t>
      </w:r>
      <w:r>
        <w:rPr>
          <w:rFonts w:ascii="Times New Roman;sans-serif" w:hAnsi="Times New Roman;sans-serif"/>
          <w:b w:val="false"/>
          <w:color w:val="000000"/>
          <w:sz w:val="24"/>
        </w:rPr>
        <w:t>. Except as otherwise disclosed in the Prospectus, subsequent to the respective dates as of which information is given in the Prospectus: (i) there has been no material adverse change, or any development that could reasonably be expected to result in a material adverse change, in the condition, financial or otherwise, or in the earnings, business, operations or prospects, whether or not arising from transactions in the ordinary course of business, of the Company and its subsidiaries, considered as one entity (any such change is called a “</w:t>
      </w:r>
      <w:r>
        <w:rPr>
          <w:rFonts w:ascii="Times New Roman;sans-serif" w:hAnsi="Times New Roman;sans-serif"/>
          <w:b/>
          <w:color w:val="000000"/>
          <w:sz w:val="24"/>
          <w:u w:val="single"/>
        </w:rPr>
        <w:t>Material Adverse Change</w:t>
      </w:r>
      <w:r>
        <w:rPr>
          <w:color w:val="000000"/>
        </w:rPr>
        <w:t>”</w:t>
      </w:r>
      <w:r>
        <w:rPr>
          <w:rFonts w:ascii="Times New Roman;sans-serif" w:hAnsi="Times New Roman;sans-serif"/>
          <w:b w:val="false"/>
          <w:color w:val="000000"/>
          <w:sz w:val="24"/>
        </w:rPr>
        <w:t>);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regular quarterly dividends publicly announced by the Company or dividends paid to the Company or other subsidiaries, by any of its subsidiaries on any class of capital stock or repurchase or redemption by the Company or any of its subsidiaries of any class of capital stock.</w:t>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7025"/>
                <wp:effectExtent l="0" t="0" r="0" b="0"/>
                <wp:wrapNone/>
                <wp:docPr id="11" name="Frame1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(k) </w:t>
      </w:r>
      <w:r>
        <w:rPr>
          <w:color w:val="000000"/>
        </w:rPr>
        <w:t>    </w:t>
      </w:r>
      <w:r>
        <w:rPr>
          <w:rFonts w:ascii="Times New Roman;sans-serif" w:hAnsi="Times New Roman;sans-serif"/>
          <w:b w:val="false"/>
          <w:color w:val="000000"/>
          <w:sz w:val="24"/>
          <w:u w:val="single"/>
        </w:rPr>
        <w:t>Independent Accountants</w:t>
      </w:r>
      <w:r>
        <w:rPr>
          <w:rFonts w:ascii="Times New Roman;sans-serif" w:hAnsi="Times New Roman;sans-serif"/>
          <w:b w:val="false"/>
          <w:color w:val="000000"/>
          <w:sz w:val="24"/>
        </w:rPr>
        <w:t xml:space="preserve">. Ernst &amp; Young LLP, who has expressed its opinion with respect to the financial statements (which term as used in this Agreement includes the related notes thereto) and supporting schedules filed with the Commission or incorporated by reference as a part of the Registration Statement and included in the Prospectus, is an independent registered public accounting firm as required by the Securities Act and the Exchange Act.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(l) </w:t>
      </w:r>
      <w:r>
        <w:rPr>
          <w:color w:val="000000"/>
        </w:rPr>
        <w:t>    </w:t>
      </w:r>
      <w:r>
        <w:rPr>
          <w:rFonts w:ascii="Times New Roman;sans-serif" w:hAnsi="Times New Roman;sans-serif"/>
          <w:b w:val="false"/>
          <w:color w:val="000000"/>
          <w:sz w:val="24"/>
          <w:u w:val="single"/>
        </w:rPr>
        <w:t>Preparation of the Financial Statements</w:t>
      </w:r>
      <w:r>
        <w:rPr>
          <w:rFonts w:ascii="Times New Roman;sans-serif" w:hAnsi="Times New Roman;sans-serif"/>
          <w:b w:val="false"/>
          <w:color w:val="000000"/>
          <w:sz w:val="24"/>
        </w:rPr>
        <w:t xml:space="preserve">. The financial statements filed with the Commission as a part of or incorporated by reference in the Registration Statement and included in the Prospectus present fairly, in all material respects, the consolidated financial position of the Company and its subsidiaries as of and at the dates indicated and the results of their operations and cash flows for the periods specified. The supporting schedules included in or incorporated in the Registration Statement present fairly, in all material respects, the information required to be stated therein. Such financial statements and supporting schedules have been prepared in conformity with generally accepted accounting principles as applied in the United States applied on a consistent basis throughout the periods involved, except as may be expressly stated in the related notes thereto. No other financial statements or supporting schedules are required to be included in or incorporated in the Registration Statement.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(m) </w:t>
      </w:r>
      <w:r>
        <w:rPr>
          <w:color w:val="000000"/>
        </w:rPr>
        <w:t>    </w:t>
      </w:r>
      <w:r>
        <w:rPr>
          <w:rFonts w:ascii="Times New Roman;sans-serif" w:hAnsi="Times New Roman;sans-serif"/>
          <w:b w:val="false"/>
          <w:color w:val="000000"/>
          <w:sz w:val="24"/>
          <w:u w:val="single"/>
        </w:rPr>
        <w:t>XBRL</w:t>
      </w:r>
      <w:r>
        <w:rPr>
          <w:rFonts w:ascii="Times New Roman;sans-serif" w:hAnsi="Times New Roman;sans-serif"/>
          <w:b w:val="false"/>
          <w:color w:val="000000"/>
          <w:sz w:val="24"/>
        </w:rPr>
        <w:t>. The interactive data in eXtensible Business Reporting Language included or incorporated by reference in each Registration Statement fairly presents the information called for in all material respects and has been prepared in all material respects in accordance with the Commission’s rules and guidelines applicable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(n) </w:t>
      </w:r>
      <w:r>
        <w:rPr>
          <w:rFonts w:ascii="Times New Roman;sans-serif" w:hAnsi="Times New Roman;sans-serif"/>
          <w:b w:val="false"/>
          <w:color w:val="000000"/>
          <w:sz w:val="24"/>
          <w:u w:val="single"/>
        </w:rPr>
        <w:t>Incorporation and Good Standing of the Company and its Subsidiaries</w:t>
      </w:r>
      <w:r>
        <w:rPr>
          <w:rFonts w:ascii="Times New Roman;sans-serif" w:hAnsi="Times New Roman;sans-serif"/>
          <w:b w:val="false"/>
          <w:color w:val="000000"/>
          <w:sz w:val="24"/>
        </w:rPr>
        <w:t>. The Company has been duly incorporated and is validly existing as a corporation in good standing under the laws of the jurisdiction of its incorporation and has corporate power and authority to own, lease and operate its properties and to conduct its business as described in the Prospectus and to enter into and perform its obligations under this Agreement and to consummate the transactions contemplated herein and therein, except where the failure to be in good standing or have such power or authority would not, individually or in the aggregate, result in a Material Adverse Change. Each subsidiary of the Company (each a “</w:t>
      </w:r>
      <w:r>
        <w:rPr>
          <w:rFonts w:ascii="Times New Roman;sans-serif" w:hAnsi="Times New Roman;sans-serif"/>
          <w:b/>
          <w:color w:val="000000"/>
          <w:sz w:val="24"/>
          <w:u w:val="single"/>
        </w:rPr>
        <w:t>Subsidiary</w:t>
      </w:r>
      <w:r>
        <w:rPr>
          <w:color w:val="000000"/>
        </w:rPr>
        <w:t xml:space="preserve">” </w:t>
      </w:r>
      <w:r>
        <w:rPr>
          <w:rFonts w:ascii="Times New Roman;sans-serif" w:hAnsi="Times New Roman;sans-serif"/>
          <w:b w:val="false"/>
          <w:color w:val="000000"/>
          <w:sz w:val="24"/>
        </w:rPr>
        <w:t xml:space="preserve">has been duly organized and is validly existing as a corporation or limited liability company in good standing under the laws of the jurisdiction of its organization and has the requisite power and authority to own, lease and operate its properties and to conduct its business as described in the Prospectus, except where the failure to be in good standing or have such power or authority would not, individually or in the aggregate, result in a Material Adverse Change. Each of the Company and its Subsidiaries is duly qualified as a foreign corporation or foreign partnership to transact business and is in good standing under the laws of the jurisdiction of its incorporation or formation and each other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Change. Except as described in the Prospectus, all of the issued and outstanding equity interests of the Subsidiaries have been duly authorized and validly issued, are fully paid and nonassessable and are owned by the Company free and clear of any security interest, mortgage, pledge, lien, encumbrance or claim. The Company does not own or </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7025"/>
                <wp:effectExtent l="0" t="0" r="0" b="0"/>
                <wp:wrapNone/>
                <wp:docPr id="12" name="Frame1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(o) </w:t>
      </w:r>
      <w:r>
        <w:rPr>
          <w:color w:val="000000"/>
        </w:rPr>
        <w:t>    </w:t>
      </w:r>
      <w:r>
        <w:rPr>
          <w:rFonts w:ascii="Times New Roman;sans-serif" w:hAnsi="Times New Roman;sans-serif"/>
          <w:b w:val="false"/>
          <w:color w:val="000000"/>
          <w:sz w:val="24"/>
          <w:u w:val="single"/>
        </w:rPr>
        <w:t>Capital Stock Matters</w:t>
      </w:r>
      <w:r>
        <w:rPr>
          <w:rFonts w:ascii="Times New Roman;sans-serif" w:hAnsi="Times New Roman;sans-serif"/>
          <w:b w:val="false"/>
          <w:color w:val="000000"/>
          <w:sz w:val="24"/>
        </w:rPr>
        <w:t xml:space="preserve">. The Common Stock conforms in all material respects to the description thereof contained in the Prospectus. All of the issued and outstanding shares of Common Stock have been duly authorized and validly issued, are fully paid and nonassessable and have been issued in compliance in all material respects with federal and state securities laws. None of the outstanding shares of Common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accurately described in all material respects in the Prospectus. The description of the Company’s stock option, stock bonus and other stock plans or arrangements, and the options or other rights granted thereunder, set forth in the Prospectus accurately and fairly presents in all material respects the information required to be shown with respect to such plans, arrangements, options and rights.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(p) </w:t>
      </w:r>
      <w:r>
        <w:rPr>
          <w:color w:val="000000"/>
        </w:rPr>
        <w:t>    </w:t>
      </w:r>
      <w:r>
        <w:rPr>
          <w:rFonts w:ascii="Times New Roman;sans-serif" w:hAnsi="Times New Roman;sans-serif"/>
          <w:b w:val="false"/>
          <w:color w:val="000000"/>
          <w:sz w:val="24"/>
          <w:u w:val="single"/>
        </w:rPr>
        <w:t>Non-Contravention of Existing Instruments; No Further Authorizations or Approvals Required</w:t>
      </w:r>
      <w:r>
        <w:rPr>
          <w:rFonts w:ascii="Times New Roman;sans-serif" w:hAnsi="Times New Roman;sans-serif"/>
          <w:b w:val="false"/>
          <w:color w:val="000000"/>
          <w:sz w:val="24"/>
        </w:rPr>
        <w:t>. Neither the Company nor any of its subsidiaries is in violation of its charter or by-laws or is in default (or, with the giving of notice or lapse of time, would be in default) (“</w:t>
      </w:r>
      <w:r>
        <w:rPr>
          <w:rFonts w:ascii="Times New Roman;sans-serif" w:hAnsi="Times New Roman;sans-serif"/>
          <w:b/>
          <w:color w:val="000000"/>
          <w:sz w:val="24"/>
          <w:u w:val="single"/>
        </w:rPr>
        <w:t>Default</w:t>
      </w:r>
      <w:r>
        <w:rPr>
          <w:color w:val="000000"/>
        </w:rPr>
        <w:t>”</w:t>
      </w:r>
      <w:r>
        <w:rPr>
          <w:rFonts w:ascii="Times New Roman;sans-serif" w:hAnsi="Times New Roman;sans-serif"/>
          <w:b w:val="false"/>
          <w:color w:val="000000"/>
          <w:sz w:val="24"/>
        </w:rPr>
        <w:t>) under any indenture, mortgage, loan or credit agreement, note, contract, franchise, lease or other instrument to which the Company or any of its subsidiaries is a party or by which it or any of them may be bound, or to which any of the property or assets of the Company or any of its subsidiaries is subject (each, an “</w:t>
      </w:r>
      <w:r>
        <w:rPr>
          <w:rFonts w:ascii="Times New Roman;sans-serif" w:hAnsi="Times New Roman;sans-serif"/>
          <w:b/>
          <w:color w:val="000000"/>
          <w:sz w:val="24"/>
          <w:u w:val="single"/>
        </w:rPr>
        <w:t>Existing Instrument</w:t>
      </w:r>
      <w:r>
        <w:rPr>
          <w:color w:val="000000"/>
        </w:rPr>
        <w:t>”</w:t>
      </w:r>
      <w:r>
        <w:rPr>
          <w:rFonts w:ascii="Times New Roman;sans-serif" w:hAnsi="Times New Roman;sans-serif"/>
          <w:b w:val="false"/>
          <w:color w:val="000000"/>
          <w:sz w:val="24"/>
        </w:rPr>
        <w:t xml:space="preserve">), except for such Defaults as would not, individually or in the aggregate, result in a Material Adverse Change. The Company’s execution, delivery and performance of this Agreement and consummation of the transactions contemplated hereby and by the Prospectus (i) have been duly authorized by all necessary corporate action and will not result in any violation of the provisions of the charter or by-laws of the Company or any Subsidiary, (ii) will not conflict with or constitute a breach of, or Default under, or result in the creation or imposition of any lien, charge or encumbrance upon any property or assets of the Company or any of its subsidiaries pursuant to, or require the consent of any other party to, any Existing Instrument, except for such conflicts, breaches, Defaults, liens, charges or encumbrances as would not, individually or in the aggregate, result in a Material Adverse Change and (iii) will not result in any violation of any law, administrative regulation or administrative or court decree applicable to the Company or any Subsidiary, except, in the case of clauses (ii) and (iii) above, for any such violations as would not, individually or in the aggregate,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Prospectus, except such as have been obtained or made by the Company and are in full force and effect under the </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7025"/>
                <wp:effectExtent l="0" t="0" r="0" b="0"/>
                <wp:wrapNone/>
                <wp:docPr id="13" name="Frame1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Securities Act, applicable state securities or blue sky laws and from the Financial Industry Regulatory Authority (“</w:t>
      </w:r>
      <w:r>
        <w:rPr>
          <w:rFonts w:ascii="Times New Roman;sans-serif" w:hAnsi="Times New Roman;sans-serif"/>
          <w:b/>
          <w:color w:val="000000"/>
          <w:sz w:val="24"/>
          <w:u w:val="single"/>
        </w:rPr>
        <w:t>FINRA</w:t>
      </w:r>
      <w:r>
        <w:rPr>
          <w:color w:val="000000"/>
        </w:rPr>
        <w: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(q) </w:t>
      </w:r>
      <w:r>
        <w:rPr>
          <w:color w:val="000000"/>
        </w:rPr>
        <w:t>    </w:t>
      </w:r>
      <w:r>
        <w:rPr>
          <w:rFonts w:ascii="Times New Roman;sans-serif" w:hAnsi="Times New Roman;sans-serif"/>
          <w:b w:val="false"/>
          <w:color w:val="000000"/>
          <w:sz w:val="24"/>
          <w:u w:val="single"/>
        </w:rPr>
        <w:t>No Material Actions or Proceedings</w:t>
      </w:r>
      <w:r>
        <w:rPr>
          <w:rFonts w:ascii="Times New Roman;sans-serif" w:hAnsi="Times New Roman;sans-serif"/>
          <w:b w:val="false"/>
          <w:color w:val="000000"/>
          <w:sz w:val="24"/>
        </w:rPr>
        <w:t xml:space="preserve">. Except as disclosed in the Prospectus, there are no legal or governmental actions, suits or proceedings pending or, to the best of the Company’s knowledge, threatened (i) against or affecting the Company or any of its subsidiaries, (ii) which has as the subject thereof any officer or director of, or property owned or leased by, the Company or any of its subsidiaries or (iii) relating to environmental or discrimination matters, where in any such case (A) there is a reasonable possibility that such action, suit or proceeding might be determined adversely to the Company or such Subsidiary and (B) any such action, suit or proceeding, if so determined adversely, would reasonably be expected to result in a Material Adverse Change or adversely affect the consummation of the transactions contemplated by this Agreement. No material labor dispute with the employees of the Company or any of its subsidiaries exists or, to the Company’s knowledge, is threatened or imminent.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(r) </w:t>
      </w:r>
      <w:r>
        <w:rPr>
          <w:color w:val="000000"/>
        </w:rPr>
        <w:t>    </w:t>
      </w:r>
      <w:r>
        <w:rPr>
          <w:rFonts w:ascii="Times New Roman;sans-serif" w:hAnsi="Times New Roman;sans-serif"/>
          <w:b w:val="false"/>
          <w:color w:val="000000"/>
          <w:sz w:val="24"/>
          <w:u w:val="single"/>
        </w:rPr>
        <w:t>All Necessary Permits, etc</w:t>
      </w:r>
      <w:r>
        <w:rPr>
          <w:rFonts w:ascii="Times New Roman;sans-serif" w:hAnsi="Times New Roman;sans-serif"/>
          <w:b w:val="false"/>
          <w:color w:val="000000"/>
          <w:sz w:val="24"/>
        </w:rPr>
        <w:t xml:space="preserve">. The Company and each Subsidiary possess such valid and current certificates, authorizations or permits issued by the appropriate state, federal or foreign regulatory agencies or bodies necessary to conduct their respective businesses, other than those the failure to possess or own would not result in a Material Adverse Change, and neither the Company nor any Subsidiary has received any notice of proceedings relating to the revocation or modification of, or non-compliance with, any such certificate, authorization or permit which, singly or in the aggregate, if the subject of an unfavorable decision, ruling or finding, could result in a Material Adverse Change.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 </w:t>
      </w:r>
      <w:r>
        <w:rPr>
          <w:color w:val="000000"/>
        </w:rPr>
        <w:t>    </w:t>
      </w:r>
      <w:r>
        <w:rPr>
          <w:rFonts w:ascii="Times New Roman;sans-serif" w:hAnsi="Times New Roman;sans-serif"/>
          <w:b w:val="false"/>
          <w:color w:val="000000"/>
          <w:sz w:val="24"/>
          <w:u w:val="single"/>
        </w:rPr>
        <w:t>Tax Law Compliance</w:t>
      </w:r>
      <w:r>
        <w:rPr>
          <w:rFonts w:ascii="Times New Roman;sans-serif" w:hAnsi="Times New Roman;sans-serif"/>
          <w:b w:val="false"/>
          <w:color w:val="000000"/>
          <w:sz w:val="24"/>
        </w:rPr>
        <w:t xml:space="preserve">. The Company and its consolidated subsidiaries have filed all necessary federal, state and foreign income, property and franchise tax returns other than those where the failure to file would not result in a Material Adverse Change, and have paid all taxes required to be paid by any of them and, if due and payable, any related or similar assessment, fine or penalty levied against any of them except as may be being contested in good faith and by appropriate proceedings or such amounts where the failure to pay would not result in a Material Adverse Change. The Company has made adequate charges, accruals and reserves in the applicable financial statements referred to in </w:t>
      </w:r>
      <w:r>
        <w:rPr>
          <w:rFonts w:ascii="Times New Roman;sans-serif" w:hAnsi="Times New Roman;sans-serif"/>
          <w:b w:val="false"/>
          <w:color w:val="000000"/>
          <w:sz w:val="24"/>
          <w:u w:val="single"/>
        </w:rPr>
        <w:t>Section 1(l)</w:t>
      </w:r>
      <w:r>
        <w:rPr>
          <w:color w:val="000000"/>
        </w:rPr>
        <w:t xml:space="preserve"> </w:t>
      </w:r>
      <w:r>
        <w:rPr>
          <w:rFonts w:ascii="Times New Roman;sans-serif" w:hAnsi="Times New Roman;sans-serif"/>
          <w:b w:val="false"/>
          <w:color w:val="000000"/>
          <w:sz w:val="24"/>
        </w:rPr>
        <w:t xml:space="preserve">above in respect of all material federal, state and foreign income, property and franchise taxes for all periods as to which the tax liability of the Company or any of its consolidated subsidiaries has not been finally determined.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 </w:t>
      </w:r>
      <w:r>
        <w:rPr>
          <w:color w:val="000000"/>
        </w:rPr>
        <w:t>    </w:t>
      </w:r>
      <w:r>
        <w:rPr>
          <w:rFonts w:ascii="Times New Roman;sans-serif" w:hAnsi="Times New Roman;sans-serif"/>
          <w:b w:val="false"/>
          <w:color w:val="000000"/>
          <w:sz w:val="24"/>
          <w:u w:val="single"/>
        </w:rPr>
        <w:t>Company Not an “Investment Company</w:t>
      </w:r>
      <w:r>
        <w:rPr>
          <w:color w:val="000000"/>
        </w:rPr>
        <w:t>”</w:t>
      </w:r>
      <w:r>
        <w:rPr>
          <w:rFonts w:ascii="Times New Roman;sans-serif" w:hAnsi="Times New Roman;sans-serif"/>
          <w:b w:val="false"/>
          <w:color w:val="000000"/>
          <w:sz w:val="24"/>
        </w:rPr>
        <w:t>. The Company has been advised of the rules and requirements under the Investment Company Act of 1940, as amended (the “</w:t>
      </w:r>
      <w:r>
        <w:rPr>
          <w:rFonts w:ascii="Times New Roman;sans-serif" w:hAnsi="Times New Roman;sans-serif"/>
          <w:b/>
          <w:color w:val="000000"/>
          <w:sz w:val="24"/>
          <w:u w:val="single"/>
        </w:rPr>
        <w:t>Investment Company Act</w:t>
      </w:r>
      <w:r>
        <w:rPr>
          <w:color w:val="000000"/>
        </w:rPr>
        <w:t>”</w:t>
      </w:r>
      <w:r>
        <w:rPr>
          <w:rFonts w:ascii="Times New Roman;sans-serif" w:hAnsi="Times New Roman;sans-serif"/>
          <w:b w:val="false"/>
          <w:color w:val="000000"/>
          <w:sz w:val="24"/>
        </w:rPr>
        <w:t xml:space="preserve">). The Company is not, and after receipt of payment for the Common Stock will not be required to register as, an “investment company” within the meaning of Investment Company Act.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(u) </w:t>
      </w:r>
      <w:r>
        <w:rPr>
          <w:color w:val="000000"/>
        </w:rPr>
        <w:t>    </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xml:space="preserve">. Except as otherwise described in the Prospectus, each of the Company and its subsidiaries are insured by insurers of recognized financial responsibility with policies in such amounts and with such deductibles and covering such risks as are generally </w:t>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7025"/>
                <wp:effectExtent l="0" t="0" r="0" b="0"/>
                <wp:wrapNone/>
                <wp:docPr id="14" name="Frame1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deemed prudent and customary for the business for which it is engaged including, but not limited to, policies covering real and personal property owned or leased by the Company and its subsidiaries against theft, damage, destruction, acts of vandalism and earthquakes. The Company has no reason to believe that it or any Subsidiary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 </w:t>
      </w:r>
      <w:r>
        <w:rPr>
          <w:color w:val="000000"/>
        </w:rPr>
        <w:t>    </w:t>
      </w:r>
      <w:r>
        <w:rPr>
          <w:rFonts w:ascii="Times New Roman;sans-serif" w:hAnsi="Times New Roman;sans-serif"/>
          <w:b w:val="false"/>
          <w:color w:val="000000"/>
          <w:sz w:val="24"/>
          <w:u w:val="single"/>
        </w:rPr>
        <w:t>No Price Stabilization or Manipulation</w:t>
      </w:r>
      <w:r>
        <w:rPr>
          <w:rFonts w:ascii="Times New Roman;sans-serif" w:hAnsi="Times New Roman;sans-serif"/>
          <w:b w:val="false"/>
          <w:color w:val="000000"/>
          <w:sz w:val="24"/>
        </w:rPr>
        <w:t xml:space="preserve">. The Company has not taken and will not take, directly or indirectly, any action designed to or that might be reasonably expected to cause or result in stabilization or manipulation of the price of any security of the Company to facilitate the sale or resale of the Placement Shares.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 </w:t>
      </w:r>
      <w:r>
        <w:rPr>
          <w:color w:val="000000"/>
        </w:rPr>
        <w:t>    </w:t>
      </w:r>
      <w:r>
        <w:rPr>
          <w:rFonts w:ascii="Times New Roman;sans-serif" w:hAnsi="Times New Roman;sans-serif"/>
          <w:b w:val="false"/>
          <w:color w:val="000000"/>
          <w:sz w:val="24"/>
          <w:u w:val="single"/>
        </w:rPr>
        <w:t>Related Party Transactions</w:t>
      </w:r>
      <w:r>
        <w:rPr>
          <w:rFonts w:ascii="Times New Roman;sans-serif" w:hAnsi="Times New Roman;sans-serif"/>
          <w:b w:val="false"/>
          <w:color w:val="000000"/>
          <w:sz w:val="24"/>
        </w:rPr>
        <w:t>. There are no business relationships or related-party transactions involving the Company or any Subsidiary or any other person required to be described in the Prospectus which have not been described as required.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 </w:t>
      </w:r>
      <w:r>
        <w:rPr>
          <w:color w:val="000000"/>
        </w:rPr>
        <w:t>    </w:t>
      </w:r>
      <w:r>
        <w:rPr>
          <w:rFonts w:ascii="Times New Roman;sans-serif" w:hAnsi="Times New Roman;sans-serif"/>
          <w:b w:val="false"/>
          <w:color w:val="000000"/>
          <w:sz w:val="24"/>
          <w:u w:val="single"/>
        </w:rPr>
        <w:t>Exchange Act Compliance</w:t>
      </w:r>
      <w:r>
        <w:rPr>
          <w:rFonts w:ascii="Times New Roman;sans-serif" w:hAnsi="Times New Roman;sans-serif"/>
          <w:b w:val="false"/>
          <w:color w:val="000000"/>
          <w:sz w:val="24"/>
        </w:rPr>
        <w:t xml:space="preserve">.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(y) </w:t>
      </w:r>
      <w:r>
        <w:rPr>
          <w:color w:val="000000"/>
        </w:rPr>
        <w:t>    </w:t>
      </w:r>
      <w:r>
        <w:rPr>
          <w:rFonts w:ascii="Times New Roman;sans-serif" w:hAnsi="Times New Roman;sans-serif"/>
          <w:b w:val="false"/>
          <w:color w:val="000000"/>
          <w:sz w:val="24"/>
          <w:u w:val="single"/>
        </w:rPr>
        <w:t>No Unlawful Contributions or Other Payments</w:t>
      </w:r>
      <w:r>
        <w:rPr>
          <w:rFonts w:ascii="Times New Roman;sans-serif" w:hAnsi="Times New Roman;sans-serif"/>
          <w:b w:val="false"/>
          <w:color w:val="000000"/>
          <w:sz w:val="24"/>
        </w:rPr>
        <w:t>. Neither the Company nor any of its subsidiaries nor, to the Company’s knowledge, any director, officer, employee, agent, affiliate or other person acting on behalf of the Company or any Subsidiary has (i) used any corporate funds for any unlawful contribution, gift, entertainment or other unlawful expense relating to political activity; (ii) made any direct or indirect unlawful payment to any foreign or domestic government officials or employees, political parties or campaigns, political party officials, or candidates for political office from corporate funds; (iii) violated or is in violation of any provision of the U.S. Foreign Corrupt Practices Act of 1977, as amended, or any applicable anti-corruption laws, rules, or regulations of any other jurisdiction in which the Company or any Subsidiary conducts business; or (iv) made any other unlawful bribe, rebate, payoff, influence payment, kickback or other unlawful payment to any person.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(z) </w:t>
      </w:r>
      <w:r>
        <w:rPr>
          <w:color w:val="000000"/>
        </w:rPr>
        <w:t>    </w:t>
      </w:r>
      <w:r>
        <w:rPr>
          <w:rFonts w:ascii="Times New Roman;sans-serif" w:hAnsi="Times New Roman;sans-serif"/>
          <w:b w:val="false"/>
          <w:color w:val="000000"/>
          <w:sz w:val="24"/>
          <w:u w:val="single"/>
        </w:rPr>
        <w:t>Compliance with Money Laundering Laws</w:t>
      </w:r>
      <w:r>
        <w:rPr>
          <w:rFonts w:ascii="Times New Roman;sans-serif" w:hAnsi="Times New Roman;sans-serif"/>
          <w:b w:val="false"/>
          <w:color w:val="000000"/>
          <w:sz w:val="24"/>
        </w:rPr>
        <w:t xml:space="preserve">. The operations of the Company and its subsidiaries are and have been conducted at all times in compliance with all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7025"/>
                <wp:effectExtent l="0" t="0" r="0" b="0"/>
                <wp:wrapNone/>
                <wp:docPr id="15" name="Frame1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(collectively, the “</w:t>
      </w:r>
      <w:r>
        <w:rPr>
          <w:rFonts w:ascii="Times New Roman;sans-serif" w:hAnsi="Times New Roman;sans-serif"/>
          <w:b/>
          <w:color w:val="000000"/>
          <w:sz w:val="24"/>
          <w:u w:val="single"/>
        </w:rPr>
        <w:t>Anti-Money Laundering Laws</w:t>
      </w:r>
      <w:r>
        <w:rPr>
          <w:color w:val="000000"/>
        </w:rPr>
        <w:t>”</w:t>
      </w:r>
      <w:r>
        <w:rPr>
          <w:rFonts w:ascii="Times New Roman;sans-serif" w:hAnsi="Times New Roman;sans-serif"/>
          <w:b w:val="false"/>
          <w:color w:val="000000"/>
          <w:sz w:val="24"/>
        </w:rPr>
        <w:t xml:space="preserve">), and no action, suit or proceeding by or before any court or governmental agency, authority, body or any arbitrator involving the Company or any of its subsidiaries with respect to Anti-Money Laundering Laws is pending, or to the knowledge of the Company, threatened.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(aa) </w:t>
      </w:r>
      <w:r>
        <w:rPr>
          <w:color w:val="000000"/>
        </w:rPr>
        <w:t>    </w:t>
      </w:r>
      <w:r>
        <w:rPr>
          <w:rFonts w:ascii="Times New Roman;sans-serif" w:hAnsi="Times New Roman;sans-serif"/>
          <w:b w:val="false"/>
          <w:color w:val="000000"/>
          <w:sz w:val="24"/>
          <w:u w:val="single"/>
        </w:rPr>
        <w:t>Compliance with OFAC</w:t>
      </w:r>
      <w:r>
        <w:rPr>
          <w:rFonts w:ascii="Times New Roman;sans-serif" w:hAnsi="Times New Roman;sans-serif"/>
          <w:b w:val="false"/>
          <w:color w:val="000000"/>
          <w:sz w:val="24"/>
        </w:rPr>
        <w:t xml:space="preserve">. </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(A)Neither the Company nor any of its subsidiaries, nor any director, officer or employee thereof, nor to the Company’s knowledge, any agent, affiliate, representative, or other person acting on behalf of the Company or any of its subsidiaries, is an individual or entity (“</w:t>
      </w:r>
      <w:r>
        <w:rPr>
          <w:rFonts w:ascii="Times New Roman;sans-serif" w:hAnsi="Times New Roman;sans-serif"/>
          <w:b/>
          <w:color w:val="000000"/>
          <w:sz w:val="24"/>
          <w:u w:val="single"/>
        </w:rPr>
        <w:t>Person</w:t>
      </w:r>
      <w:r>
        <w:rPr>
          <w:color w:val="000000"/>
        </w:rPr>
        <w:t>”</w:t>
      </w:r>
      <w:r>
        <w:rPr>
          <w:rFonts w:ascii="Times New Roman;sans-serif" w:hAnsi="Times New Roman;sans-serif"/>
          <w:b w:val="false"/>
          <w:color w:val="000000"/>
          <w:sz w:val="24"/>
        </w:rPr>
        <w:t>) that is, or is owned or controlled by a Person that is: (i) the subject of any economic, financial or trade sanctions administered or enforced by the U.S. Department of Treasury’s Office of Foreign Assets Control (“</w:t>
      </w:r>
      <w:r>
        <w:rPr>
          <w:rFonts w:ascii="Times New Roman;sans-serif" w:hAnsi="Times New Roman;sans-serif"/>
          <w:b/>
          <w:color w:val="000000"/>
          <w:sz w:val="24"/>
          <w:u w:val="single"/>
        </w:rPr>
        <w:t>OFAC</w:t>
      </w:r>
      <w:r>
        <w:rPr>
          <w:color w:val="000000"/>
        </w:rPr>
        <w:t>”</w:t>
      </w:r>
      <w:r>
        <w:rPr>
          <w:rFonts w:ascii="Times New Roman;sans-serif" w:hAnsi="Times New Roman;sans-serif"/>
          <w:b w:val="false"/>
          <w:color w:val="000000"/>
          <w:sz w:val="24"/>
        </w:rPr>
        <w:t>), the United Nations Security Council, the European Union (“</w:t>
      </w:r>
      <w:r>
        <w:rPr>
          <w:rFonts w:ascii="Times New Roman;sans-serif" w:hAnsi="Times New Roman;sans-serif"/>
          <w:b/>
          <w:color w:val="000000"/>
          <w:sz w:val="24"/>
          <w:u w:val="single"/>
        </w:rPr>
        <w:t>EU</w:t>
      </w:r>
      <w:r>
        <w:rPr>
          <w:color w:val="000000"/>
        </w:rPr>
        <w:t>”</w:t>
      </w:r>
      <w:r>
        <w:rPr>
          <w:rFonts w:ascii="Times New Roman;sans-serif" w:hAnsi="Times New Roman;sans-serif"/>
          <w:b w:val="false"/>
          <w:color w:val="000000"/>
          <w:sz w:val="24"/>
        </w:rPr>
        <w:t>), His Majesty’s Treasury, the Swiss Secretariat of Economic Affairs, or other relevant sanctions authority (collectively, “</w:t>
      </w:r>
      <w:r>
        <w:rPr>
          <w:rFonts w:ascii="Times New Roman;sans-serif" w:hAnsi="Times New Roman;sans-serif"/>
          <w:b/>
          <w:color w:val="000000"/>
          <w:sz w:val="24"/>
          <w:u w:val="single"/>
        </w:rPr>
        <w:t>Sanctions</w:t>
      </w:r>
      <w:r>
        <w:rPr>
          <w:color w:val="000000"/>
        </w:rPr>
        <w:t>”</w:t>
      </w:r>
      <w:r>
        <w:rPr>
          <w:rFonts w:ascii="Times New Roman;sans-serif" w:hAnsi="Times New Roman;sans-serif"/>
          <w:b w:val="false"/>
          <w:color w:val="000000"/>
          <w:sz w:val="24"/>
        </w:rPr>
        <w:t>), nor (ii) located, organized, or resident in a country or territory that is the subject of a U.S. government embargo (including, without limitation, the so-called Donetsk People’s Republic, the so-called Luhansk People’s Republic, the Crimea Region of Ukraine, the non-government controlled areas of the Zaporizhzhia and Kherson Regions, Cuba, Iran, North Korea and Syria).</w: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(B)The Company will not, directly or indirectly, use the Net Proceeds, or lend, contribute or otherwise make available such Net Proceeds to any Subsidiary, joint venture partner or other Person: (i) to fund or facilitate any activities or business of or with any Person that, at the time of such funding or facilitation, is the subject of Sanctions, or in any country or territory that, at the time of such funding or facilitation, is the subject of a U.S. government embargo; or (ii) in any other manner that will result in a violation of Sanctions by any Person (including TD Cowen)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(C)For the past five (5) years, the Company and its subsidiaries have not knowingly engaged in, are not now knowingly engaged in, and will not engage in, any direct or indirect dealings or transactions with any Person that at the time of the dealing or transaction is or was the subject of Sanctions or any country or territory that, at the time of the dealing or transaction is or was the subject of a U.S. government embargo.</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(ab) </w:t>
      </w:r>
      <w:r>
        <w:rPr>
          <w:color w:val="000000"/>
        </w:rPr>
        <w:t>    </w:t>
      </w:r>
      <w:r>
        <w:rPr>
          <w:rFonts w:ascii="Times New Roman;sans-serif" w:hAnsi="Times New Roman;sans-serif"/>
          <w:b w:val="false"/>
          <w:color w:val="000000"/>
          <w:sz w:val="24"/>
          <w:u w:val="single"/>
        </w:rPr>
        <w:t>Company’s Accounting System</w:t>
      </w:r>
      <w:r>
        <w:rPr>
          <w:rFonts w:ascii="Times New Roman;sans-serif" w:hAnsi="Times New Roman;sans-serif"/>
          <w:b w:val="false"/>
          <w:color w:val="000000"/>
          <w:sz w:val="24"/>
        </w:rPr>
        <w:t>. The Company maintains a system of “internal control over financial reporting” (as such term is defined in Rule 13a-15(f) of the General Rules and Regulations under the Exchange Act (the “</w:t>
      </w:r>
      <w:r>
        <w:rPr>
          <w:rFonts w:ascii="Times New Roman;sans-serif" w:hAnsi="Times New Roman;sans-serif"/>
          <w:b/>
          <w:color w:val="000000"/>
          <w:sz w:val="24"/>
          <w:u w:val="single"/>
        </w:rPr>
        <w:t>Exchange Act Rules</w:t>
      </w:r>
      <w:r>
        <w:rPr>
          <w:color w:val="000000"/>
        </w:rPr>
        <w:t>”</w:t>
      </w:r>
      <w:r>
        <w:rPr>
          <w:rFonts w:ascii="Times New Roman;sans-serif" w:hAnsi="Times New Roman;sans-serif"/>
          <w:b w:val="false"/>
          <w:color w:val="000000"/>
          <w:sz w:val="24"/>
        </w:rPr>
        <w:t xml:space="preserve">)) that complies in all material respects with the requirements of the Exchange Act and has been designed by their respective principal executive and principal financial officers, or under their supervision, to provide reasonable assurances that (i) transactions are executed in accordance with management’s general or specific authorizations; (ii) transactions are recorded as necessary </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7025"/>
                <wp:effectExtent l="0" t="0" r="0" b="0"/>
                <wp:wrapNone/>
                <wp:docPr id="16" name="Frame1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permit preparation of financial statements in conformity with U.S.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described in the Prospectus, the Company’s internal control over financial reporting is effective. Except as described in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(ac) </w:t>
      </w:r>
      <w:r>
        <w:rPr>
          <w:color w:val="000000"/>
        </w:rPr>
        <w:t>    </w:t>
      </w:r>
      <w:r>
        <w:rPr>
          <w:rFonts w:ascii="Times New Roman;sans-serif" w:hAnsi="Times New Roman;sans-serif"/>
          <w:b w:val="false"/>
          <w:color w:val="000000"/>
          <w:sz w:val="24"/>
          <w:u w:val="single"/>
        </w:rPr>
        <w:t>Disclosure Controls</w:t>
      </w:r>
      <w:r>
        <w:rPr>
          <w:rFonts w:ascii="Times New Roman;sans-serif" w:hAnsi="Times New Roman;sans-serif"/>
          <w:b w:val="false"/>
          <w:color w:val="000000"/>
          <w:sz w:val="24"/>
        </w:rPr>
        <w:t xml:space="preserve">. The Company maintains disclosure controls and procedures (as such is defined in Rule 13a-15(e) of the Exchange Act Rules) that comply in all material respects with the requirements of the Exchange Act;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 The Company has conducted evaluations of the effectiveness of its disclosure controls as required by Rule 13a-15 of the Exchange Act.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(ad) </w:t>
      </w:r>
      <w:r>
        <w:rPr>
          <w:color w:val="000000"/>
        </w:rPr>
        <w:t>    </w:t>
      </w:r>
      <w:r>
        <w:rPr>
          <w:rFonts w:ascii="Times New Roman;sans-serif" w:hAnsi="Times New Roman;sans-serif"/>
          <w:b w:val="false"/>
          <w:color w:val="000000"/>
          <w:sz w:val="24"/>
          <w:u w:val="single"/>
        </w:rPr>
        <w:t>Compliance with Environmental Laws</w:t>
      </w:r>
      <w:r>
        <w:rPr>
          <w:rFonts w:ascii="Times New Roman;sans-serif" w:hAnsi="Times New Roman;sans-serif"/>
          <w:b w:val="false"/>
          <w:color w:val="000000"/>
          <w:sz w:val="24"/>
        </w:rPr>
        <w:t>. Except as otherwise described in the Prospectus, and except as would not, individually or in the aggregate, result in a Material Adverse Change, (i) neither the Company nor any of its subsidiaries is in violation of any federal, state, local or foreign law or regulation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sans-serif" w:hAnsi="Times New Roman;sans-serif"/>
          <w:b/>
          <w:color w:val="000000"/>
          <w:sz w:val="24"/>
          <w:u w:val="single"/>
        </w:rPr>
        <w:t>Materials of Environmental Concern</w:t>
      </w:r>
      <w:r>
        <w:rPr>
          <w:color w:val="000000"/>
        </w:rPr>
        <w:t>”</w:t>
      </w:r>
      <w:r>
        <w:rPr>
          <w:rFonts w:ascii="Times New Roman;sans-serif" w:hAnsi="Times New Roman;sans-serif"/>
          <w:b w:val="false"/>
          <w:color w:val="000000"/>
          <w:sz w:val="24"/>
        </w:rPr>
        <w:t>), or otherwise relating to the manufacture, processing, distribution, use, treatment, storage, disposal, transport or handling of Materials of Environmental Concern (collectively, “</w:t>
      </w:r>
      <w:r>
        <w:rPr>
          <w:rFonts w:ascii="Times New Roman;sans-serif" w:hAnsi="Times New Roman;sans-serif"/>
          <w:b/>
          <w:color w:val="000000"/>
          <w:sz w:val="24"/>
          <w:u w:val="single"/>
        </w:rPr>
        <w:t>Environmental Laws</w:t>
      </w:r>
      <w:r>
        <w:rPr>
          <w:color w:val="000000"/>
        </w:rPr>
        <w:t>”</w:t>
      </w:r>
      <w:r>
        <w:rPr>
          <w:rFonts w:ascii="Times New Roman;sans-serif" w:hAnsi="Times New Roman;sans-serif"/>
          <w:b w:val="false"/>
          <w:color w:val="000000"/>
          <w:sz w:val="24"/>
        </w:rPr>
        <w:t xml:space="preserve">), which violation includes, but is not limited to, noncompliance with any permits or other governmental authorizations required for the operation of the business of the Company or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there is no claim, action or cause of action filed with a court or governmental authority, no investigation with respect to which the Company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7025"/>
                <wp:effectExtent l="0" t="0" r="0" b="0"/>
                <wp:wrapNone/>
                <wp:docPr id="17" name="Frame1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ans-serif" w:hAnsi="Times New Roman;sans-serif"/>
          <w:b/>
          <w:color w:val="000000"/>
          <w:sz w:val="24"/>
          <w:u w:val="single"/>
        </w:rPr>
        <w:t>Environmental Claims</w:t>
      </w:r>
      <w:r>
        <w:rPr>
          <w:color w:val="000000"/>
        </w:rPr>
        <w:t>”</w:t>
      </w:r>
      <w:r>
        <w:rPr>
          <w:rFonts w:ascii="Times New Roman;sans-serif" w:hAnsi="Times New Roman;sans-serif"/>
          <w:b w:val="false"/>
          <w:color w:val="000000"/>
          <w:sz w:val="24"/>
        </w:rPr>
        <w:t>), pending or, to the Company’s knowledge, threatened against the Company or any of its subsidiaries or any person or entity whose liability for any Environmental Claim the Company or any of its subsidiaries has retained or assumed either contractually or by operation of law; and (iii) to the best of the Company’s knowledge, there are no past or present actions, activities, circumstances, conditions, events or incidents, including, without limitation, the release, emission, discharge, presence or disposal of any Material of Environmental Concern, that reasonably could result in a violation of any Environmental Law or form the basis of a potential Environmental Claim against the Company or any of its subsidiaries or against any person or entity whose liability for any Environmental Claim the Company or any of its subsidiaries has retained or assumed either contractually or by operation of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(ae) </w:t>
      </w:r>
      <w:r>
        <w:rPr>
          <w:color w:val="000000"/>
        </w:rPr>
        <w:t>    </w:t>
      </w:r>
      <w:r>
        <w:rPr>
          <w:rFonts w:ascii="Times New Roman;sans-serif" w:hAnsi="Times New Roman;sans-serif"/>
          <w:b w:val="false"/>
          <w:color w:val="000000"/>
          <w:sz w:val="24"/>
          <w:u w:val="single"/>
        </w:rPr>
        <w:t>Property</w:t>
      </w:r>
      <w:r>
        <w:rPr>
          <w:rFonts w:ascii="Times New Roman;sans-serif" w:hAnsi="Times New Roman;sans-serif"/>
          <w:b w:val="false"/>
          <w:color w:val="000000"/>
          <w:sz w:val="24"/>
        </w:rPr>
        <w:t>. The Company and its subsidiaries have good and marketable title in fee simple to all real property and good and marketable title to all personal property (other than with respect to Intellectual Property (as defined below), which is addressed exclusively in subsection (ff) below) owned by them, in each case free and clear of all liens, encumbrances and defects except such as described in the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 and except that enforcement of such leases may be subject to (i) bankruptcy, insolvency, reorganization, receivership, moratorium, fraudulent conveyance or other similar laws relating to creditor’s rights generally and (ii) general principles of equity and the discretion of the court before which any proceeding therefor may be brought (collectively, the “</w:t>
      </w:r>
      <w:r>
        <w:rPr>
          <w:rFonts w:ascii="Times New Roman;sans-serif" w:hAnsi="Times New Roman;sans-serif"/>
          <w:b/>
          <w:color w:val="000000"/>
          <w:sz w:val="24"/>
          <w:u w:val="single"/>
        </w:rPr>
        <w:t>Enforceability Exceptions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(af) </w:t>
      </w:r>
      <w:r>
        <w:rPr>
          <w:color w:val="000000"/>
        </w:rPr>
        <w:t>    </w:t>
      </w:r>
      <w:r>
        <w:rPr>
          <w:rFonts w:ascii="Times New Roman;sans-serif" w:hAnsi="Times New Roman;sans-serif"/>
          <w:b w:val="false"/>
          <w:color w:val="000000"/>
          <w:sz w:val="24"/>
          <w:u w:val="single"/>
        </w:rPr>
        <w:t>Intellectual Property</w:t>
      </w:r>
      <w:r>
        <w:rPr>
          <w:rFonts w:ascii="Times New Roman;sans-serif" w:hAnsi="Times New Roman;sans-serif"/>
          <w:b w:val="false"/>
          <w:color w:val="000000"/>
          <w:sz w:val="24"/>
        </w:rPr>
        <w:t>. The Company and each of its subsidiaries (i) own or otherwise possess adequate, valid, legal and, subject to the Enforceability Exceptions, enforceable rights to use all patents, patent applications, trademarks, service marks, trade names, domain names, copyrights and registrations and applications thereof, licenses, know-how, software, systems and technology (including trade secrets and other unpatented and/or unpatentable proprietary or confidential information, systems or procedures and other forms of intellectual property or similar proprietary right of any kind, whether registrable or unregistrable, anywhere in the world) (“</w:t>
      </w:r>
      <w:r>
        <w:rPr>
          <w:rFonts w:ascii="Times New Roman;sans-serif" w:hAnsi="Times New Roman;sans-serif"/>
          <w:b/>
          <w:color w:val="000000"/>
          <w:sz w:val="24"/>
          <w:u w:val="single"/>
        </w:rPr>
        <w:t>Intellectual Property</w:t>
      </w:r>
      <w:r>
        <w:rPr>
          <w:color w:val="000000"/>
        </w:rPr>
        <w:t>”</w:t>
      </w:r>
      <w:r>
        <w:rPr>
          <w:rFonts w:ascii="Times New Roman;sans-serif" w:hAnsi="Times New Roman;sans-serif"/>
          <w:b w:val="false"/>
          <w:color w:val="000000"/>
          <w:sz w:val="24"/>
        </w:rPr>
        <w:t xml:space="preserve">) owned, purported to be owned, necessary or useful for the conduct of their respective businesses, (ii) to the knowledge of the Company and each of its subsidiaries, have not, through the conduct of their respective businesses, infringed, violated or conflicted with any Intellectual Property of others, (iii) to the knowledge of the Company and each of its subsidiaries, is not, through the conduct of their respective businesses, infringing, violating, or conflicting with any Intellectual Property of others, and (iv) have not received any written notice of any claim of infringement, violation or conflict with, any Intellectual Property of others. There is no pending or, to the knowledge of the Company, threatened action, suit, proceeding or claim by others: (A) challenging the Company or any of its subsidiaries’ rights in or to any Intellectual Property, to the knowledge of the Company and each of its subsidiaries, and the Company is unaware of any facts which would form a reasonable basis for any such action, suit, proceeding or claim; (B) challenging the validity, enforceability or </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7025"/>
                <wp:effectExtent l="0" t="0" r="0" b="0"/>
                <wp:wrapNone/>
                <wp:docPr id="18" name="Frame1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scope of any Intellectual Property; or (C) asserting that the Company infringes, misappropriates, or otherwise violates, or would, upon the commercialization of any product or service described in any Preliminary Prospectus, Registration Statement, Pricing Disclosure Package, or the Prospectus as under development, infringe, misappropriate or violate, any patent, trademark, trade name, service name, copyright, trade secret or other proprietary rights of others, to the knowledge of the Company and each of its subsidiaries, and the Company is unaware of any facts which would form a reasonable basis for any such action, suit, proceeding or claim. Other than as disclosed in the Prospectus, the Company is not obligated to pay a material royalty, grant a license to, or provide other material consideration to any third party in connection with any Intellectual Property owned by or licensed to the Company. The Company has taken commercially reasonable steps to protect, maintain and safeguard its Intellectual Property, including the execution of appropriate nondisclosure, confidentiality agreements and invention assignment agreements and invention assignments with its employees or consultants. To the knowledge of the Company and each of its subsidiaries, no employee, consultant or independent contractor of the Company or its subsidiaries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(ag) </w:t>
      </w:r>
      <w:r>
        <w:rPr>
          <w:color w:val="000000"/>
        </w:rPr>
        <w:t>    </w:t>
      </w:r>
      <w:r>
        <w:rPr>
          <w:rFonts w:ascii="Times New Roman;sans-serif" w:hAnsi="Times New Roman;sans-serif"/>
          <w:b w:val="false"/>
          <w:color w:val="000000"/>
          <w:sz w:val="24"/>
          <w:u w:val="single"/>
        </w:rPr>
        <w:t>Compliance with Healthcare Laws</w:t>
      </w:r>
      <w:r>
        <w:rPr>
          <w:rFonts w:ascii="Times New Roman;sans-serif" w:hAnsi="Times New Roman;sans-serif"/>
          <w:b w:val="false"/>
          <w:color w:val="000000"/>
          <w:sz w:val="24"/>
        </w:rPr>
        <w:t>. Except as disclosed in the Prospectus, the Company and each of its subsidiaries have operated and currently are in material compliance with all applicable health care laws, rules, regulations, accreditations and ethical standards, including, without limitation, (i) the Federal, Food, Drug and Cosmetic Act (21 U.S.C. § 301 et seq.); (ii) the Public Health Service Act (42 U.S.C. § 201 et seq.); (iii) all applicable rules and regulations of the U.S. Food and Drug Administration (“</w:t>
      </w:r>
      <w:r>
        <w:rPr>
          <w:rFonts w:ascii="Times New Roman;sans-serif" w:hAnsi="Times New Roman;sans-serif"/>
          <w:b/>
          <w:color w:val="000000"/>
          <w:sz w:val="24"/>
          <w:u w:val="single"/>
        </w:rPr>
        <w:t>FDA</w:t>
      </w:r>
      <w:r>
        <w:rPr>
          <w:color w:val="000000"/>
        </w:rPr>
        <w:t>”</w:t>
      </w:r>
      <w:r>
        <w:rPr>
          <w:rFonts w:ascii="Times New Roman;sans-serif" w:hAnsi="Times New Roman;sans-serif"/>
          <w:b w:val="false"/>
          <w:color w:val="000000"/>
          <w:sz w:val="24"/>
        </w:rPr>
        <w:t>), including, to the extent applicable, those requirements relating to investigational use, premarket notification and premarket approval, establishment registration and device listing, complaint handling, medical device reporting, reporting of corrections and removals, and FDA’s Quality System Regulation at 21 C.F.R. Part 820; (iv) all applicable laws governing licensure, accreditation, certification and operation of clinical laboratories and the performance of laboratory-developed tests, including but not limited to the U.S. Clinical Laboratory Improvement Amendments of 1988, 42 U.S.C. § 263a, and its implemental regulations at 42 C.F.R. Part 493 (“</w:t>
      </w:r>
      <w:r>
        <w:rPr>
          <w:rFonts w:ascii="Times New Roman;sans-serif" w:hAnsi="Times New Roman;sans-serif"/>
          <w:b/>
          <w:color w:val="000000"/>
          <w:sz w:val="24"/>
          <w:u w:val="single"/>
        </w:rPr>
        <w:t>CLIA</w:t>
      </w:r>
      <w:r>
        <w:rPr>
          <w:color w:val="000000"/>
        </w:rPr>
        <w:t>”</w:t>
      </w:r>
      <w:r>
        <w:rPr>
          <w:rFonts w:ascii="Times New Roman;sans-serif" w:hAnsi="Times New Roman;sans-serif"/>
          <w:b w:val="false"/>
          <w:color w:val="000000"/>
          <w:sz w:val="24"/>
        </w:rPr>
        <w:t>), and state laws governing the operation of clinical laboratories; (v) all applicable federal, state, local and all applicable foreign healthcare related fraud and abuse laws, including, without limitation, the federal Anti-kickback Statute (42 U.S.C. § 1320a-7b(b)), the federal Ethics in Patient Referrals or the “Stark Law” (42 U.S.C. §1395nn), the U.S. Physician Payments Sunshine Act (42 U.S.C. § 1320a-7h), as well as any corollary state statutes governing disclosure of payments by manufacturers or suppliers to healthcare professionals, the Eliminating Kickbacks in Recovery Act (18 U.S.C. §220), the civil False Claims Act (31 U.S.C. §§ 3729 et seq.), the Program Fraud Civil Remedies Act of 1986 (31 U.S.C. §§ 3891 et seq.), the criminal False Claims Law (42 U.S.C. § 1320a-7b(a)), all applicable criminal laws relating to healthcare fraud and abuse, including but not limited to 18 U.S.C. Sections 286 and 287, the healthcare fraud criminal provisions under the U.S. Health Insurance Portability and Accountability Act of 1996 (“</w:t>
      </w:r>
      <w:r>
        <w:rPr>
          <w:rFonts w:ascii="Times New Roman;sans-serif" w:hAnsi="Times New Roman;sans-serif"/>
          <w:b/>
          <w:color w:val="000000"/>
          <w:sz w:val="24"/>
          <w:u w:val="single"/>
        </w:rPr>
        <w:t>HIPAA</w:t>
      </w:r>
      <w:r>
        <w:rPr>
          <w:color w:val="000000"/>
        </w:rPr>
        <w:t>”</w:t>
      </w:r>
      <w:r>
        <w:rPr>
          <w:rFonts w:ascii="Times New Roman;sans-serif" w:hAnsi="Times New Roman;sans-serif"/>
          <w:b w:val="false"/>
          <w:color w:val="000000"/>
          <w:sz w:val="24"/>
        </w:rPr>
        <w:t xml:space="preserve">) (42 U.S.C. Section </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7025"/>
                <wp:effectExtent l="0" t="0" r="0" b="0"/>
                <wp:wrapNone/>
                <wp:docPr id="19" name="Frame1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1320d et seq.), the exclusion laws (42 U.S.C. § 1320a-7), and the civil monetary penalties law (42 U.S.C. § 1320a-7a); (vi) HIPAA, as amended by the Health Information Technology for Economic Clinical Health Act (42 U.S.C. Section 17921 et seq.) and any other applicable federal or corollary state laws pertaining to the privacy and security of patient information, including laws pertaining to the protection of genetic data or biospecimens; (vii) the Medicare program (Title XVIII of the Social Security Act, including the amendments implemented by the Medicare Prescription Drug, Improvement, and Modernization Act of 2003 and the Medicare Improvements for Patients and Providers Act of 2008), (viii) the Medicaid program (Title XIX of the Social Security Act), (viii) the Patient Protection and Affordable Care Act (“</w:t>
      </w:r>
      <w:r>
        <w:rPr>
          <w:rFonts w:ascii="Times New Roman;sans-serif" w:hAnsi="Times New Roman;sans-serif"/>
          <w:b/>
          <w:color w:val="000000"/>
          <w:sz w:val="24"/>
          <w:u w:val="single"/>
        </w:rPr>
        <w:t>ACA</w:t>
      </w:r>
      <w:r>
        <w:rPr>
          <w:color w:val="000000"/>
        </w:rPr>
        <w:t>”</w:t>
      </w:r>
      <w:r>
        <w:rPr>
          <w:rFonts w:ascii="Times New Roman;sans-serif" w:hAnsi="Times New Roman;sans-serif"/>
          <w:b w:val="false"/>
          <w:color w:val="000000"/>
          <w:sz w:val="24"/>
        </w:rPr>
        <w:t>) (Pub. L. 111-148) as amended by the Health Care and Education Reconciliation Act of 2010 (Pub. L. 111-152), (ix), laws applicable to clinical research, including but not limited to the federal Policy for Protection of Human Subjects (42 C.F.R. Part 46), the FDCA and its applicable implementing regulations at 21 C.F.R. Parts 50, 54, 56, 58 and 312, the United States Animal Welfare Act, the International Conference on Harmonization’s (ICH) Guideline on Nonclinical Safety Studies for the Conduct of Human Clinical Trials for Pharmaceuticals and the ICH Guideline on Safety Pharmacology Studies for Human Pharmaceuticals, and all equivalent legal requirements in other jurisdictions; (x) all applicable federal or state laws pertaining to genetic counseling and telehealth services (including but not limited to federal and state licensure requirements and informed consent requirements (collectively (i)-(x), the “</w:t>
      </w:r>
      <w:r>
        <w:rPr>
          <w:rFonts w:ascii="Times New Roman;sans-serif" w:hAnsi="Times New Roman;sans-serif"/>
          <w:b/>
          <w:color w:val="000000"/>
          <w:sz w:val="24"/>
          <w:u w:val="single"/>
        </w:rPr>
        <w:t>Health Care Laws</w:t>
      </w:r>
      <w:r>
        <w:rPr>
          <w:color w:val="000000"/>
        </w:rPr>
        <w:t>”</w:t>
      </w:r>
      <w:r>
        <w:rPr>
          <w:rFonts w:ascii="Times New Roman;sans-serif" w:hAnsi="Times New Roman;sans-serif"/>
          <w:b w:val="false"/>
          <w:color w:val="000000"/>
          <w:sz w:val="24"/>
        </w:rPr>
        <w:t>). The Company and each of its subsidiaries have timely filed all material reports, applications, statements, documents, registrations, filings, corrections, updates, amendments, supplements, and submissions required to be filed by them under applicable Health Care Laws. Each such filing was true and correct in all material respects as of the date of submission, or was corrected in or supplemented by a subsequent filing, and any material and legally necessary or required updates, changes, corrections, amendments, supplements, or modifications to such filings have been submitted to the applicable governmental or regulatory authorities. The Company and each of its subsidiaries maintains an operational healthcare compliance program that governs all employees and contractors and is consistent with guidance by the U.S. Department of Health and Human Services Office of Inspector General for effective compliance programs. The Company and its subsidiaries further operates in material compliance with such healthcare compliance program. Except as disclosed in the Prospectus, the Company and each of its subsidiaries have not received written notice or other correspondence of any claim, action, suit, audit, or survey finding, proceeding, hearing, enforcement, investigation, arbitration or other action (“</w:t>
      </w:r>
      <w:r>
        <w:rPr>
          <w:rFonts w:ascii="Times New Roman;sans-serif" w:hAnsi="Times New Roman;sans-serif"/>
          <w:b/>
          <w:color w:val="000000"/>
          <w:sz w:val="24"/>
          <w:u w:val="single"/>
        </w:rPr>
        <w:t>Health Care Action</w:t>
      </w:r>
      <w:r>
        <w:rPr>
          <w:color w:val="000000"/>
        </w:rPr>
        <w:t>”</w:t>
      </w:r>
      <w:r>
        <w:rPr>
          <w:rFonts w:ascii="Times New Roman;sans-serif" w:hAnsi="Times New Roman;sans-serif"/>
          <w:b w:val="false"/>
          <w:color w:val="000000"/>
          <w:sz w:val="24"/>
        </w:rPr>
        <w:t xml:space="preserve">) from any court or arbitrator or governmental or regulatory authority or third party alleging that any of their product, operation or activity is in material violation of any Health Care Laws, and, to the Company’s knowledge, no such Health Care Action is threatened. Neither the Company nor any of its subsidiaries are a party to or have any ongoing reporting obligations pursuant to any corporate integrity agreement, deferred prosecution agreement, monitoring agreement, consent decree, settlement order, plan of correction or similar agreement imposed by any governmental or regulatory authority except as disclosed in the Registration Statement, the Pricing Disclosure Package and the Prospectus. Neither the Company nor any of its subsidiaries have received any FDA Form 483, notice of adverse finding, warning letter, untitled letter or other correspondence or notice from the FDA or any other governmental or regulatory authority alleging or asserting any material noncompliance with any Healthcare Laws. Additionally, neither the Company nor any of its subsidiaries, nor to the Company’s knowledge, any of its </w:t>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7025"/>
                <wp:effectExtent l="0" t="0" r="0" b="0"/>
                <wp:wrapNone/>
                <wp:docPr id="20" name="Frame1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employees, officers or directors, has been excluded, suspended or debarred from participation in any U.S. state or federal health care program or human clinical research or, to the knowledge of the Company, is subject to a governmental inquiry, investigation, proceeding, or other similar action that could reasonably be expected to result in debarment, suspension, or exclusion.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(ah) </w:t>
      </w:r>
      <w:r>
        <w:rPr>
          <w:color w:val="000000"/>
        </w:rPr>
        <w:t>    </w:t>
      </w:r>
      <w:r>
        <w:rPr>
          <w:rFonts w:ascii="Times New Roman;sans-serif" w:hAnsi="Times New Roman;sans-serif"/>
          <w:b w:val="false"/>
          <w:color w:val="000000"/>
          <w:sz w:val="24"/>
          <w:u w:val="single"/>
        </w:rPr>
        <w:t>Studies and Tests.</w:t>
      </w:r>
      <w:r>
        <w:rPr>
          <w:color w:val="000000"/>
        </w:rPr>
        <w:t xml:space="preserve"> </w:t>
      </w:r>
      <w:r>
        <w:rPr>
          <w:rFonts w:ascii="Times New Roman;sans-serif" w:hAnsi="Times New Roman;sans-serif"/>
          <w:b w:val="false"/>
          <w:color w:val="000000"/>
          <w:sz w:val="24"/>
        </w:rPr>
        <w:t>The studies and tests conducted by or, to the Company’s knowledge, on behalf of the Company were and, if still ongoing, are being conducted in all material respects in accordance with all Permits (as defined below) and applicable laws, including, without limitation, the Federal Food, Drug and Cosmetic Act and the rules and regulations promulgated thereunder; the descriptions, if any, of the results of such studies and tests contained in the Registration Statement and the Prospectus are, to the Company’s knowledge, accurate in all material respects and fairly present, in all material aspects, the data derived from such studies and tests; except to the extent disclosed in the Registration Statement and the Prospectus, the Company is not aware of any studies or tests, the results of which the Company believes reasonably call into question the study, test, or trial results described or referred to in the Registration Statement and the Prospectus when viewed in the context in which such results are described and the clinical state of development; and, except to the extent disclosed in the Registration Statement or the Prospectus, the Company has not received any written notices or correspondence from the FDA or any governmental entity requiring the termination or suspension of any studies or tests conducted by or on behalf of the Company, other than ordinary course communications with respect to modifications in connection with the design and implementation of such studies or tests.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(ai) </w:t>
      </w:r>
      <w:r>
        <w:rPr>
          <w:color w:val="000000"/>
        </w:rPr>
        <w:t>    </w:t>
      </w:r>
      <w:r>
        <w:rPr>
          <w:rFonts w:ascii="Times New Roman;sans-serif" w:hAnsi="Times New Roman;sans-serif"/>
          <w:b w:val="false"/>
          <w:color w:val="000000"/>
          <w:sz w:val="24"/>
          <w:u w:val="single"/>
        </w:rPr>
        <w:t>Listing</w:t>
      </w:r>
      <w:r>
        <w:rPr>
          <w:rFonts w:ascii="Times New Roman;sans-serif" w:hAnsi="Times New Roman;sans-serif"/>
          <w:b w:val="false"/>
          <w:color w:val="000000"/>
          <w:sz w:val="24"/>
        </w:rPr>
        <w:t>. The Company is subject to and in compliance in all material respects with the reporting requirements of Section 13 or Section 15(d) of the Exchange Act. The Common Stock is registered pursuant to Section 12(b) or Section 12(g) of the Exchange Act and is listed on the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All of the Placement Shares that have been or may be sold under this Agreement have been approved for listing on the Nasdaq, subject to official notice of issuance; the Company has taken all necessary actions to ensure that, upon and at all times after the Nasdaq shall have approved the Placement Shares for listing, it will be in compliance in all material respects with all applicable corporate governance requirements set forth in the Nasdaq’s listing rules that are then in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(aj) </w:t>
      </w:r>
      <w:r>
        <w:rPr>
          <w:color w:val="000000"/>
        </w:rPr>
        <w:t>    </w:t>
      </w:r>
      <w:r>
        <w:rPr>
          <w:rFonts w:ascii="Times New Roman;sans-serif" w:hAnsi="Times New Roman;sans-serif"/>
          <w:b w:val="false"/>
          <w:color w:val="000000"/>
          <w:sz w:val="24"/>
          <w:u w:val="single"/>
        </w:rPr>
        <w:t>Brokers</w:t>
      </w:r>
      <w:r>
        <w:rPr>
          <w:rFonts w:ascii="Times New Roman;sans-serif" w:hAnsi="Times New Roman;sans-serif"/>
          <w:b w:val="false"/>
          <w:color w:val="000000"/>
          <w:sz w:val="24"/>
        </w:rPr>
        <w:t xml:space="preserve">. Except for TD Cowen, there is no broker, finder or other party that is entitled to receive from the Company any brokerage or finder’s fee or other fee or commission as a result of any transactions contemplated by this Agreement.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(ak) </w:t>
      </w:r>
      <w:r>
        <w:rPr>
          <w:color w:val="000000"/>
        </w:rPr>
        <w:t>    </w:t>
      </w:r>
      <w:r>
        <w:rPr>
          <w:rFonts w:ascii="Times New Roman;sans-serif" w:hAnsi="Times New Roman;sans-serif"/>
          <w:b w:val="false"/>
          <w:color w:val="000000"/>
          <w:sz w:val="24"/>
          <w:u w:val="single"/>
        </w:rPr>
        <w:t>No Outstanding Loans or Other Indebtedness</w:t>
      </w:r>
      <w:r>
        <w:rPr>
          <w:rFonts w:ascii="Times New Roman;sans-serif" w:hAnsi="Times New Roman;sans-serif"/>
          <w:b w:val="false"/>
          <w:color w:val="000000"/>
          <w:sz w:val="24"/>
        </w:rPr>
        <w:t>. Except as described in the Prospectus, there are no outstanding loans, advances (except normal advances for business expenses in the ordinary course of business) or guarantees or indebtedness by the Company to or for the benefit of any of the officers or directors of the Company or any of the members of any of them.</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7025"/>
                <wp:effectExtent l="0" t="0" r="0" b="0"/>
                <wp:wrapNone/>
                <wp:docPr id="21" name="Frame2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(al) </w:t>
      </w:r>
      <w:r>
        <w:rPr>
          <w:color w:val="000000"/>
        </w:rPr>
        <w:t>    </w:t>
      </w:r>
      <w:r>
        <w:rPr>
          <w:rFonts w:ascii="Times New Roman;sans-serif" w:hAnsi="Times New Roman;sans-serif"/>
          <w:b w:val="false"/>
          <w:color w:val="000000"/>
          <w:sz w:val="24"/>
          <w:u w:val="single"/>
        </w:rPr>
        <w:t>No Reliance</w:t>
      </w:r>
      <w:r>
        <w:rPr>
          <w:rFonts w:ascii="Times New Roman;sans-serif" w:hAnsi="Times New Roman;sans-serif"/>
          <w:b w:val="false"/>
          <w:color w:val="000000"/>
          <w:sz w:val="24"/>
        </w:rPr>
        <w:t xml:space="preserve">. The Company has not relied upon TD Cowen or legal counsel for TD Cowen for any legal, tax or accounting advice in connection with the offering and sale of the Placement Shares.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(am) </w:t>
      </w:r>
      <w:r>
        <w:rPr>
          <w:color w:val="000000"/>
        </w:rPr>
        <w:t>    </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(an) </w:t>
      </w:r>
      <w:r>
        <w:rPr>
          <w:color w:val="000000"/>
        </w:rPr>
        <w:t>    </w:t>
      </w:r>
      <w:r>
        <w:rPr>
          <w:rFonts w:ascii="Times New Roman;sans-serif" w:hAnsi="Times New Roman;sans-serif"/>
          <w:b w:val="false"/>
          <w:color w:val="000000"/>
          <w:sz w:val="24"/>
          <w:u w:val="single"/>
        </w:rPr>
        <w:t>Permits.</w:t>
      </w:r>
      <w:r>
        <w:rPr>
          <w:color w:val="000000"/>
        </w:rPr>
        <w:t xml:space="preserve"> </w:t>
      </w:r>
      <w:r>
        <w:rPr>
          <w:rFonts w:ascii="Times New Roman;sans-serif" w:hAnsi="Times New Roman;sans-serif"/>
          <w:b w:val="false"/>
          <w:color w:val="000000"/>
          <w:sz w:val="24"/>
        </w:rPr>
        <w:t>The Company and each of its subsidiaries have all material registrations, listings, permits, licenses, accreditations, clearances, approvals, consents, franchises, certificates of need and other approvals or authorizations of governmental or regulatory authorities, administrative agencies, departments, boards, bureaus, commissions, or other bodies (“</w:t>
      </w:r>
      <w:r>
        <w:rPr>
          <w:rFonts w:ascii="Times New Roman;sans-serif" w:hAnsi="Times New Roman;sans-serif"/>
          <w:b/>
          <w:color w:val="000000"/>
          <w:sz w:val="24"/>
          <w:u w:val="single"/>
        </w:rPr>
        <w:t>Permits</w:t>
      </w:r>
      <w:r>
        <w:rPr>
          <w:color w:val="000000"/>
        </w:rPr>
        <w:t>”</w:t>
      </w:r>
      <w:r>
        <w:rPr>
          <w:rFonts w:ascii="Times New Roman;sans-serif" w:hAnsi="Times New Roman;sans-serif"/>
          <w:b w:val="false"/>
          <w:color w:val="000000"/>
          <w:sz w:val="24"/>
        </w:rPr>
        <w:t>), including without limitation all Permits required under CLIA and the equivalent applicable requirements of any state or local law or any foreign jurisdiction for laboratories generating results used for the diagnosis, prevention or treatment or assessment of the health of a human being, that are necessary under applicable law to own their respective properties and conduct their respective businesses in the manner described in the Registration Statement and the Prospectus. The Company and each of its subsidiaries have fulfilled and performed all of their obligations with respect to the Permits in all material aspects, and neither the Company nor any of its subsidiaries has received notice of any proceedings related to the revocation or modification of any such Permits.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(ao) </w:t>
      </w:r>
      <w:r>
        <w:rPr>
          <w:color w:val="000000"/>
        </w:rPr>
        <w:t>    </w:t>
      </w:r>
      <w:r>
        <w:rPr>
          <w:rFonts w:ascii="Times New Roman;sans-serif" w:hAnsi="Times New Roman;sans-serif"/>
          <w:b w:val="false"/>
          <w:color w:val="000000"/>
          <w:sz w:val="24"/>
          <w:u w:val="single"/>
        </w:rPr>
        <w:t>Privacy Laws</w:t>
      </w:r>
      <w:r>
        <w:rPr>
          <w:rFonts w:ascii="Times New Roman;sans-serif" w:hAnsi="Times New Roman;sans-serif"/>
          <w:b w:val="false"/>
          <w:color w:val="000000"/>
          <w:sz w:val="24"/>
        </w:rPr>
        <w:t>. Except as disclosed in the Registration Statement and the Prospectus, (i) the Company and its subsidiaries are presently, and since the Company’s and its subsidiaries’ inception have been, in material compliance with all privacy policies, published privacy notices, informed consent agreements, HIPAA authorizations, Business Associate Agreements required by applicable laws, contractual obligations, applicable state, federal and international laws and regulations (including without limitation, if and to the extent applicable, the Health Insurance Portability and Accountability Act of 1996, as amended by the Health Information Technology for Economic and Clinical Health Act, the European Union General Data Protection Regulation, and the California Consumer Privacy Act of 2018, as amended by the California Privacy Rights Act of 2020 (the “</w:t>
      </w:r>
      <w:r>
        <w:rPr>
          <w:rFonts w:ascii="Times New Roman;sans-serif" w:hAnsi="Times New Roman;sans-serif"/>
          <w:b/>
          <w:color w:val="000000"/>
          <w:sz w:val="24"/>
          <w:u w:val="single"/>
        </w:rPr>
        <w:t>CCPA</w:t>
      </w:r>
      <w:r>
        <w:rPr>
          <w:color w:val="000000"/>
        </w:rPr>
        <w:t>”</w:t>
      </w:r>
      <w:r>
        <w:rPr>
          <w:rFonts w:ascii="Times New Roman;sans-serif" w:hAnsi="Times New Roman;sans-serif"/>
          <w:b w:val="false"/>
          <w:color w:val="000000"/>
          <w:sz w:val="24"/>
        </w:rPr>
        <w:t>), and applicable laws governing the collection, use and storage of genetic material), other statutes and judgments, orders, rules and regulations of any court or arbitrator or other governmental or regulatory authority, in each case that relate to privacy, data protection or information security (“</w:t>
      </w:r>
      <w:r>
        <w:rPr>
          <w:rFonts w:ascii="Times New Roman;sans-serif" w:hAnsi="Times New Roman;sans-serif"/>
          <w:b/>
          <w:color w:val="000000"/>
          <w:sz w:val="24"/>
          <w:u w:val="single"/>
        </w:rPr>
        <w:t>Data Protection Obligations</w:t>
      </w:r>
      <w:r>
        <w:rPr>
          <w:color w:val="000000"/>
        </w:rPr>
        <w:t>”</w:t>
      </w:r>
      <w:r>
        <w:rPr>
          <w:rFonts w:ascii="Times New Roman;sans-serif" w:hAnsi="Times New Roman;sans-serif"/>
          <w:b w:val="false"/>
          <w:color w:val="000000"/>
          <w:sz w:val="24"/>
        </w:rPr>
        <w:t xml:space="preserve">); (ii) the Company and each of its subsidiaries has implemented a HIPAA compliance program and has reasonable security safeguards in place to protect Protected Health Information in material compliance with HIPAA and any contractual obligations; (iii) the Company’s and each of its subsidiaries’ collection, access, maintenance, transmission, use and disclosure of Protected Health Information is and at all times has been in material compliance with HIPAA and any contractual obligations and has taken all reasonable actions to comply with Data Protection Obligations in all material respects; (iv) the Company and its subsidiaries have current and valid Business Associate Agreements with each (a) Covered Entity for whom the Company or its subsidiaries provides functions or activities that render it a Business Associate (as such terms are </w:t>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7025"/>
                <wp:effectExtent l="0" t="0" r="0" b="0"/>
                <wp:wrapNone/>
                <wp:docPr id="22" name="Frame2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defined under HIPAA), and (b) Subcontractor of the Company that is a Business Associate (as such terms are defined in HIPAA); (v) neither the Company nor its subsidiaries has breached any Business Associate Agreements in effect or other data privacy or data security contractual obligations and, to the Company’s knowledge, no Covered Entity, Business Associate or Subcontractor has breached any Business Associate Agreement or similar privacy provision; (vi) there is no pending, or to the knowledge of the Company, threatened, action, suit or proceeding by or before any court or governmental agency, authority or body pending or threatened alleging non-compliance with any Data Protection Obligation; (vii) the Company and its subsidiaries have established and maintained reasonable data privacy incident response plans consistent with industry standard practices, which are designed to reasonably respond data security incidents in accordance with the Data Protection Obligations; (viii) the Company is taking commercially reasonable steps to comply with the CCPA and other applicable state comprehensive privacy laws, as applicable, such as the Virginia Consumer Data Protection Act (VCDPA), the Colorado Privacy Act (CPA), the Connecticut Act Concerning Personal Data Privacy and Online Monitoring, and the Utah Consumer Privacy Act (UCPA) with respect to the Company and its subsidiaries, including by adopting appropriate policies and procedures; and (ix) the Company and its subsidiaries have at all times made all disclosures to users or customers through privacy policies or notices as required by Data Protection Obligations, and have fully and accurately described the Company’s privacy practices in all material respects.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(ap) </w:t>
      </w:r>
      <w:r>
        <w:rPr>
          <w:color w:val="000000"/>
        </w:rPr>
        <w:t>    </w:t>
      </w:r>
      <w:r>
        <w:rPr>
          <w:rFonts w:ascii="Times New Roman;sans-serif" w:hAnsi="Times New Roman;sans-serif"/>
          <w:b w:val="false"/>
          <w:color w:val="000000"/>
          <w:sz w:val="24"/>
          <w:u w:val="single"/>
        </w:rPr>
        <w:t>IT Systems</w:t>
      </w:r>
      <w:r>
        <w:rPr>
          <w:rFonts w:ascii="Times New Roman;sans-serif" w:hAnsi="Times New Roman;sans-serif"/>
          <w:b w:val="false"/>
          <w:color w:val="000000"/>
          <w:sz w:val="24"/>
        </w:rPr>
        <w:t>. Except as disclosed in the Prospectus, the Company and its subsidiaries’ information technology assets and equipment, computers, systems, networks, hardware, software, websites, applications, and databases (collectively, “</w:t>
      </w:r>
      <w:r>
        <w:rPr>
          <w:rFonts w:ascii="Times New Roman;sans-serif" w:hAnsi="Times New Roman;sans-serif"/>
          <w:b/>
          <w:color w:val="000000"/>
          <w:sz w:val="24"/>
          <w:u w:val="single"/>
        </w:rPr>
        <w:t>IT Systems</w:t>
      </w:r>
      <w:r>
        <w:rPr>
          <w:color w:val="000000"/>
        </w:rPr>
        <w:t>”</w:t>
      </w:r>
      <w:r>
        <w:rPr>
          <w:rFonts w:ascii="Times New Roman;sans-serif" w:hAnsi="Times New Roman;sans-serif"/>
          <w:b w:val="false"/>
          <w:color w:val="000000"/>
          <w:sz w:val="24"/>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administrative, technical, and physical controls, policies, procedures, and other safeguards to protect the security, confidentiality, integrity and availability of (i) their material confidential information; data used in connection with their businesses (“</w:t>
      </w:r>
      <w:r>
        <w:rPr>
          <w:rFonts w:ascii="Times New Roman;sans-serif" w:hAnsi="Times New Roman;sans-serif"/>
          <w:b/>
          <w:color w:val="000000"/>
          <w:sz w:val="24"/>
          <w:u w:val="single"/>
        </w:rPr>
        <w:t>Business Data</w:t>
      </w:r>
      <w:r>
        <w:rPr>
          <w:color w:val="000000"/>
        </w:rPr>
        <w:t>”</w:t>
      </w:r>
      <w:r>
        <w:rPr>
          <w:rFonts w:ascii="Times New Roman;sans-serif" w:hAnsi="Times New Roman;sans-serif"/>
          <w:b w:val="false"/>
          <w:color w:val="000000"/>
          <w:sz w:val="24"/>
        </w:rPr>
        <w:t>), including all personal, personally identifiable, sensitive, confidential or regulated data, including Protected Health Information as defined under HIPAA, and all data derived from biospecimens or other genetic material (together “</w:t>
      </w:r>
      <w:r>
        <w:rPr>
          <w:rFonts w:ascii="Times New Roman;sans-serif" w:hAnsi="Times New Roman;sans-serif"/>
          <w:b/>
          <w:color w:val="000000"/>
          <w:sz w:val="24"/>
          <w:u w:val="single"/>
        </w:rPr>
        <w:t>Personal Data</w:t>
      </w:r>
      <w:r>
        <w:rPr>
          <w:color w:val="000000"/>
        </w:rPr>
        <w:t>”</w:t>
      </w:r>
      <w:r>
        <w:rPr>
          <w:rFonts w:ascii="Times New Roman;sans-serif" w:hAnsi="Times New Roman;sans-serif"/>
          <w:b w:val="false"/>
          <w:color w:val="000000"/>
          <w:sz w:val="24"/>
        </w:rPr>
        <w:t xml:space="preserve">), and (iii) the IT Systems; there have been no (i) unauthorized or unlawful acquisition of, access to, loss of, or misuse (by any means) of confidential information, Business Data including Personal Data, or the IT Systems; (ii) ransomware, phishing or other cyberattack that resulted in a monetary loss or a disruption to the IT Systems; (iii) “Breach” of Unsecured Protected Health Information or “Security Incident” (as those terms are defined in HIPAA); or (iv) other act or omission that compromises the security, confidentiality, integrity or availability of confidential information, Business Data including Personal Data or the IT Systems, in each case except for those that are described in the Prospectus or those that have been remedied without material cost or liability or the duty to notify any other person, nor any incidents under internal review or investigations relating to the same;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(“Open Source Software”) in material </w:t>
      </w: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7025"/>
                <wp:effectExtent l="0" t="0" r="0" b="0"/>
                <wp:wrapNone/>
                <wp:docPr id="23" name="Frame2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(aq) </w:t>
      </w:r>
      <w:r>
        <w:rPr>
          <w:color w:val="000000"/>
        </w:rPr>
        <w:t>    </w:t>
      </w:r>
      <w:r>
        <w:rPr>
          <w:rFonts w:ascii="Times New Roman;sans-serif" w:hAnsi="Times New Roman;sans-serif"/>
          <w:b w:val="false"/>
          <w:color w:val="000000"/>
          <w:sz w:val="24"/>
          <w:u w:val="single"/>
        </w:rPr>
        <w:t>Export and Import Laws</w:t>
      </w:r>
      <w:r>
        <w:rPr>
          <w:rFonts w:ascii="Times New Roman;sans-serif" w:hAnsi="Times New Roman;sans-serif"/>
          <w:b w:val="false"/>
          <w:color w:val="000000"/>
          <w:sz w:val="24"/>
        </w:rPr>
        <w:t>. Each of the Company and the Subsidiaries, and, to the Company’s knowledge, each of their affiliates and any director, officer, agent or employee of, or other person associated with or acting on behalf of, the Company has acted at all times in compliance with applicable Export and Import Laws (as defined below) and there are no claims, complaints, charges, investigations or proceedings pending or expected or, to the knowledge of the Company, threatened between the Company or any of the Subsidiaries and any Governmental Authority under any Export or Import Laws. The term “</w:t>
      </w:r>
      <w:r>
        <w:rPr>
          <w:rFonts w:ascii="Times New Roman;sans-serif" w:hAnsi="Times New Roman;sans-serif"/>
          <w:b/>
          <w:color w:val="000000"/>
          <w:sz w:val="24"/>
          <w:u w:val="single"/>
        </w:rPr>
        <w:t>Export and Import Laws</w:t>
      </w:r>
      <w:r>
        <w:rPr>
          <w:color w:val="000000"/>
        </w:rPr>
        <w:t xml:space="preserve">” </w:t>
      </w:r>
      <w:r>
        <w:rPr>
          <w:rFonts w:ascii="Times New Roman;sans-serif" w:hAnsi="Times New Roman;sans-serif"/>
          <w:b w:val="false"/>
          <w:color w:val="000000"/>
          <w:sz w:val="24"/>
        </w:rPr>
        <w:t>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(ar) </w:t>
      </w:r>
      <w:r>
        <w:rPr>
          <w:color w:val="000000"/>
        </w:rPr>
        <w:t>    </w:t>
      </w:r>
      <w:r>
        <w:rPr>
          <w:rFonts w:ascii="Times New Roman;sans-serif" w:hAnsi="Times New Roman;sans-serif"/>
          <w:b w:val="false"/>
          <w:color w:val="000000"/>
          <w:sz w:val="24"/>
          <w:u w:val="single"/>
        </w:rPr>
        <w:t>Lending Relationship</w:t>
      </w:r>
      <w:r>
        <w:rPr>
          <w:rFonts w:ascii="Times New Roman;sans-serif" w:hAnsi="Times New Roman;sans-serif"/>
          <w:b w:val="false"/>
          <w:color w:val="000000"/>
          <w:sz w:val="24"/>
        </w:rPr>
        <w:t>.  Except as disclosed in the Prospectus, the Company does not intend to use any of the proceeds from the sale of the Placement Shares to repay any outstanding debt owed to TD Cowen or any affiliate of TD Cowen.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(as) </w:t>
      </w:r>
      <w:r>
        <w:rPr>
          <w:rFonts w:ascii="Times New Roman;sans-serif" w:hAnsi="Times New Roman;sans-serif"/>
          <w:b w:val="false"/>
          <w:color w:val="000000"/>
          <w:sz w:val="24"/>
          <w:u w:val="single"/>
        </w:rPr>
        <w:t>Other At The Market Sales Agreements</w:t>
      </w:r>
      <w:r>
        <w:rPr>
          <w:rFonts w:ascii="Times New Roman;sans-serif" w:hAnsi="Times New Roman;sans-serif"/>
          <w:b w:val="false"/>
          <w:color w:val="000000"/>
          <w:sz w:val="24"/>
        </w:rPr>
        <w:t>. The Company is not a party to any agreement with an agent or underwriter for any other “at the market” offering.</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certificate signed by an officer of the Company and delivered to TD Cowen or to counsel for TD Cowen pursuant to or in connection with this Agreement shall be deemed to be a representation and warranty by the Company to TD Cowen as to the matters set forth therein.</w:t>
      </w:r>
    </w:p>
    <w:p>
      <w:pPr>
        <w:pStyle w:val="TextBody"/>
        <w:bidi w:val="0"/>
        <w:spacing w:lineRule="auto" w:line="288" w:before="0" w:after="240"/>
        <w:jc w:val="both"/>
        <w:rPr/>
      </w:pPr>
      <w:r>
        <w:rPr>
          <w:rFonts w:ascii="Times New Roman;sans-serif" w:hAnsi="Times New Roman;sans-serif"/>
          <w:b w:val="false"/>
          <w:color w:val="000000"/>
          <w:sz w:val="24"/>
        </w:rPr>
        <w:t xml:space="preserve">The Company acknowledges that TD Cowen and, for purposes of the opinions to be delivered pursuant to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hereof, counsel to the Company and counsel to TD Cowen, will rely upon the accuracy and truthfulness of the foregoing representations and hereby consents to such reliance.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Covenants of the Company</w:t>
      </w:r>
      <w:r>
        <w:rPr>
          <w:rFonts w:ascii="Times New Roman;sans-serif" w:hAnsi="Times New Roman;sans-serif"/>
          <w:b w:val="false"/>
          <w:color w:val="000000"/>
          <w:sz w:val="24"/>
        </w:rPr>
        <w:t>. The Company covenants and agrees with TD Cowen that: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color w:val="000000"/>
        </w:rPr>
        <w:t>    </w:t>
      </w:r>
      <w:r>
        <w:rPr>
          <w:rFonts w:ascii="Times New Roman;sans-serif" w:hAnsi="Times New Roman;sans-serif"/>
          <w:b w:val="false"/>
          <w:color w:val="000000"/>
          <w:sz w:val="24"/>
          <w:u w:val="single"/>
        </w:rPr>
        <w:t>Registration Statement Amendments</w:t>
      </w:r>
      <w:r>
        <w:rPr>
          <w:rFonts w:ascii="Times New Roman;sans-serif" w:hAnsi="Times New Roman;sans-serif"/>
          <w:b w:val="false"/>
          <w:color w:val="000000"/>
          <w:sz w:val="24"/>
        </w:rPr>
        <w:t xml:space="preserve">. After the date of this Agreement and during any period in which a Prospectus relating to any Placement Shares is required to be delivered by TD Cowen under the Securities Act (including in circumstances where such requirement may be satisfied pursuant to Rule 172 under the Securities Act), (i) the Company will notify TD Cowen promptly of the time when any subsequent amendment to the Registration </w:t>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7025"/>
                <wp:effectExtent l="0" t="0" r="0" b="0"/>
                <wp:wrapNone/>
                <wp:docPr id="24" name="Frame2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(insofar as it relates to the transactions contemplated hereby), (ii) the Company will prepare and file with the Commission, promptly upon TD Cowen’s reasonable request, any amendments or supplements to the Registration Statement or Prospectus that, in TD Cowen’s reasonable opinion, may be necessary or advisable in connection with the distribution of the Placement Shares by TD Cowen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the failure of TD Cowen to make such request shall not relieve the Company of any obligation or liability hereunder, or affect TD Cowen’s right to rely on the representations and warranties made by the Company in this Agreement and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that the only remedy TD Cowen shall have with respect to the failure by the Company to obtain such consent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TD Cowen within a reasonable period of time before the filing and TD Cowen has not reasonably objected thereto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the failure of TD Cowen to make such objection shall not relieve the Company of any obligation or liability hereunder, or affect TD Cowen’s right to rely on the representations and warranties made by the Company in this Agreement and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xml:space="preserve">, that the only remedy TD Cowen shall have with respect to the failure by the Company to obtain such consent shall be to cease making sales under this Agreement) and the Company will furnish to TD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TD Cowen if at any time the Registration Statement shall no longer be effective as a result of the passage of time pursuant to Rule 415 under the Securities Act or otherwise.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color w:val="000000"/>
        </w:rPr>
        <w:t>    </w:t>
      </w:r>
      <w:r>
        <w:rPr>
          <w:rFonts w:ascii="Times New Roman;sans-serif" w:hAnsi="Times New Roman;sans-serif"/>
          <w:b w:val="false"/>
          <w:color w:val="000000"/>
          <w:sz w:val="24"/>
          <w:u w:val="single"/>
        </w:rPr>
        <w:t>Notice of Commission Stop Orders</w:t>
      </w:r>
      <w:r>
        <w:rPr>
          <w:rFonts w:ascii="Times New Roman;sans-serif" w:hAnsi="Times New Roman;sans-serif"/>
          <w:b w:val="false"/>
          <w:color w:val="000000"/>
          <w:sz w:val="24"/>
        </w:rPr>
        <w:t>. The Company will advise TD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color w:val="000000"/>
        </w:rPr>
        <w:t>    </w:t>
      </w:r>
      <w:r>
        <w:rPr>
          <w:rFonts w:ascii="Times New Roman;sans-serif" w:hAnsi="Times New Roman;sans-serif"/>
          <w:b w:val="false"/>
          <w:color w:val="000000"/>
          <w:sz w:val="24"/>
          <w:u w:val="single"/>
        </w:rPr>
        <w:t>Delivery of Prospectus; Subsequent Changes</w:t>
      </w:r>
      <w:r>
        <w:rPr>
          <w:rFonts w:ascii="Times New Roman;sans-serif" w:hAnsi="Times New Roman;sans-serif"/>
          <w:b w:val="false"/>
          <w:color w:val="000000"/>
          <w:sz w:val="24"/>
        </w:rPr>
        <w:t xml:space="preserve">. During any period in which a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comply with all requirements imposed upon it by the Securities Act, as from time to time in force, and to file on or before their respective due dates all reports and any definitive proxy or information statements required to be </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7025"/>
                <wp:effectExtent l="0" t="0" r="0" b="0"/>
                <wp:wrapNone/>
                <wp:docPr id="25" name="Frame2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TD Cowen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the Company may delay the filing of any amendment or supplement if, in the judgment of the Company, it is in the its best interests to do so.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 </w:t>
      </w:r>
      <w:r>
        <w:rPr>
          <w:color w:val="000000"/>
        </w:rPr>
        <w:t>    </w:t>
      </w:r>
      <w:r>
        <w:rPr>
          <w:rFonts w:ascii="Times New Roman;sans-serif" w:hAnsi="Times New Roman;sans-serif"/>
          <w:b w:val="false"/>
          <w:color w:val="000000"/>
          <w:sz w:val="24"/>
          <w:u w:val="single"/>
        </w:rPr>
        <w:t>Listing of Placement Shares</w:t>
      </w:r>
      <w:r>
        <w:rPr>
          <w:rFonts w:ascii="Times New Roman;sans-serif" w:hAnsi="Times New Roman;sans-serif"/>
          <w:b w:val="false"/>
          <w:color w:val="000000"/>
          <w:sz w:val="24"/>
        </w:rPr>
        <w:t xml:space="preserve">. During any period in which the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TD Cowen reasonably designates and to continue such qualifications in effect so long as required for the distribution of the Placement Shares;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that the Company shall not be required in connection therewith to qualify as a foreign corporation or dealer in securities or file a general consent to service of process in any jurisdiction </w:t>
      </w:r>
      <w:r>
        <w:rPr>
          <w:rFonts w:ascii="Times New Roman;sans-serif" w:hAnsi="Times New Roman;sans-serif"/>
          <w:b w:val="false"/>
          <w:color w:val="000000"/>
          <w:sz w:val="24"/>
          <w:shd w:fill="FFFFFF" w:val="clear"/>
        </w:rPr>
        <w:t>or be subject to taxation as a foreign corporation in any jurisdiction</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 </w:t>
      </w:r>
      <w:r>
        <w:rPr>
          <w:color w:val="000000"/>
        </w:rPr>
        <w:t>    </w:t>
      </w:r>
      <w:r>
        <w:rPr>
          <w:rFonts w:ascii="Times New Roman;sans-serif" w:hAnsi="Times New Roman;sans-serif"/>
          <w:b w:val="false"/>
          <w:color w:val="000000"/>
          <w:sz w:val="24"/>
          <w:u w:val="single"/>
        </w:rPr>
        <w:t>Delivery of Registration Statement and Prospectus</w:t>
      </w:r>
      <w:r>
        <w:rPr>
          <w:rFonts w:ascii="Times New Roman;sans-serif" w:hAnsi="Times New Roman;sans-serif"/>
          <w:b w:val="false"/>
          <w:color w:val="000000"/>
          <w:sz w:val="24"/>
        </w:rPr>
        <w:t xml:space="preserve">. The Company will furnish to TD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TD Cowen may from time to time reasonably request and, at TD Cowen’s request, will also furnish copies of the Prospectus to each exchange or market on which sales of the Placement Shares may be made;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that the Company shall not be required to furnish any document (other than the Prospectus) to TD Cowen to the extent such document is available on EDGAR.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(f) </w:t>
      </w:r>
      <w:r>
        <w:rPr>
          <w:color w:val="000000"/>
        </w:rPr>
        <w:t>    </w:t>
      </w:r>
      <w:r>
        <w:rPr>
          <w:rFonts w:ascii="Times New Roman;sans-serif" w:hAnsi="Times New Roman;sans-serif"/>
          <w:b w:val="false"/>
          <w:color w:val="000000"/>
          <w:sz w:val="24"/>
          <w:u w:val="single"/>
        </w:rPr>
        <w:t>Earnings Statement</w:t>
      </w:r>
      <w:r>
        <w:rPr>
          <w:rFonts w:ascii="Times New Roman;sans-serif" w:hAnsi="Times New Roman;sans-serif"/>
          <w:b w:val="false"/>
          <w:color w:val="000000"/>
          <w:sz w:val="24"/>
        </w:rPr>
        <w:t xml:space="preserve">.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the Company will be deemed to have furnished such statement to its security holders to the extent they are filed on EDGAR or any successor system.</w:t>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7025"/>
                <wp:effectExtent l="0" t="0" r="0" b="0"/>
                <wp:wrapNone/>
                <wp:docPr id="26" name="Frame2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(g) </w:t>
      </w:r>
      <w:r>
        <w:rPr>
          <w:color w:val="000000"/>
        </w:rPr>
        <w:t>    </w:t>
      </w:r>
      <w:r>
        <w:rPr>
          <w:rFonts w:ascii="Times New Roman;sans-serif" w:hAnsi="Times New Roman;sans-serif"/>
          <w:b w:val="false"/>
          <w:color w:val="000000"/>
          <w:sz w:val="24"/>
          <w:u w:val="single"/>
        </w:rPr>
        <w:t>Expenses</w:t>
      </w:r>
      <w:r>
        <w:rPr>
          <w:rFonts w:ascii="Times New Roman;sans-serif" w:hAnsi="Times New Roman;sans-serif"/>
          <w:b w:val="false"/>
          <w:color w:val="000000"/>
          <w:sz w:val="24"/>
        </w:rPr>
        <w:t xml:space="preserve">. The Company, whether or not the transactions contemplated hereunder are consummated or this Agreement is terminated, in accordance with the provisions of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 xml:space="preserve">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sans-serif" w:hAnsi="Times New Roman;sans-serif"/>
          <w:b w:val="false"/>
          <w:color w:val="000000"/>
          <w:sz w:val="24"/>
          <w:u w:val="single"/>
        </w:rPr>
        <w:t>Section 7(d)</w:t>
      </w:r>
      <w:r>
        <w:rPr>
          <w:color w:val="000000"/>
        </w:rPr>
        <w:t xml:space="preserve"> </w:t>
      </w:r>
      <w:r>
        <w:rPr>
          <w:rFonts w:ascii="Times New Roman;sans-serif" w:hAnsi="Times New Roman;sans-serif"/>
          <w:b w:val="false"/>
          <w:color w:val="000000"/>
          <w:sz w:val="24"/>
        </w:rPr>
        <w:t>of this Agreement, including filing fees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any fees or disbursements of counsel for TD Cowen in connection therewith shall be paid by TD Cowen except as set forth in (vii) below), (iv) the printing and delivery to TD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reasonable and documented legal expenses of TD Cowen’s outside counsel for filings with the FINRA Corporate Financing Department, such legal expense reimbursement not to exceed $15,000 and, (viii) the reasonable and documented fees and disbursements of TD Cowen’s counsel in an amount not to exceed $75,000.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Use of Proceeds</w:t>
      </w:r>
      <w:r>
        <w:rPr>
          <w:rFonts w:ascii="Times New Roman;sans-serif" w:hAnsi="Times New Roman;sans-serif"/>
          <w:b w:val="false"/>
          <w:color w:val="000000"/>
          <w:sz w:val="24"/>
        </w:rPr>
        <w:t>. The Company will use the Net Proceeds as described in the Prospectus in the section entitled “Use of Proceeds.”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Notice of Other Sales</w:t>
      </w:r>
      <w:r>
        <w:rPr>
          <w:rFonts w:ascii="Times New Roman;sans-serif" w:hAnsi="Times New Roman;sans-serif"/>
          <w:b w:val="false"/>
          <w:color w:val="000000"/>
          <w:sz w:val="24"/>
        </w:rPr>
        <w:t xml:space="preserve">. During the pendency of any Placement Notice given hereunder, and for five (5) trading days following the termination of any Placement Notice given hereunder, the Company shall provide TD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such notice shall not be required in connection with the (i) issuance, grant or sale of Common Stock, options to purchase shares of Common Stock, restricted stock units, stock awards, warrants, rights or other equity awards or Common Stock issuable upon the exercise, conversion, settlement, exchange, redemption or vesting of options, restricted stock units, stock awards, warrants, rights or other equity awards pursuant to any stock option, stock bonus or other equity incentive or stock purchase plan or arrangement described in the Prospectus or pursuant to any inducement awards in accordance with Nasdaq rules,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TD Cowen in advance, (iv) the issuance or sale of any shares of Common Stock issuable upon the exchange, conversion or redemption of securities or the exercise of warrants, options or other rights in effect or outstanding, or (v) the issuance or sale of any shares of Common Stock, or securities convertible into or exercisable for Common Stock, offered and sold in a privately negotiated transaction to vendors, customers, strategic partners or potential strategic partners conducted in a manner so as not to be integrated with the offering of Common Stock hereby.</w:t>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7025"/>
                <wp:effectExtent l="0" t="0" r="0" b="0"/>
                <wp:wrapNone/>
                <wp:docPr id="27" name="Frame2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(j) </w:t>
      </w:r>
      <w:r>
        <w:rPr>
          <w:color w:val="000000"/>
        </w:rPr>
        <w:t>    </w:t>
      </w:r>
      <w:r>
        <w:rPr>
          <w:rFonts w:ascii="Times New Roman;sans-serif" w:hAnsi="Times New Roman;sans-serif"/>
          <w:b w:val="false"/>
          <w:color w:val="000000"/>
          <w:sz w:val="24"/>
          <w:u w:val="single"/>
        </w:rPr>
        <w:t>Change of Circumstances</w:t>
      </w:r>
      <w:r>
        <w:rPr>
          <w:rFonts w:ascii="Times New Roman;sans-serif" w:hAnsi="Times New Roman;sans-serif"/>
          <w:b w:val="false"/>
          <w:color w:val="000000"/>
          <w:sz w:val="24"/>
        </w:rPr>
        <w:t>. The Company will, at any time during a fiscal quarter in which the Company intends to tender a Placement Notice or sell Placement Shares, advise TD Cowen promptly after it shall have received notice or obtained knowledge thereof, of any information or fact that would alter or affect in any material respect any opinion, certificate, letter or other document provided to TD Cowen pursuant to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(k) </w:t>
      </w:r>
      <w:r>
        <w:rPr>
          <w:color w:val="000000"/>
        </w:rPr>
        <w:t>    </w:t>
      </w:r>
      <w:r>
        <w:rPr>
          <w:rFonts w:ascii="Times New Roman;sans-serif" w:hAnsi="Times New Roman;sans-serif"/>
          <w:b w:val="false"/>
          <w:color w:val="000000"/>
          <w:sz w:val="24"/>
          <w:u w:val="single"/>
        </w:rPr>
        <w:t>Due Diligence Cooperation</w:t>
      </w:r>
      <w:r>
        <w:rPr>
          <w:rFonts w:ascii="Times New Roman;sans-serif" w:hAnsi="Times New Roman;sans-serif"/>
          <w:b w:val="false"/>
          <w:color w:val="000000"/>
          <w:sz w:val="24"/>
        </w:rPr>
        <w:t>. During the term of this Agreement, the Company will cooperate with any reasonable due diligence review conducted by TD Cowen or its agents in connection with the transactions contemplated hereby, including, without limitation, providing information and making available documents and senior corporate officers, during regular business hours and at the Company’s principal offices, as TD Cowen may reasonably request.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(l) </w:t>
      </w:r>
      <w:r>
        <w:rPr>
          <w:color w:val="000000"/>
        </w:rPr>
        <w:t>    </w:t>
      </w:r>
      <w:r>
        <w:rPr>
          <w:rFonts w:ascii="Times New Roman;sans-serif" w:hAnsi="Times New Roman;sans-serif"/>
          <w:b w:val="false"/>
          <w:color w:val="000000"/>
          <w:sz w:val="24"/>
          <w:u w:val="single"/>
        </w:rPr>
        <w:t>Required Filings Relating to Placement of Placement Shares</w:t>
      </w:r>
      <w:r>
        <w:rPr>
          <w:rFonts w:ascii="Times New Roman;sans-serif" w:hAnsi="Times New Roman;sans-serif"/>
          <w:b w:val="false"/>
          <w:color w:val="000000"/>
          <w:sz w:val="24"/>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sans-serif" w:hAnsi="Times New Roman;sans-serif"/>
          <w:b/>
          <w:color w:val="000000"/>
          <w:sz w:val="24"/>
          <w:u w:val="single"/>
        </w:rPr>
        <w:t>Filing Date</w:t>
      </w:r>
      <w:r>
        <w:rPr>
          <w:color w:val="000000"/>
        </w:rPr>
        <w:t>”</w:t>
      </w:r>
      <w:r>
        <w:rPr>
          <w:rFonts w:ascii="Times New Roman;sans-serif" w:hAnsi="Times New Roman;sans-serif"/>
          <w:b w:val="false"/>
          <w:color w:val="000000"/>
          <w:sz w:val="24"/>
        </w:rPr>
        <w: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TD Cowen under this Agreement, and the net proceeds to the Company from the sale of the Placement Shares and the issuance costs of the Company with respect to sales of the Placement Shares pursuant to this Agreement during the relevant quarter or, in the case of an Annual Report on Form 10-K, during the fiscal year covered by such Annual Report and the fourth quarter of such fiscal year.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(m) </w:t>
      </w:r>
      <w:r>
        <w:rPr>
          <w:color w:val="000000"/>
        </w:rPr>
        <w:t>    </w:t>
      </w:r>
      <w:r>
        <w:rPr>
          <w:rFonts w:ascii="Times New Roman;sans-serif" w:hAnsi="Times New Roman;sans-serif"/>
          <w:b w:val="false"/>
          <w:color w:val="000000"/>
          <w:sz w:val="24"/>
          <w:u w:val="single"/>
        </w:rPr>
        <w:t>Bring-Down Dates; Certificate</w:t>
      </w:r>
      <w:r>
        <w:rPr>
          <w:rFonts w:ascii="Times New Roman;sans-serif" w:hAnsi="Times New Roman;sans-serif"/>
          <w:b w:val="false"/>
          <w:color w:val="000000"/>
          <w:sz w:val="24"/>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Times New Roman;sans-serif" w:hAnsi="Times New Roman;sans-serif"/>
          <w:b w:val="false"/>
          <w:color w:val="000000"/>
          <w:sz w:val="24"/>
          <w:u w:val="single"/>
        </w:rPr>
        <w:t>Section 7(l)</w:t>
      </w:r>
      <w:r>
        <w:rPr>
          <w:color w:val="000000"/>
        </w:rPr>
        <w:t xml:space="preserve"> </w:t>
      </w:r>
      <w:r>
        <w:rPr>
          <w:rFonts w:ascii="Times New Roman;sans-serif" w:hAnsi="Times New Roman;sans-serif"/>
          <w:b w:val="false"/>
          <w:color w:val="000000"/>
          <w:sz w:val="24"/>
        </w:rPr>
        <w:t xml:space="preserve">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report on Form 8-K containing amended financial information (other than an earnings release or other financial information “furnished” pursuant to Items 2.02 or 7.01 of Form 8-K) under the Exchange Act (each date of filing of one or more of the documents referred to in clauses (i) through (iv) shall be a </w:t>
      </w:r>
      <w:r>
        <w:rPr>
          <w:rFonts w:ascii="Times New Roman;sans-serif" w:hAnsi="Times New Roman;sans-serif"/>
          <w:b/>
          <w:color w:val="000000"/>
          <w:sz w:val="24"/>
        </w:rPr>
        <w:t>"</w:t>
      </w:r>
      <w:r>
        <w:rPr>
          <w:rFonts w:ascii="Times New Roman;sans-serif" w:hAnsi="Times New Roman;sans-serif"/>
          <w:b/>
          <w:color w:val="000000"/>
          <w:sz w:val="24"/>
          <w:u w:val="single"/>
        </w:rPr>
        <w:t>Bring-Down Date</w:t>
      </w:r>
      <w:r>
        <w:rPr>
          <w:rFonts w:ascii="Times New Roman;sans-serif" w:hAnsi="Times New Roman;sans-serif"/>
          <w:b/>
          <w:color w:val="000000"/>
          <w:sz w:val="24"/>
        </w:rPr>
        <w:t>"</w:t>
      </w:r>
      <w:r>
        <w:rPr>
          <w:rFonts w:ascii="Times New Roman;sans-serif" w:hAnsi="Times New Roman;sans-serif"/>
          <w:b w:val="false"/>
          <w:color w:val="000000"/>
          <w:sz w:val="24"/>
        </w:rPr>
        <w:t xml:space="preserve">); the Company shall furnish TD Cowen with a certificate, in the form attached hereto as </w:t>
      </w:r>
      <w:r>
        <w:rPr>
          <w:rFonts w:ascii="Times New Roman;sans-serif" w:hAnsi="Times New Roman;sans-serif"/>
          <w:b w:val="false"/>
          <w:color w:val="000000"/>
          <w:sz w:val="24"/>
          <w:u w:val="single"/>
        </w:rPr>
        <w:t>Exhibit 7(m)</w:t>
      </w:r>
      <w:r>
        <w:rPr>
          <w:color w:val="000000"/>
        </w:rPr>
        <w:t xml:space="preserve"> </w:t>
      </w:r>
      <w:r>
        <w:rPr>
          <w:rFonts w:ascii="Times New Roman;sans-serif" w:hAnsi="Times New Roman;sans-serif"/>
          <w:b w:val="false"/>
          <w:color w:val="000000"/>
          <w:sz w:val="24"/>
        </w:rPr>
        <w:t xml:space="preserve">within three (3) Trading Days of any Bring-Down Date if requested by TD Cowen. The requirement to provide a certificate under this </w:t>
      </w:r>
      <w:r>
        <w:rPr>
          <w:rFonts w:ascii="Times New Roman;sans-serif" w:hAnsi="Times New Roman;sans-serif"/>
          <w:b w:val="false"/>
          <w:color w:val="000000"/>
          <w:sz w:val="24"/>
          <w:u w:val="single"/>
        </w:rPr>
        <w:t>Section 7(m)</w:t>
      </w:r>
      <w:r>
        <w:rPr>
          <w:color w:val="000000"/>
        </w:rPr>
        <w:t xml:space="preserve"> </w:t>
      </w:r>
      <w:r>
        <w:rPr>
          <w:rFonts w:ascii="Times New Roman;sans-serif" w:hAnsi="Times New Roman;sans-serif"/>
          <w:b w:val="false"/>
          <w:color w:val="000000"/>
          <w:sz w:val="24"/>
        </w:rPr>
        <w:t xml:space="preserve">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Notwithstanding the foregoing, if the Company subsequently decides to sell Placement Shares following a Bring-Down Date when the Company relied on such waiver and did not provide TD </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7025"/>
                <wp:effectExtent l="0" t="0" r="0" b="0"/>
                <wp:wrapNone/>
                <wp:docPr id="28" name="Frame2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Cowen with a certificate under this </w:t>
      </w:r>
      <w:r>
        <w:rPr>
          <w:rFonts w:ascii="Times New Roman;sans-serif" w:hAnsi="Times New Roman;sans-serif"/>
          <w:b w:val="false"/>
          <w:color w:val="000000"/>
          <w:sz w:val="24"/>
          <w:u w:val="single"/>
        </w:rPr>
        <w:t>Section 7(m)</w:t>
      </w:r>
      <w:r>
        <w:rPr>
          <w:rFonts w:ascii="Times New Roman;sans-serif" w:hAnsi="Times New Roman;sans-serif"/>
          <w:b w:val="false"/>
          <w:color w:val="000000"/>
          <w:sz w:val="24"/>
        </w:rPr>
        <w:t xml:space="preserve">, then before the Company delivers the Placement Notice or TD Cowen sells any Placement Shares, the Company shall provide TD Cowen with a certificate, in the form attached hereto as </w:t>
      </w:r>
      <w:r>
        <w:rPr>
          <w:rFonts w:ascii="Times New Roman;sans-serif" w:hAnsi="Times New Roman;sans-serif"/>
          <w:b w:val="false"/>
          <w:color w:val="000000"/>
          <w:sz w:val="24"/>
          <w:u w:val="single"/>
        </w:rPr>
        <w:t>Exhibit 7(m)</w:t>
      </w:r>
      <w:r>
        <w:rPr>
          <w:rFonts w:ascii="Times New Roman;sans-serif" w:hAnsi="Times New Roman;sans-serif"/>
          <w:b w:val="false"/>
          <w:color w:val="000000"/>
          <w:sz w:val="24"/>
        </w:rPr>
        <w:t>, dated the date of the Placement Notice.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(n) </w:t>
      </w:r>
      <w:r>
        <w:rPr>
          <w:color w:val="000000"/>
        </w:rPr>
        <w:t>    </w:t>
      </w:r>
      <w:r>
        <w:rPr>
          <w:rFonts w:ascii="Times New Roman;sans-serif" w:hAnsi="Times New Roman;sans-serif"/>
          <w:b w:val="false"/>
          <w:color w:val="000000"/>
          <w:sz w:val="24"/>
          <w:u w:val="single"/>
        </w:rPr>
        <w:t>Legal Opinion</w:t>
      </w:r>
      <w:r>
        <w:rPr>
          <w:rFonts w:ascii="Times New Roman;sans-serif" w:hAnsi="Times New Roman;sans-serif"/>
          <w:b w:val="false"/>
          <w:color w:val="000000"/>
          <w:sz w:val="24"/>
        </w:rPr>
        <w:t xml:space="preserve">. On or prior to the First Delivery Date and within three (3) Trading Days of each Bring-Down Date with respect to which the Company is obligated to deliver a certificate in the form attached hereto as </w:t>
      </w:r>
      <w:r>
        <w:rPr>
          <w:rFonts w:ascii="Times New Roman;sans-serif" w:hAnsi="Times New Roman;sans-serif"/>
          <w:b w:val="false"/>
          <w:color w:val="000000"/>
          <w:sz w:val="24"/>
          <w:u w:val="single"/>
        </w:rPr>
        <w:t>Exhibit 7(m)</w:t>
      </w:r>
      <w:r>
        <w:rPr>
          <w:color w:val="000000"/>
        </w:rPr>
        <w:t xml:space="preserve"> </w:t>
      </w:r>
      <w:r>
        <w:rPr>
          <w:rFonts w:ascii="Times New Roman;sans-serif" w:hAnsi="Times New Roman;sans-serif"/>
          <w:b w:val="false"/>
          <w:color w:val="000000"/>
          <w:sz w:val="24"/>
        </w:rPr>
        <w:t>for which no waiver is applicable, the Company shall cause to be furnished to TD Cowen a written opinion of (i) Fenwick &amp; West LLP (“</w:t>
      </w:r>
      <w:r>
        <w:rPr>
          <w:rFonts w:ascii="Times New Roman;sans-serif" w:hAnsi="Times New Roman;sans-serif"/>
          <w:b/>
          <w:color w:val="000000"/>
          <w:sz w:val="24"/>
          <w:u w:val="single"/>
        </w:rPr>
        <w:t>Company Counsel</w:t>
      </w:r>
      <w:r>
        <w:rPr>
          <w:color w:val="000000"/>
        </w:rPr>
        <w:t>”</w:t>
      </w:r>
      <w:r>
        <w:rPr>
          <w:rFonts w:ascii="Times New Roman;sans-serif" w:hAnsi="Times New Roman;sans-serif"/>
          <w:b w:val="false"/>
          <w:color w:val="000000"/>
          <w:sz w:val="24"/>
        </w:rPr>
        <w:t>), (ii) Bond, Schoeneck &amp; King PLLC, Intellectual Property counsel for the Company (“</w:t>
      </w:r>
      <w:r>
        <w:rPr>
          <w:rFonts w:ascii="Times New Roman;sans-serif" w:hAnsi="Times New Roman;sans-serif"/>
          <w:b/>
          <w:color w:val="000000"/>
          <w:sz w:val="24"/>
          <w:u w:val="single"/>
        </w:rPr>
        <w:t>IP Counsel</w:t>
      </w:r>
      <w:r>
        <w:rPr>
          <w:color w:val="000000"/>
        </w:rPr>
        <w:t>”</w:t>
      </w:r>
      <w:r>
        <w:rPr>
          <w:rFonts w:ascii="Times New Roman;sans-serif" w:hAnsi="Times New Roman;sans-serif"/>
          <w:b w:val="false"/>
          <w:color w:val="000000"/>
          <w:sz w:val="24"/>
        </w:rPr>
        <w:t>), (iii) McDermott Will &amp; Emery LLP, Regulatory counsel for the Company (“</w:t>
      </w:r>
      <w:r>
        <w:rPr>
          <w:rFonts w:ascii="Times New Roman;sans-serif" w:hAnsi="Times New Roman;sans-serif"/>
          <w:b/>
          <w:color w:val="000000"/>
          <w:sz w:val="24"/>
          <w:u w:val="single"/>
        </w:rPr>
        <w:t>Regulatory Counsel</w:t>
      </w:r>
      <w:r>
        <w:rPr>
          <w:color w:val="000000"/>
        </w:rPr>
        <w:t>”</w:t>
      </w:r>
      <w:r>
        <w:rPr>
          <w:rFonts w:ascii="Times New Roman;sans-serif" w:hAnsi="Times New Roman;sans-serif"/>
          <w:b w:val="false"/>
          <w:color w:val="000000"/>
          <w:sz w:val="24"/>
        </w:rPr>
        <w:t xml:space="preserve">), in form and substance reasonably satisfactory to TD Cowen and its counsel, dated the date that the opinion is required to be delivered;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in lieu of such opinions for subsequent Bring-Down Dates, counsel may furnish TD Cowen with a letter (a “</w:t>
      </w:r>
      <w:r>
        <w:rPr>
          <w:rFonts w:ascii="Times New Roman;sans-serif" w:hAnsi="Times New Roman;sans-serif"/>
          <w:b/>
          <w:color w:val="000000"/>
          <w:sz w:val="24"/>
          <w:u w:val="single"/>
        </w:rPr>
        <w:t>Reliance Letter</w:t>
      </w:r>
      <w:r>
        <w:rPr>
          <w:color w:val="000000"/>
        </w:rPr>
        <w:t>”</w:t>
      </w:r>
      <w:r>
        <w:rPr>
          <w:rFonts w:ascii="Times New Roman;sans-serif" w:hAnsi="Times New Roman;sans-serif"/>
          <w:b w:val="false"/>
          <w:color w:val="000000"/>
          <w:sz w:val="24"/>
        </w:rPr>
        <w:t xml:space="preserve">) to the effect that TD Cowen may rely on a prior opinion delivered under this </w:t>
      </w:r>
      <w:r>
        <w:rPr>
          <w:rFonts w:ascii="Times New Roman;sans-serif" w:hAnsi="Times New Roman;sans-serif"/>
          <w:b w:val="false"/>
          <w:color w:val="000000"/>
          <w:sz w:val="24"/>
          <w:u w:val="single"/>
        </w:rPr>
        <w:t>Section 7(n)</w:t>
      </w:r>
      <w:r>
        <w:rPr>
          <w:color w:val="000000"/>
        </w:rPr>
        <w:t xml:space="preserve"> </w:t>
      </w:r>
      <w:r>
        <w:rPr>
          <w:rFonts w:ascii="Times New Roman;sans-serif" w:hAnsi="Times New Roman;sans-serif"/>
          <w:b w:val="false"/>
          <w:color w:val="000000"/>
          <w:sz w:val="24"/>
        </w:rPr>
        <w:t xml:space="preserve">to the same extent as if it were dated the date of such letter (except that statements in such prior opinion shall be deemed to relate to the Registration Statement and the Prospectus as amended or supplemented at such Bring-Down Date).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(o) </w:t>
      </w:r>
      <w:r>
        <w:rPr>
          <w:color w:val="000000"/>
        </w:rPr>
        <w:t>    </w:t>
      </w:r>
      <w:r>
        <w:rPr>
          <w:rFonts w:ascii="Times New Roman;sans-serif" w:hAnsi="Times New Roman;sans-serif"/>
          <w:b w:val="false"/>
          <w:color w:val="000000"/>
          <w:sz w:val="24"/>
          <w:u w:val="single"/>
        </w:rPr>
        <w:t>Comfort Letter</w:t>
      </w:r>
      <w:r>
        <w:rPr>
          <w:rFonts w:ascii="Times New Roman;sans-serif" w:hAnsi="Times New Roman;sans-serif"/>
          <w:b w:val="false"/>
          <w:color w:val="000000"/>
          <w:sz w:val="24"/>
        </w:rPr>
        <w:t xml:space="preserve">. On or prior to the First Delivery Date and within three (3) Trading Days of each Bring-Down Date with respect to which the Company is obligated to deliver a certificate in the form attached hereto as </w:t>
      </w:r>
      <w:r>
        <w:rPr>
          <w:rFonts w:ascii="Times New Roman;sans-serif" w:hAnsi="Times New Roman;sans-serif"/>
          <w:b w:val="false"/>
          <w:color w:val="000000"/>
          <w:sz w:val="24"/>
          <w:u w:val="single"/>
        </w:rPr>
        <w:t>Exhibit 7(m)</w:t>
      </w:r>
      <w:r>
        <w:rPr>
          <w:color w:val="000000"/>
        </w:rPr>
        <w:t xml:space="preserve"> </w:t>
      </w:r>
      <w:r>
        <w:rPr>
          <w:rFonts w:ascii="Times New Roman;sans-serif" w:hAnsi="Times New Roman;sans-serif"/>
          <w:b w:val="false"/>
          <w:color w:val="000000"/>
          <w:sz w:val="24"/>
        </w:rPr>
        <w:t xml:space="preserve">for which no waiver is applicable, the Company shall cause its independent accountants to furnish TD Cowen letters (the </w:t>
      </w:r>
      <w:r>
        <w:rPr>
          <w:rFonts w:ascii="Times New Roman;sans-serif" w:hAnsi="Times New Roman;sans-serif"/>
          <w:b/>
          <w:color w:val="000000"/>
          <w:sz w:val="24"/>
        </w:rPr>
        <w:t>"</w:t>
      </w:r>
      <w:r>
        <w:rPr>
          <w:rFonts w:ascii="Times New Roman;sans-serif" w:hAnsi="Times New Roman;sans-serif"/>
          <w:b/>
          <w:color w:val="000000"/>
          <w:sz w:val="24"/>
          <w:u w:val="single"/>
        </w:rPr>
        <w:t>Comfort Letters</w:t>
      </w:r>
      <w:r>
        <w:rPr>
          <w:rFonts w:ascii="Times New Roman;sans-serif" w:hAnsi="Times New Roman;sans-serif"/>
          <w:b/>
          <w:color w:val="000000"/>
          <w:sz w:val="24"/>
        </w:rPr>
        <w:t>"</w:t>
      </w:r>
      <w:r>
        <w:rPr>
          <w:rFonts w:ascii="Times New Roman;sans-serif" w:hAnsi="Times New Roman;sans-serif"/>
          <w:b w:val="false"/>
          <w:color w:val="000000"/>
          <w:sz w:val="24"/>
        </w:rPr>
        <w:t xml:space="preserve">), dated the date the Comfort Letter is delivered, in form and substance satisfactory to TD Cowen, (i) confirming that they are an independent registered public accounting firm within the meaning of the Securities Act and the Public Company Accounting Oversight Board, (ii) stating, as of such date, the conclusions and findings of such firm with respect to the financial information and other matters ordinarily covered by accountants’ “comfort letters” to TD Cowen in connection with registered public offerings (the first such letter, the </w:t>
      </w:r>
      <w:r>
        <w:rPr>
          <w:color w:val="000000"/>
        </w:rPr>
        <w:t>“</w:t>
      </w:r>
      <w:r>
        <w:rPr>
          <w:rFonts w:ascii="Times New Roman;sans-serif" w:hAnsi="Times New Roman;sans-serif"/>
          <w:b/>
          <w:color w:val="000000"/>
          <w:sz w:val="24"/>
          <w:u w:val="single"/>
        </w:rPr>
        <w:t>Initial Comfort Letter</w:t>
      </w:r>
      <w:r>
        <w:rPr>
          <w:color w:val="000000"/>
        </w:rPr>
        <w:t>”</w:t>
      </w:r>
      <w:r>
        <w:rPr>
          <w:rFonts w:ascii="Times New Roman;sans-serif" w:hAnsi="Times New Roman;sans-serif"/>
          <w:b w:val="false"/>
          <w:color w:val="000000"/>
          <w:sz w:val="24"/>
        </w:rPr>
        <w:t xml:space="preserve">)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the Company shall not be required to furnish more than one Comfort Letter hereunder in connection with each filing of an annual report on Form 10-K or a quarterly report on Form 10-Q.</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(p) </w:t>
      </w:r>
      <w:r>
        <w:rPr>
          <w:color w:val="000000"/>
        </w:rPr>
        <w:t>    </w:t>
      </w:r>
      <w:r>
        <w:rPr>
          <w:rFonts w:ascii="Times New Roman;sans-serif" w:hAnsi="Times New Roman;sans-serif"/>
          <w:b w:val="false"/>
          <w:color w:val="000000"/>
          <w:sz w:val="24"/>
          <w:u w:val="single"/>
        </w:rPr>
        <w:t>Chief Financial Officer’s Certificate</w:t>
      </w:r>
      <w:r>
        <w:rPr>
          <w:rFonts w:ascii="Times New Roman;sans-serif" w:hAnsi="Times New Roman;sans-serif"/>
          <w:b w:val="false"/>
          <w:color w:val="000000"/>
          <w:sz w:val="24"/>
        </w:rPr>
        <w:t>. If requested by TD Cowen or its counsel, on or prior to the First Delivery Date and within three (3) Trading Days of each Bring-Down Date with respect to which the Company is obligated to deliver a certificate in the form attached hereto as Exhibit 7(p) for which no waiver is applicable, the Company shall have delivered to TD Cowen a certificate executed by the Chief Financial Officer of the Company (“</w:t>
      </w:r>
      <w:r>
        <w:rPr>
          <w:rFonts w:ascii="Times New Roman;sans-serif" w:hAnsi="Times New Roman;sans-serif"/>
          <w:b/>
          <w:color w:val="000000"/>
          <w:sz w:val="24"/>
          <w:u w:val="single"/>
        </w:rPr>
        <w:t>CFO Certificate</w:t>
      </w:r>
      <w:r>
        <w:rPr>
          <w:color w:val="000000"/>
        </w:rPr>
        <w:t>”</w:t>
      </w:r>
      <w:r>
        <w:rPr>
          <w:rFonts w:ascii="Times New Roman;sans-serif" w:hAnsi="Times New Roman;sans-serif"/>
          <w:b w:val="false"/>
          <w:color w:val="000000"/>
          <w:sz w:val="24"/>
        </w:rPr>
        <w:t>), dated as of such date, in form and substance satisfactory to TD Cowen.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(q) </w:t>
      </w:r>
      <w:r>
        <w:rPr>
          <w:rFonts w:ascii="Times New Roman;sans-serif" w:hAnsi="Times New Roman;sans-serif"/>
          <w:b w:val="false"/>
          <w:color w:val="000000"/>
          <w:sz w:val="24"/>
          <w:u w:val="single"/>
        </w:rPr>
        <w:t>Market Activities</w:t>
      </w:r>
      <w:r>
        <w:rPr>
          <w:rFonts w:ascii="Times New Roman;sans-serif" w:hAnsi="Times New Roman;sans-serif"/>
          <w:b w:val="false"/>
          <w:color w:val="000000"/>
          <w:sz w:val="24"/>
        </w:rPr>
        <w:t xml:space="preserve">. The Company will not, directly or indirectly, (i) take any action designed to cause or result in, or that constitutes or might reasonably be expected to </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7025"/>
                <wp:effectExtent l="0" t="0" r="0" b="0"/>
                <wp:wrapNone/>
                <wp:docPr id="29" name="Frame2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TD Cowen;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the Company may bid for and purchase shares of its common stock in accordance with Rule 10b-18 under the Exchange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(r) </w:t>
      </w:r>
      <w:r>
        <w:rPr>
          <w:color w:val="000000"/>
        </w:rPr>
        <w:t>    </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The Company and its subsidiaries shall maintain, or cause to be maintained, insurance in such amounts and covering such risks as is reasonable and customary for the business for which it is engaged.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 </w:t>
      </w:r>
      <w:r>
        <w:rPr>
          <w:color w:val="000000"/>
        </w:rPr>
        <w:t>    </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 </w:t>
      </w:r>
      <w:r>
        <w:rPr>
          <w:color w:val="000000"/>
        </w:rPr>
        <w:t>    </w:t>
      </w:r>
      <w:r>
        <w:rPr>
          <w:rFonts w:ascii="Times New Roman;sans-serif" w:hAnsi="Times New Roman;sans-serif"/>
          <w:b w:val="false"/>
          <w:color w:val="000000"/>
          <w:sz w:val="24"/>
          <w:u w:val="single"/>
        </w:rPr>
        <w:t>Investment Company Act</w:t>
      </w:r>
      <w:r>
        <w:rPr>
          <w:rFonts w:ascii="Times New Roman;sans-serif" w:hAnsi="Times New Roman;sans-serif"/>
          <w:b w:val="false"/>
          <w:color w:val="000000"/>
          <w:sz w:val="24"/>
        </w:rPr>
        <w:t>. The Company will conduct its affairs in such a manner so as to reasonably ensure that neither it nor its subsidiaries will be or become, at any time prior to the termination of this Agreement, required to register as an “investment company,” as such term is defined in the Investment Company Act, assuming no change in the Commission’s current interpretation as to entities that are not considered an investment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(u) </w:t>
      </w:r>
      <w:r>
        <w:rPr>
          <w:color w:val="000000"/>
        </w:rPr>
        <w:t>    </w:t>
      </w:r>
      <w:r>
        <w:rPr>
          <w:rFonts w:ascii="Times New Roman;sans-serif" w:hAnsi="Times New Roman;sans-serif"/>
          <w:b w:val="false"/>
          <w:color w:val="000000"/>
          <w:sz w:val="24"/>
          <w:u w:val="single"/>
        </w:rPr>
        <w:t>Securities Act and Exchange Act</w:t>
      </w:r>
      <w:r>
        <w:rPr>
          <w:rFonts w:ascii="Times New Roman;sans-serif" w:hAnsi="Times New Roman;sans-serif"/>
          <w:b w:val="false"/>
          <w:color w:val="000000"/>
          <w:sz w:val="24"/>
        </w:rPr>
        <w:t>. The Company will use its commercially reasonable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 </w:t>
      </w:r>
      <w:r>
        <w:rPr>
          <w:color w:val="000000"/>
        </w:rPr>
        <w:t>    </w:t>
      </w:r>
      <w:r>
        <w:rPr>
          <w:rFonts w:ascii="Times New Roman;sans-serif" w:hAnsi="Times New Roman;sans-serif"/>
          <w:b w:val="false"/>
          <w:color w:val="000000"/>
          <w:sz w:val="24"/>
          <w:u w:val="single"/>
        </w:rPr>
        <w:t>No Offer to Sell</w:t>
      </w:r>
      <w:r>
        <w:rPr>
          <w:rFonts w:ascii="Times New Roman;sans-serif" w:hAnsi="Times New Roman;sans-serif"/>
          <w:b w:val="false"/>
          <w:color w:val="000000"/>
          <w:sz w:val="24"/>
        </w:rPr>
        <w:t>. Other than the Prospectus or a Permitted Free Writing Prospectus, neither TD Cowen nor the Company (including its agents and representatives, other than TD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 </w:t>
      </w:r>
      <w:r>
        <w:rPr>
          <w:color w:val="000000"/>
        </w:rPr>
        <w:t>    </w:t>
      </w:r>
      <w:r>
        <w:rPr>
          <w:rFonts w:ascii="Times New Roman;sans-serif" w:hAnsi="Times New Roman;sans-serif"/>
          <w:b w:val="false"/>
          <w:color w:val="000000"/>
          <w:sz w:val="24"/>
          <w:u w:val="single"/>
        </w:rPr>
        <w:t>Sarbanes-Oxley Act</w:t>
      </w:r>
      <w:r>
        <w:rPr>
          <w:rFonts w:ascii="Times New Roman;sans-serif" w:hAnsi="Times New Roman;sans-serif"/>
          <w:b w:val="false"/>
          <w:color w:val="000000"/>
          <w:sz w:val="24"/>
        </w:rPr>
        <w:t>. The Company and its subsidiaries will use their commercially reasonable efforts to comply with all effective applicable provisions of the Sarbanes-Oxley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(x) </w:t>
      </w:r>
      <w:r>
        <w:rPr>
          <w:color w:val="000000"/>
        </w:rPr>
        <w:t>    </w:t>
      </w:r>
      <w:r>
        <w:rPr>
          <w:rFonts w:ascii="Times New Roman;sans-serif" w:hAnsi="Times New Roman;sans-serif"/>
          <w:b w:val="false"/>
          <w:color w:val="000000"/>
          <w:sz w:val="24"/>
          <w:u w:val="single"/>
        </w:rPr>
        <w:t>Affirmation</w:t>
      </w:r>
      <w:r>
        <w:rPr>
          <w:rFonts w:ascii="Times New Roman;sans-serif" w:hAnsi="Times New Roman;sans-serif"/>
          <w:b w:val="false"/>
          <w:color w:val="000000"/>
          <w:sz w:val="24"/>
        </w:rPr>
        <w:t xml:space="preserve">. Each Placement Notice delivered by the Company to TD Cowen shall be deemed to be (i) an affirmation that the representations, warranties and agreements of the Company herein contained and contained in any certificate delivered to TD </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7025"/>
                <wp:effectExtent l="0" t="0" r="0" b="0"/>
                <wp:wrapNone/>
                <wp:docPr id="30" name="Frame2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(y) </w:t>
      </w:r>
      <w:r>
        <w:rPr>
          <w:color w:val="000000"/>
        </w:rPr>
        <w:t>    </w:t>
      </w:r>
      <w:r>
        <w:rPr>
          <w:rFonts w:ascii="Times New Roman;sans-serif" w:hAnsi="Times New Roman;sans-serif"/>
          <w:b w:val="false"/>
          <w:color w:val="000000"/>
          <w:sz w:val="24"/>
          <w:u w:val="single"/>
        </w:rPr>
        <w:t>Renewal</w:t>
      </w:r>
      <w:r>
        <w:rPr>
          <w:rFonts w:ascii="Times New Roman;sans-serif" w:hAnsi="Times New Roman;sans-serif"/>
          <w:b w:val="false"/>
          <w:color w:val="000000"/>
          <w:sz w:val="24"/>
        </w:rPr>
        <w:t>. If immediately prior to the third anniversary (the “</w:t>
      </w:r>
      <w:r>
        <w:rPr>
          <w:rFonts w:ascii="Times New Roman;sans-serif" w:hAnsi="Times New Roman;sans-serif"/>
          <w:b/>
          <w:color w:val="000000"/>
          <w:sz w:val="24"/>
          <w:u w:val="single"/>
        </w:rPr>
        <w:t>Renewal Deadline</w:t>
      </w:r>
      <w:r>
        <w:rPr>
          <w:color w:val="000000"/>
        </w:rPr>
        <w:t>”</w:t>
      </w:r>
      <w:r>
        <w:rPr>
          <w:rFonts w:ascii="Times New Roman;sans-serif" w:hAnsi="Times New Roman;sans-serif"/>
          <w:b w:val="false"/>
          <w:color w:val="000000"/>
          <w:sz w:val="24"/>
        </w:rPr>
        <w:t>) of the initial effective date of the Registration Statement, the aggregate gross sales price of Placement Shares sold by the Company is less than the Maximum Amount and this Agreement has not expired or been terminated, the Company will, prior to the Renewal Deadline, file, if it has not already done so and is eligible to do so, a new shelf registration statement relating to the Placement Shares, in a form satisfactory to TD Cowen, and, if not automatically effective, will use its best efforts to cause such registration statement to be declared effective within 90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Conditions to TD Cowen’s Obligations</w:t>
      </w:r>
      <w:r>
        <w:rPr>
          <w:rFonts w:ascii="Times New Roman;sans-serif" w:hAnsi="Times New Roman;sans-serif"/>
          <w:b w:val="false"/>
          <w:color w:val="000000"/>
          <w:sz w:val="24"/>
        </w:rPr>
        <w:t>. The obligations of TD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TD Cowen of a due diligence review satisfactory to TD Cowen in its reasonable judgment, and to the continuing satisfaction (or waiver by TD Cowen in its sole discretion) of the following additional conditions: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color w:val="000000"/>
        </w:rPr>
        <w:t>    </w:t>
      </w:r>
      <w:r>
        <w:rPr>
          <w:rFonts w:ascii="Times New Roman;sans-serif" w:hAnsi="Times New Roman;sans-serif"/>
          <w:b w:val="false"/>
          <w:color w:val="000000"/>
          <w:sz w:val="24"/>
          <w:u w:val="single"/>
        </w:rPr>
        <w:t>Registration Statement Effective</w:t>
      </w:r>
      <w:r>
        <w:rPr>
          <w:rFonts w:ascii="Times New Roman;sans-serif" w:hAnsi="Times New Roman;sans-serif"/>
          <w:b w:val="false"/>
          <w:color w:val="000000"/>
          <w:sz w:val="24"/>
        </w:rPr>
        <w:t>. The Registration Statement shall be effective and shall be available for (i) all sales of Placement Shares issued pursuant to all prior Placement Notices and (ii) the sale of all Placement Shares contemplated to be issued pursuant to any Placement Notice.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color w:val="000000"/>
        </w:rPr>
        <w:t>    </w:t>
      </w:r>
      <w:r>
        <w:rPr>
          <w:rFonts w:ascii="Times New Roman;sans-serif" w:hAnsi="Times New Roman;sans-serif"/>
          <w:b w:val="false"/>
          <w:color w:val="000000"/>
          <w:sz w:val="24"/>
          <w:u w:val="single"/>
        </w:rPr>
        <w:t>No Material Notices</w:t>
      </w:r>
      <w:r>
        <w:rPr>
          <w:rFonts w:ascii="Times New Roman;sans-serif" w:hAnsi="Times New Roman;sans-serif"/>
          <w:b w:val="false"/>
          <w:color w:val="000000"/>
          <w:sz w:val="24"/>
        </w:rPr>
        <w:t xml:space="preserve">.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7025"/>
                <wp:effectExtent l="0" t="0" r="0" b="0"/>
                <wp:wrapNone/>
                <wp:docPr id="31" name="Frame3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color w:val="000000"/>
        </w:rPr>
        <w:t>    </w:t>
      </w:r>
      <w:r>
        <w:rPr>
          <w:rFonts w:ascii="Times New Roman;sans-serif" w:hAnsi="Times New Roman;sans-serif"/>
          <w:b w:val="false"/>
          <w:color w:val="000000"/>
          <w:sz w:val="24"/>
          <w:u w:val="single"/>
        </w:rPr>
        <w:t>No Misstatement or Material Omission</w:t>
      </w:r>
      <w:r>
        <w:rPr>
          <w:rFonts w:ascii="Times New Roman;sans-serif" w:hAnsi="Times New Roman;sans-serif"/>
          <w:b w:val="false"/>
          <w:color w:val="000000"/>
          <w:sz w:val="24"/>
        </w:rPr>
        <w:t>. TD Cowen shall not have advised the Company that the Registration Statement or Prospectus, or any amendment or supplement thereto, contains an untrue statement of fact that in TD Cowen’s reasonable opinion is material, or omits to state a fact that in TD Cowen’s reasonable opinion is material and is required to be stated therein or is necessary to make the statements therein not misleading.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 </w:t>
      </w:r>
      <w:r>
        <w:rPr>
          <w:color w:val="000000"/>
        </w:rPr>
        <w:t>    </w:t>
      </w:r>
      <w:r>
        <w:rPr>
          <w:rFonts w:ascii="Times New Roman;sans-serif" w:hAnsi="Times New Roman;sans-serif"/>
          <w:b w:val="false"/>
          <w:color w:val="000000"/>
          <w:sz w:val="24"/>
          <w:u w:val="single"/>
        </w:rPr>
        <w:t>Material Changes</w:t>
      </w:r>
      <w:r>
        <w:rPr>
          <w:rFonts w:ascii="Times New Roman;sans-serif" w:hAnsi="Times New Roman;sans-serif"/>
          <w:b w:val="false"/>
          <w:color w:val="000000"/>
          <w:sz w:val="24"/>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TD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 </w:t>
      </w:r>
      <w:r>
        <w:rPr>
          <w:color w:val="000000"/>
        </w:rPr>
        <w:t>    </w:t>
      </w:r>
      <w:r>
        <w:rPr>
          <w:rFonts w:ascii="Times New Roman;sans-serif" w:hAnsi="Times New Roman;sans-serif"/>
          <w:b w:val="false"/>
          <w:color w:val="000000"/>
          <w:sz w:val="24"/>
          <w:u w:val="single"/>
        </w:rPr>
        <w:t>Company Counsel Legal Opinion</w:t>
      </w:r>
      <w:r>
        <w:rPr>
          <w:rFonts w:ascii="Times New Roman;sans-serif" w:hAnsi="Times New Roman;sans-serif"/>
          <w:b w:val="false"/>
          <w:color w:val="000000"/>
          <w:sz w:val="24"/>
        </w:rPr>
        <w:t xml:space="preserve">. TD Cowen shall have received the opinions of Company Counsel, IP Counsel and Regulatory Counsel required to be delivered pursuant to </w:t>
      </w:r>
      <w:r>
        <w:rPr>
          <w:rFonts w:ascii="Times New Roman;sans-serif" w:hAnsi="Times New Roman;sans-serif"/>
          <w:b w:val="false"/>
          <w:color w:val="000000"/>
          <w:sz w:val="24"/>
          <w:u w:val="single"/>
        </w:rPr>
        <w:t>Section 7(n)</w:t>
      </w:r>
      <w:r>
        <w:rPr>
          <w:color w:val="000000"/>
        </w:rPr>
        <w:t xml:space="preserve"> </w:t>
      </w:r>
      <w:r>
        <w:rPr>
          <w:rFonts w:ascii="Times New Roman;sans-serif" w:hAnsi="Times New Roman;sans-serif"/>
          <w:b w:val="false"/>
          <w:color w:val="000000"/>
          <w:sz w:val="24"/>
        </w:rPr>
        <w:t xml:space="preserve">on or before the date on which such delivery of such opinion is required pursuant to </w:t>
      </w:r>
      <w:r>
        <w:rPr>
          <w:rFonts w:ascii="Times New Roman;sans-serif" w:hAnsi="Times New Roman;sans-serif"/>
          <w:b w:val="false"/>
          <w:color w:val="000000"/>
          <w:sz w:val="24"/>
          <w:u w:val="single"/>
        </w:rPr>
        <w:t>Section 7(n)</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(f) </w:t>
      </w:r>
      <w:r>
        <w:rPr>
          <w:color w:val="000000"/>
        </w:rPr>
        <w:t>    </w:t>
      </w:r>
      <w:r>
        <w:rPr>
          <w:rFonts w:ascii="Times New Roman;sans-serif" w:hAnsi="Times New Roman;sans-serif"/>
          <w:b w:val="false"/>
          <w:color w:val="000000"/>
          <w:sz w:val="24"/>
          <w:u w:val="single"/>
        </w:rPr>
        <w:t>TD Cowen Counsel Legal Opinion</w:t>
      </w:r>
      <w:r>
        <w:rPr>
          <w:rFonts w:ascii="Times New Roman;sans-serif" w:hAnsi="Times New Roman;sans-serif"/>
          <w:b w:val="false"/>
          <w:color w:val="000000"/>
          <w:sz w:val="24"/>
        </w:rPr>
        <w:t xml:space="preserve">. TD Cowen shall have received from DLA Piper LLP (US), counsel for TD Cowen, such opinion or opinions, on or before the date on which the delivery of the Company Counsel, IP Counsel and Regulatory Counsel legal opinions are required pursuant to </w:t>
      </w:r>
      <w:r>
        <w:rPr>
          <w:rFonts w:ascii="Times New Roman;sans-serif" w:hAnsi="Times New Roman;sans-serif"/>
          <w:b w:val="false"/>
          <w:color w:val="000000"/>
          <w:sz w:val="24"/>
          <w:u w:val="single"/>
        </w:rPr>
        <w:t>Section 7(n)</w:t>
      </w:r>
      <w:r>
        <w:rPr>
          <w:rFonts w:ascii="Times New Roman;sans-serif" w:hAnsi="Times New Roman;sans-serif"/>
          <w:b w:val="false"/>
          <w:color w:val="000000"/>
          <w:sz w:val="24"/>
        </w:rPr>
        <w:t>, with respect to such matters as TD Cowen may reasonably require, and the Company shall have furnished to such counsel such documents as they request for enabling them to pass upon such matters.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(g) </w:t>
      </w:r>
      <w:r>
        <w:rPr>
          <w:color w:val="000000"/>
        </w:rPr>
        <w:t>    </w:t>
      </w:r>
      <w:r>
        <w:rPr>
          <w:rFonts w:ascii="Times New Roman;sans-serif" w:hAnsi="Times New Roman;sans-serif"/>
          <w:b w:val="false"/>
          <w:color w:val="000000"/>
          <w:sz w:val="24"/>
          <w:u w:val="single"/>
        </w:rPr>
        <w:t>Comfort Letter</w:t>
      </w:r>
      <w:r>
        <w:rPr>
          <w:rFonts w:ascii="Times New Roman;sans-serif" w:hAnsi="Times New Roman;sans-serif"/>
          <w:b w:val="false"/>
          <w:color w:val="000000"/>
          <w:sz w:val="24"/>
        </w:rPr>
        <w:t xml:space="preserve">. TD Cowen shall have received the Comfort Letter required to be delivered pursuant to </w:t>
      </w:r>
      <w:r>
        <w:rPr>
          <w:rFonts w:ascii="Times New Roman;sans-serif" w:hAnsi="Times New Roman;sans-serif"/>
          <w:b w:val="false"/>
          <w:color w:val="000000"/>
          <w:sz w:val="24"/>
          <w:u w:val="single"/>
        </w:rPr>
        <w:t>Section 7(o)</w:t>
      </w:r>
      <w:r>
        <w:rPr>
          <w:color w:val="000000"/>
        </w:rPr>
        <w:t xml:space="preserve"> </w:t>
      </w:r>
      <w:r>
        <w:rPr>
          <w:rFonts w:ascii="Times New Roman;sans-serif" w:hAnsi="Times New Roman;sans-serif"/>
          <w:b w:val="false"/>
          <w:color w:val="000000"/>
          <w:sz w:val="24"/>
        </w:rPr>
        <w:t xml:space="preserve">on or before the date on which such delivery of such Comfort Letter is required pursuant to </w:t>
      </w:r>
      <w:r>
        <w:rPr>
          <w:rFonts w:ascii="Times New Roman;sans-serif" w:hAnsi="Times New Roman;sans-serif"/>
          <w:b w:val="false"/>
          <w:color w:val="000000"/>
          <w:sz w:val="24"/>
          <w:u w:val="single"/>
        </w:rPr>
        <w:t>Section 7(o)</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(h) </w:t>
      </w:r>
      <w:r>
        <w:rPr>
          <w:color w:val="000000"/>
        </w:rPr>
        <w:t>    </w:t>
      </w:r>
      <w:r>
        <w:rPr>
          <w:rFonts w:ascii="Times New Roman;sans-serif" w:hAnsi="Times New Roman;sans-serif"/>
          <w:b w:val="false"/>
          <w:color w:val="000000"/>
          <w:sz w:val="24"/>
          <w:u w:val="single"/>
        </w:rPr>
        <w:t>Representation Certificate</w:t>
      </w:r>
      <w:r>
        <w:rPr>
          <w:rFonts w:ascii="Times New Roman;sans-serif" w:hAnsi="Times New Roman;sans-serif"/>
          <w:b w:val="false"/>
          <w:color w:val="000000"/>
          <w:sz w:val="24"/>
        </w:rPr>
        <w:t xml:space="preserve">. TD Cowen shall have received the certificate required to be delivered pursuant to </w:t>
      </w:r>
      <w:r>
        <w:rPr>
          <w:rFonts w:ascii="Times New Roman;sans-serif" w:hAnsi="Times New Roman;sans-serif"/>
          <w:b w:val="false"/>
          <w:color w:val="000000"/>
          <w:sz w:val="24"/>
          <w:u w:val="single"/>
        </w:rPr>
        <w:t>Section 7(m)</w:t>
      </w:r>
      <w:r>
        <w:rPr>
          <w:color w:val="000000"/>
        </w:rPr>
        <w:t xml:space="preserve"> </w:t>
      </w:r>
      <w:r>
        <w:rPr>
          <w:rFonts w:ascii="Times New Roman;sans-serif" w:hAnsi="Times New Roman;sans-serif"/>
          <w:b w:val="false"/>
          <w:color w:val="000000"/>
          <w:sz w:val="24"/>
        </w:rPr>
        <w:t xml:space="preserve">on or before the date on which delivery of such certificate is required pursuant to </w:t>
      </w:r>
      <w:r>
        <w:rPr>
          <w:rFonts w:ascii="Times New Roman;sans-serif" w:hAnsi="Times New Roman;sans-serif"/>
          <w:b w:val="false"/>
          <w:color w:val="000000"/>
          <w:sz w:val="24"/>
          <w:u w:val="single"/>
        </w:rPr>
        <w:t>Section 7(m)</w:t>
      </w:r>
      <w:r>
        <w:rPr>
          <w:rFonts w:ascii="Times New Roman;sans-serif" w:hAnsi="Times New Roman;sans-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7025"/>
                <wp:effectExtent l="0" t="0" r="0" b="0"/>
                <wp:wrapNone/>
                <wp:docPr id="32" name="Frame3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 </w:t>
      </w:r>
      <w:r>
        <w:rPr>
          <w:color w:val="000000"/>
        </w:rPr>
        <w:t>    </w:t>
      </w:r>
      <w:r>
        <w:rPr>
          <w:rFonts w:ascii="Times New Roman;sans-serif" w:hAnsi="Times New Roman;sans-serif"/>
          <w:b w:val="false"/>
          <w:color w:val="000000"/>
          <w:sz w:val="24"/>
          <w:u w:val="single"/>
        </w:rPr>
        <w:t>Secretary’s Certificate</w:t>
      </w:r>
      <w:r>
        <w:rPr>
          <w:rFonts w:ascii="Times New Roman;sans-serif" w:hAnsi="Times New Roman;sans-serif"/>
          <w:b w:val="false"/>
          <w:color w:val="000000"/>
          <w:sz w:val="24"/>
        </w:rPr>
        <w:t>. On or prior to the First Delivery Date, TD Cowen shall have received a certificate, signed on behalf of the Company by its corporate secretary, in form and substance satisfactory to TD Cowen and its counsel.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(j) </w:t>
      </w:r>
      <w:r>
        <w:rPr>
          <w:color w:val="000000"/>
        </w:rPr>
        <w:t>    </w:t>
      </w:r>
      <w:r>
        <w:rPr>
          <w:rFonts w:ascii="Times New Roman;sans-serif" w:hAnsi="Times New Roman;sans-serif"/>
          <w:b w:val="false"/>
          <w:color w:val="000000"/>
          <w:sz w:val="24"/>
          <w:u w:val="single"/>
        </w:rPr>
        <w:t>CFO Certificate</w:t>
      </w:r>
      <w:r>
        <w:rPr>
          <w:rFonts w:ascii="Times New Roman;sans-serif" w:hAnsi="Times New Roman;sans-serif"/>
          <w:b w:val="false"/>
          <w:color w:val="000000"/>
          <w:sz w:val="24"/>
        </w:rPr>
        <w:t>. If requested by TD Cowen or its counsel, TD Cowen shall have received the CFO Certificate required to be delivered pursuant to Section 7(p) on or before the date on which delivery of such certificate is required pursuant to Section 7(p).</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(k) </w:t>
      </w:r>
      <w:r>
        <w:rPr>
          <w:color w:val="000000"/>
        </w:rPr>
        <w:t>    </w:t>
      </w:r>
      <w:r>
        <w:rPr>
          <w:rFonts w:ascii="Times New Roman;sans-serif" w:hAnsi="Times New Roman;sans-serif"/>
          <w:b w:val="false"/>
          <w:color w:val="000000"/>
          <w:sz w:val="24"/>
          <w:u w:val="single"/>
        </w:rPr>
        <w:t>No Suspension</w:t>
      </w:r>
      <w:r>
        <w:rPr>
          <w:rFonts w:ascii="Times New Roman;sans-serif" w:hAnsi="Times New Roman;sans-serif"/>
          <w:b w:val="false"/>
          <w:color w:val="000000"/>
          <w:sz w:val="24"/>
        </w:rPr>
        <w:t>. Trading in the Common Stock shall not have been suspended on Nasdaq.</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(l) </w:t>
      </w:r>
      <w:r>
        <w:rPr>
          <w:color w:val="000000"/>
        </w:rPr>
        <w:t>    </w:t>
      </w:r>
      <w:r>
        <w:rPr>
          <w:rFonts w:ascii="Times New Roman;sans-serif" w:hAnsi="Times New Roman;sans-serif"/>
          <w:b w:val="false"/>
          <w:color w:val="000000"/>
          <w:sz w:val="24"/>
          <w:u w:val="single"/>
        </w:rPr>
        <w:t>Other Materials</w:t>
      </w:r>
      <w:r>
        <w:rPr>
          <w:rFonts w:ascii="Times New Roman;sans-serif" w:hAnsi="Times New Roman;sans-serif"/>
          <w:b w:val="false"/>
          <w:color w:val="000000"/>
          <w:sz w:val="24"/>
        </w:rPr>
        <w:t xml:space="preserve">. On each date on which the Company is required to deliver a certificate pursuant to </w:t>
      </w:r>
      <w:r>
        <w:rPr>
          <w:rFonts w:ascii="Times New Roman;sans-serif" w:hAnsi="Times New Roman;sans-serif"/>
          <w:b w:val="false"/>
          <w:color w:val="000000"/>
          <w:sz w:val="24"/>
          <w:u w:val="single"/>
        </w:rPr>
        <w:t>Section 7(m)</w:t>
      </w:r>
      <w:r>
        <w:rPr>
          <w:rFonts w:ascii="Times New Roman;sans-serif" w:hAnsi="Times New Roman;sans-serif"/>
          <w:b w:val="false"/>
          <w:color w:val="000000"/>
          <w:sz w:val="24"/>
        </w:rPr>
        <w:t>, the Company shall have furnished to TD Cowen such appropriate further information, certificates and documents as TD Cowen may have reasonably requested. All such opinions, certificates, letters and other documents shall have been in compliance with the provisions hereof. The Company will furnish TD Cowen with such conformed copies of such opinions, certificates, letters and other documents as TD Cowen shall have reasonably requested.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(m) </w:t>
      </w:r>
      <w:r>
        <w:rPr>
          <w:color w:val="000000"/>
        </w:rPr>
        <w:t>    </w:t>
      </w:r>
      <w:r>
        <w:rPr>
          <w:rFonts w:ascii="Times New Roman;sans-serif" w:hAnsi="Times New Roman;sans-serif"/>
          <w:b w:val="false"/>
          <w:color w:val="000000"/>
          <w:sz w:val="24"/>
          <w:u w:val="single"/>
        </w:rPr>
        <w:t>Securities Act Filings Made</w:t>
      </w:r>
      <w:r>
        <w:rPr>
          <w:rFonts w:ascii="Times New Roman;sans-serif" w:hAnsi="Times New Roman;sans-serif"/>
          <w:b w:val="false"/>
          <w:color w:val="000000"/>
          <w:sz w:val="24"/>
        </w:rPr>
        <w:t>. All filings with the Commission required by Rule 424 under the Securities Act to have been filed prior to the issuance of any Placement Notice hereunder shall have been made within the applicable time period prescribed for such filing by Rule 424.</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(n) </w:t>
      </w:r>
      <w:r>
        <w:rPr>
          <w:color w:val="000000"/>
        </w:rPr>
        <w:t>    </w:t>
      </w:r>
      <w:r>
        <w:rPr>
          <w:rFonts w:ascii="Times New Roman;sans-serif" w:hAnsi="Times New Roman;sans-serif"/>
          <w:b w:val="false"/>
          <w:color w:val="000000"/>
          <w:sz w:val="24"/>
          <w:u w:val="single"/>
        </w:rPr>
        <w:t>Approval for Listing</w:t>
      </w:r>
      <w:r>
        <w:rPr>
          <w:rFonts w:ascii="Times New Roman;sans-serif" w:hAnsi="Times New Roman;sans-serif"/>
          <w:b w:val="false"/>
          <w:color w:val="000000"/>
          <w:sz w:val="24"/>
        </w:rPr>
        <w:t>. The Placement Shares shall either have been (i) approved for listing on Nasdaq, subject only to notice of issuance, or (ii) the Company shall have filed an application for listing of the Placement Shares on Nasdaq at, or prior to, the issuance of any Placement Notice.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(o) </w:t>
      </w:r>
      <w:r>
        <w:rPr>
          <w:color w:val="000000"/>
        </w:rPr>
        <w:t>    </w:t>
      </w:r>
      <w:r>
        <w:rPr>
          <w:rFonts w:ascii="Times New Roman;sans-serif" w:hAnsi="Times New Roman;sans-serif"/>
          <w:b w:val="false"/>
          <w:color w:val="000000"/>
          <w:sz w:val="24"/>
          <w:u w:val="single"/>
        </w:rPr>
        <w:t>No Termination Event</w:t>
      </w:r>
      <w:r>
        <w:rPr>
          <w:rFonts w:ascii="Times New Roman;sans-serif" w:hAnsi="Times New Roman;sans-serif"/>
          <w:b w:val="false"/>
          <w:color w:val="000000"/>
          <w:sz w:val="24"/>
        </w:rPr>
        <w:t xml:space="preserve">. There shall not have occurred any event that would permit TD Cowen to terminate this Agreement pursuant to </w:t>
      </w:r>
      <w:r>
        <w:rPr>
          <w:rFonts w:ascii="Times New Roman;sans-serif" w:hAnsi="Times New Roman;sans-serif"/>
          <w:b w:val="false"/>
          <w:color w:val="000000"/>
          <w:sz w:val="24"/>
          <w:u w:val="single"/>
        </w:rPr>
        <w:t>Section 11(a)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Indemnification and Contribution</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color w:val="000000"/>
        </w:rPr>
        <w:t>    </w:t>
      </w:r>
      <w:r>
        <w:rPr>
          <w:rFonts w:ascii="Times New Roman;sans-serif" w:hAnsi="Times New Roman;sans-serif"/>
          <w:b w:val="false"/>
          <w:color w:val="000000"/>
          <w:sz w:val="24"/>
          <w:u w:val="single"/>
        </w:rPr>
        <w:t>Company Indemnification</w:t>
      </w:r>
      <w:r>
        <w:rPr>
          <w:rFonts w:ascii="Times New Roman;sans-serif" w:hAnsi="Times New Roman;sans-serif"/>
          <w:b w:val="false"/>
          <w:color w:val="000000"/>
          <w:sz w:val="24"/>
        </w:rPr>
        <w:t xml:space="preserve">. The Company agrees to indemnify and hold harmless TD Cowen, its affiliates, and each of their directors, officers, partners, employees and agents and each person, if any, who (i) controls TD Cowen within the meaning of Section 15 of the Securities Act or Section 20 of the Exchange Act, or (ii) is controlled by or is under common control with TD Cowen from and against any and all losses, claims, liabilities, expenses and damages (including, but not limited to, any and all reasonable and documented investigative, legal and other expenses incurred in connection with, and any and all amounts paid in settlement (in accordance with </w:t>
      </w:r>
      <w:r>
        <w:rPr>
          <w:rFonts w:ascii="Times New Roman;sans-serif" w:hAnsi="Times New Roman;sans-serif"/>
          <w:b w:val="false"/>
          <w:color w:val="000000"/>
          <w:sz w:val="24"/>
          <w:u w:val="single"/>
        </w:rPr>
        <w:t>Section 9(c)</w:t>
      </w:r>
      <w:r>
        <w:rPr>
          <w:rFonts w:ascii="Times New Roman;sans-serif" w:hAnsi="Times New Roman;sans-serif"/>
          <w:b w:val="false"/>
          <w:color w:val="000000"/>
          <w:sz w:val="24"/>
        </w:rPr>
        <w:t xml:space="preserve">) of, any action, suit or proceeding between any of the indemnified parties and any indemnifying parties or between any indemnified party and any third party, or otherwise, or any claim asserted), as and when incurred, to which TD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7025"/>
                <wp:effectExtent l="0" t="0" r="0" b="0"/>
                <wp:wrapNone/>
                <wp:docPr id="33" name="Frame3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(x) the third sentence of the eighth paragraph and (y) the tenth paragraph under the caption “Plan of Distribution” in the Prospectus. This indemnity agreement will be in addition to any liability that the Company might otherwise have.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color w:val="000000"/>
        </w:rPr>
        <w:t>    </w:t>
      </w:r>
      <w:r>
        <w:rPr>
          <w:rFonts w:ascii="Times New Roman;sans-serif" w:hAnsi="Times New Roman;sans-serif"/>
          <w:b w:val="false"/>
          <w:color w:val="000000"/>
          <w:sz w:val="24"/>
          <w:u w:val="single"/>
        </w:rPr>
        <w:t>TD Cowen Indemnification</w:t>
      </w:r>
      <w:r>
        <w:rPr>
          <w:rFonts w:ascii="Times New Roman;sans-serif" w:hAnsi="Times New Roman;sans-serif"/>
          <w:b w:val="false"/>
          <w:color w:val="000000"/>
          <w:sz w:val="24"/>
        </w:rPr>
        <w:t xml:space="preserve">. TD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sans-serif" w:hAnsi="Times New Roman;sans-serif"/>
          <w:b w:val="false"/>
          <w:color w:val="000000"/>
          <w:sz w:val="24"/>
          <w:u w:val="single"/>
        </w:rPr>
        <w:t>Section 9(a)</w:t>
      </w:r>
      <w:r>
        <w:rPr>
          <w:rFonts w:ascii="Times New Roman;sans-serif" w:hAnsi="Times New Roman;sans-serif"/>
          <w:b w:val="false"/>
          <w:color w:val="000000"/>
          <w:sz w:val="24"/>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color w:val="000000"/>
        </w:rPr>
        <w:t>    </w:t>
      </w:r>
      <w:r>
        <w:rPr>
          <w:rFonts w:ascii="Times New Roman;sans-serif" w:hAnsi="Times New Roman;sans-serif"/>
          <w:b w:val="false"/>
          <w:color w:val="000000"/>
          <w:sz w:val="24"/>
          <w:u w:val="single"/>
        </w:rPr>
        <w:t>Procedure</w:t>
      </w:r>
      <w:r>
        <w:rPr>
          <w:rFonts w:ascii="Times New Roman;sans-serif" w:hAnsi="Times New Roman;sans-serif"/>
          <w:b w:val="false"/>
          <w:color w:val="000000"/>
          <w:sz w:val="24"/>
        </w:rPr>
        <w:t xml:space="preserve">. Any party that proposes to assert the right to be indemnified under this </w:t>
      </w:r>
      <w:r>
        <w:rPr>
          <w:rFonts w:ascii="Times New Roman;sans-serif" w:hAnsi="Times New Roman;sans-serif"/>
          <w:b w:val="false"/>
          <w:color w:val="000000"/>
          <w:sz w:val="24"/>
          <w:u w:val="single"/>
        </w:rPr>
        <w:t xml:space="preserve">Section 9 </w:t>
      </w:r>
      <w:r>
        <w:rPr>
          <w:rFonts w:ascii="Times New Roman;sans-serif" w:hAnsi="Times New Roman;sans-serif"/>
          <w:b w:val="false"/>
          <w:color w:val="000000"/>
          <w:sz w:val="24"/>
        </w:rPr>
        <w:t xml:space="preserve">will, promptly after receipt of notice of commencement of any action against such party in respect of which a claim is to be made against an indemnifying party or parties under this </w:t>
      </w:r>
      <w:r>
        <w:rPr>
          <w:rFonts w:ascii="Times New Roman;sans-serif" w:hAnsi="Times New Roman;sans-serif"/>
          <w:b w:val="false"/>
          <w:color w:val="000000"/>
          <w:sz w:val="24"/>
          <w:u w:val="single"/>
        </w:rPr>
        <w:t>Section 9</w:t>
      </w:r>
      <w:r>
        <w:rPr>
          <w:rFonts w:ascii="Times New Roman;sans-serif" w:hAnsi="Times New Roman;sans-serif"/>
          <w:b w:val="false"/>
          <w:color w:val="000000"/>
          <w:sz w:val="24"/>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and (ii) any liability that it may have to any indemnified party under the foregoing provision of 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7025"/>
                <wp:effectExtent l="0" t="0" r="0" b="0"/>
                <wp:wrapNone/>
                <wp:docPr id="34" name="Frame3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(whether or not any indemnified party is a party thereto), unless such settlement, compromise or consent includes an unconditional release of each indemnified party from all liability arising or that may arise out of such claim, action or proceeding.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 </w:t>
      </w:r>
      <w:r>
        <w:rPr>
          <w:color w:val="000000"/>
        </w:rPr>
        <w:t>    </w:t>
      </w:r>
      <w:r>
        <w:rPr>
          <w:rFonts w:ascii="Times New Roman;sans-serif" w:hAnsi="Times New Roman;sans-serif"/>
          <w:b w:val="false"/>
          <w:color w:val="000000"/>
          <w:sz w:val="24"/>
          <w:u w:val="single"/>
        </w:rPr>
        <w:t>Contribution</w:t>
      </w:r>
      <w:r>
        <w:rPr>
          <w:rFonts w:ascii="Times New Roman;sans-serif" w:hAnsi="Times New Roman;sans-serif"/>
          <w:b w:val="false"/>
          <w:color w:val="000000"/>
          <w:sz w:val="24"/>
        </w:rPr>
        <w:t xml:space="preserve">. In order to provide for just and equitable contribution in circumstances in which the indemnification provided for in the foregoing paragraphs of 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is applicable in accordance with its terms but for any reason is held to be unavailable from the Company or TD Cowen, the Company and TD Cowen will contribute to the total losses, claims, liabilities, expenses and damages (including any reasonable and documented investigative, legal and other expenses reasonably incurred in connection with, and any amount paid in settlement of, any action, suit or proceeding or any claim asserted, but after deducting any contribution received by the Company from persons other than TD Cowen, such as persons who control the Company within the meaning of the Securities Act, officers of the Company who signed the Registration Statement and directors of the Company, who also may be liable for contribution) to which the Company and TD Cowen may be subject in such proportion as shall be appropriate to reflect the relative benefits received by the Company on the one hand and TD Cowen on the other. The relative benefits received by the Company on the one hand and TD Cowen on the other hand shall be deemed to be in the same proportion as the total Net Proceeds from the sale of the Placement Shares (before deducting expenses) received by the Company bear to the total compensation received by TD Cowen from the sale of Placement Shares on behalf of the Company. If, but only if, the allocation provided by the foregoing sentence is not permitted by applicable law, the allocation of contribution shall be made in such proportion as is </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7025"/>
                <wp:effectExtent l="0" t="0" r="0" b="0"/>
                <wp:wrapNone/>
                <wp:docPr id="35" name="Frame3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appropriate to reflect not only the relative benefits referred to in the foregoing sentence but also the relative fault of the Company, on the one hand, and TD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TD Cowen, the intent of the parties and their relative knowledge, access to information and opportunity to correct or prevent such statement or omission. The Company and TD Cowen agree that it would not be just and equitable if contributions pursuant to this </w:t>
      </w:r>
      <w:r>
        <w:rPr>
          <w:rFonts w:ascii="Times New Roman;sans-serif" w:hAnsi="Times New Roman;sans-serif"/>
          <w:b w:val="false"/>
          <w:color w:val="000000"/>
          <w:sz w:val="24"/>
          <w:u w:val="single"/>
        </w:rPr>
        <w:t>Section 9(d)</w:t>
      </w:r>
      <w:r>
        <w:rPr>
          <w:color w:val="000000"/>
        </w:rPr>
        <w:t xml:space="preserve"> </w:t>
      </w:r>
      <w:r>
        <w:rPr>
          <w:rFonts w:ascii="Times New Roman;sans-serif" w:hAnsi="Times New Roman;sans-serif"/>
          <w:b w:val="false"/>
          <w:color w:val="000000"/>
          <w:sz w:val="24"/>
        </w:rPr>
        <w:t xml:space="preserve">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sans-serif" w:hAnsi="Times New Roman;sans-serif"/>
          <w:b w:val="false"/>
          <w:color w:val="000000"/>
          <w:sz w:val="24"/>
          <w:u w:val="single"/>
        </w:rPr>
        <w:t>Section 9(d)</w:t>
      </w:r>
      <w:r>
        <w:rPr>
          <w:color w:val="000000"/>
        </w:rPr>
        <w:t xml:space="preserve"> </w:t>
      </w:r>
      <w:r>
        <w:rPr>
          <w:rFonts w:ascii="Times New Roman;sans-serif" w:hAnsi="Times New Roman;sans-serif"/>
          <w:b w:val="false"/>
          <w:color w:val="000000"/>
          <w:sz w:val="24"/>
        </w:rPr>
        <w:t xml:space="preserve">shall be deemed to include, for the purpose of this </w:t>
      </w:r>
      <w:r>
        <w:rPr>
          <w:rFonts w:ascii="Times New Roman;sans-serif" w:hAnsi="Times New Roman;sans-serif"/>
          <w:b w:val="false"/>
          <w:color w:val="000000"/>
          <w:sz w:val="24"/>
          <w:u w:val="single"/>
        </w:rPr>
        <w:t>Section 9(d)</w:t>
      </w:r>
      <w:r>
        <w:rPr>
          <w:rFonts w:ascii="Times New Roman;sans-serif" w:hAnsi="Times New Roman;sans-serif"/>
          <w:b w:val="false"/>
          <w:color w:val="000000"/>
          <w:sz w:val="24"/>
        </w:rPr>
        <w:t xml:space="preserve">, any reasonable and documented legal or other expenses reasonably incurred by such indemnified party in connection with investigating or defending any such action or claim to the extent consistent with </w:t>
      </w:r>
      <w:r>
        <w:rPr>
          <w:rFonts w:ascii="Times New Roman;sans-serif" w:hAnsi="Times New Roman;sans-serif"/>
          <w:b w:val="false"/>
          <w:color w:val="000000"/>
          <w:sz w:val="24"/>
          <w:u w:val="single"/>
        </w:rPr>
        <w:t>Section 9(c)</w:t>
      </w:r>
      <w:r>
        <w:rPr>
          <w:color w:val="000000"/>
        </w:rPr>
        <w:t xml:space="preserve"> </w:t>
      </w:r>
      <w:r>
        <w:rPr>
          <w:rFonts w:ascii="Times New Roman;sans-serif" w:hAnsi="Times New Roman;sans-serif"/>
          <w:b w:val="false"/>
          <w:color w:val="000000"/>
          <w:sz w:val="24"/>
        </w:rPr>
        <w:t xml:space="preserve">hereof. Notwithstanding the foregoing provisions of this </w:t>
      </w:r>
      <w:r>
        <w:rPr>
          <w:rFonts w:ascii="Times New Roman;sans-serif" w:hAnsi="Times New Roman;sans-serif"/>
          <w:b w:val="false"/>
          <w:color w:val="000000"/>
          <w:sz w:val="24"/>
          <w:u w:val="single"/>
        </w:rPr>
        <w:t>Section 9(d)</w:t>
      </w:r>
      <w:r>
        <w:rPr>
          <w:rFonts w:ascii="Times New Roman;sans-serif" w:hAnsi="Times New Roman;sans-serif"/>
          <w:b w:val="false"/>
          <w:color w:val="000000"/>
          <w:sz w:val="24"/>
        </w:rPr>
        <w:t xml:space="preserve">, TD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sans-serif" w:hAnsi="Times New Roman;sans-serif"/>
          <w:b w:val="false"/>
          <w:color w:val="000000"/>
          <w:sz w:val="24"/>
          <w:u w:val="single"/>
        </w:rPr>
        <w:t>Section 9(d)</w:t>
      </w:r>
      <w:r>
        <w:rPr>
          <w:rFonts w:ascii="Times New Roman;sans-serif" w:hAnsi="Times New Roman;sans-serif"/>
          <w:b w:val="false"/>
          <w:color w:val="000000"/>
          <w:sz w:val="24"/>
        </w:rPr>
        <w:t xml:space="preserve">, any person who controls a party to this Agreement within the meaning of the Securities Act, and any officers, directors, partners, employees or agents of TD Cowen,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sans-serif" w:hAnsi="Times New Roman;sans-serif"/>
          <w:b w:val="false"/>
          <w:color w:val="000000"/>
          <w:sz w:val="24"/>
          <w:u w:val="single"/>
        </w:rPr>
        <w:t>Section 9(d)</w:t>
      </w:r>
      <w:r>
        <w:rPr>
          <w:rFonts w:ascii="Times New Roman;sans-serif" w:hAnsi="Times New Roman;sans-serif"/>
          <w:b w:val="false"/>
          <w:color w:val="000000"/>
          <w:sz w:val="24"/>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sans-serif" w:hAnsi="Times New Roman;sans-serif"/>
          <w:b w:val="false"/>
          <w:color w:val="000000"/>
          <w:sz w:val="24"/>
          <w:u w:val="single"/>
        </w:rPr>
        <w:t>Section 9(d)</w:t>
      </w:r>
      <w:r>
        <w:rPr>
          <w:color w:val="000000"/>
        </w:rPr>
        <w:t xml:space="preserve"> </w:t>
      </w:r>
      <w:r>
        <w:rPr>
          <w:rFonts w:ascii="Times New Roman;sans-serif" w:hAnsi="Times New Roman;sans-serif"/>
          <w:b w:val="false"/>
          <w:color w:val="000000"/>
          <w:sz w:val="24"/>
        </w:rPr>
        <w:t xml:space="preserve">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sans-serif" w:hAnsi="Times New Roman;sans-serif"/>
          <w:b w:val="false"/>
          <w:color w:val="000000"/>
          <w:sz w:val="24"/>
          <w:u w:val="single"/>
        </w:rPr>
        <w:t>Section 9(c)</w:t>
      </w:r>
      <w:r>
        <w:rPr>
          <w:color w:val="000000"/>
        </w:rPr>
        <w:t xml:space="preserve"> </w:t>
      </w:r>
      <w:r>
        <w:rPr>
          <w:rFonts w:ascii="Times New Roman;sans-serif" w:hAnsi="Times New Roman;sans-serif"/>
          <w:b w:val="false"/>
          <w:color w:val="000000"/>
          <w:sz w:val="24"/>
        </w:rPr>
        <w:t xml:space="preserve">hereof, no party will be liable for contribution with respect to any action or claim settled without its written consent if such consent is required pursuant to </w:t>
      </w:r>
      <w:r>
        <w:rPr>
          <w:rFonts w:ascii="Times New Roman;sans-serif" w:hAnsi="Times New Roman;sans-serif"/>
          <w:b w:val="false"/>
          <w:color w:val="000000"/>
          <w:sz w:val="24"/>
          <w:u w:val="single"/>
        </w:rPr>
        <w:t>Section 9(c)</w:t>
      </w:r>
      <w:r>
        <w:rPr>
          <w:color w:val="000000"/>
        </w:rPr>
        <w:t xml:space="preserve"> </w:t>
      </w:r>
      <w:r>
        <w:rPr>
          <w:rFonts w:ascii="Times New Roman;sans-serif" w:hAnsi="Times New Roman;sans-serif"/>
          <w:b w:val="false"/>
          <w:color w:val="000000"/>
          <w:sz w:val="24"/>
        </w:rPr>
        <w: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Representations and Agreements to Survive Delivery</w:t>
      </w:r>
      <w:r>
        <w:rPr>
          <w:rFonts w:ascii="Times New Roman;sans-serif" w:hAnsi="Times New Roman;sans-serif"/>
          <w:b w:val="false"/>
          <w:color w:val="000000"/>
          <w:sz w:val="24"/>
        </w:rPr>
        <w:t xml:space="preserve">. The indemnity and contribution agreements contained in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of this Agreement and all representations and warranties of the Company herein or in certificates delivered pursuant hereto shall survive, as of their respective dates, regardless of (i) any investigation made by or on behalf of TD Cowen, any controlling persons, or the Company (or any of their respective officers, directors or controlling persons), (ii) delivery and acceptance of the Placement Shares and payment therefor or (iii) any termination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Termination.</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7025"/>
                <wp:effectExtent l="0" t="0" r="0" b="0"/>
                <wp:wrapNone/>
                <wp:docPr id="36" name="Frame3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color w:val="000000"/>
        </w:rPr>
        <w:t>    </w:t>
      </w:r>
      <w:r>
        <w:rPr>
          <w:rFonts w:ascii="Times New Roman;sans-serif" w:hAnsi="Times New Roman;sans-serif"/>
          <w:b w:val="false"/>
          <w:color w:val="000000"/>
          <w:sz w:val="24"/>
        </w:rPr>
        <w:t xml:space="preserve">TD Cowen shall have the right by giving notice as hereinafter specified at any time to terminate this Agreement if (i) any Material Adverse Change, or any development that could reasonably be expected to result in a Material Adverse Change has occurred that, in the reasonable judgment of TD Cowen, may materially impair the ability of TD Cowen to sell the Placement Shares hereunder, (ii) the Company shall have failed, refused or been unable to perform any agreement on its part to be performed hereunder;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in the case of any failure of the Company to deliver (or cause another person to deliver) any certification, opinion, or letter required under Sections 7(m), 7(n), 7(o) or 7(p), TD Cowen’s right to terminate shall not arise unless such failure to deliver (or cause to be delivered) continues for more than thirty (30) days from the date such delivery was required, or (iii) any other condition of TD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sans-serif" w:hAnsi="Times New Roman;sans-serif"/>
          <w:b w:val="false"/>
          <w:color w:val="000000"/>
          <w:sz w:val="24"/>
          <w:u w:val="single"/>
        </w:rPr>
        <w:t>Section 7(g)</w:t>
      </w:r>
      <w:r>
        <w:rPr>
          <w:color w:val="000000"/>
        </w:rPr>
        <w:t xml:space="preserve"> </w:t>
      </w:r>
      <w:r>
        <w:rPr>
          <w:rFonts w:ascii="Times New Roman;sans-serif" w:hAnsi="Times New Roman;sans-serif"/>
          <w:b w:val="false"/>
          <w:color w:val="000000"/>
          <w:sz w:val="24"/>
        </w:rPr>
        <w:t xml:space="preserve">(Expenses),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(Indemnification and Contribution), </w:t>
      </w:r>
      <w:r>
        <w:rPr>
          <w:rFonts w:ascii="Times New Roman;sans-serif" w:hAnsi="Times New Roman;sans-serif"/>
          <w:b w:val="false"/>
          <w:color w:val="000000"/>
          <w:sz w:val="24"/>
          <w:u w:val="single"/>
        </w:rPr>
        <w:t>Section 10</w:t>
      </w:r>
      <w:r>
        <w:rPr>
          <w:color w:val="000000"/>
        </w:rPr>
        <w:t xml:space="preserve"> </w:t>
      </w:r>
      <w:r>
        <w:rPr>
          <w:rFonts w:ascii="Times New Roman;sans-serif" w:hAnsi="Times New Roman;sans-serif"/>
          <w:b w:val="false"/>
          <w:color w:val="000000"/>
          <w:sz w:val="24"/>
        </w:rPr>
        <w:t xml:space="preserve">(Representations and Agreements to Survive Delivery), </w:t>
      </w:r>
      <w:r>
        <w:rPr>
          <w:rFonts w:ascii="Times New Roman;sans-serif" w:hAnsi="Times New Roman;sans-serif"/>
          <w:b w:val="false"/>
          <w:color w:val="000000"/>
          <w:sz w:val="24"/>
          <w:u w:val="single"/>
        </w:rPr>
        <w:t>Section 16</w:t>
      </w:r>
      <w:r>
        <w:rPr>
          <w:color w:val="000000"/>
        </w:rPr>
        <w:t xml:space="preserve"> </w:t>
      </w:r>
      <w:r>
        <w:rPr>
          <w:rFonts w:ascii="Times New Roman;sans-serif" w:hAnsi="Times New Roman;sans-serif"/>
          <w:b w:val="false"/>
          <w:color w:val="000000"/>
          <w:sz w:val="24"/>
        </w:rPr>
        <w:t xml:space="preserve">(Applicable Law; Consent to Jurisdiction) and </w:t>
      </w:r>
      <w:r>
        <w:rPr>
          <w:rFonts w:ascii="Times New Roman;sans-serif" w:hAnsi="Times New Roman;sans-serif"/>
          <w:b w:val="false"/>
          <w:color w:val="000000"/>
          <w:sz w:val="24"/>
          <w:u w:val="single"/>
        </w:rPr>
        <w:t>Section 17</w:t>
      </w:r>
      <w:r>
        <w:rPr>
          <w:color w:val="000000"/>
        </w:rPr>
        <w:t xml:space="preserve"> </w:t>
      </w:r>
      <w:r>
        <w:rPr>
          <w:rFonts w:ascii="Times New Roman;sans-serif" w:hAnsi="Times New Roman;sans-serif"/>
          <w:b w:val="false"/>
          <w:color w:val="000000"/>
          <w:sz w:val="24"/>
        </w:rPr>
        <w:t xml:space="preserve">(Waiver of Jury Trial) hereof shall remain in full force and effect notwithstanding such termination. If TD Cowen elects to terminate this Agreement as provided in this </w:t>
      </w:r>
      <w:r>
        <w:rPr>
          <w:rFonts w:ascii="Times New Roman;sans-serif" w:hAnsi="Times New Roman;sans-serif"/>
          <w:b w:val="false"/>
          <w:color w:val="000000"/>
          <w:sz w:val="24"/>
          <w:u w:val="single"/>
        </w:rPr>
        <w:t>Section 11(a)</w:t>
      </w:r>
      <w:r>
        <w:rPr>
          <w:rFonts w:ascii="Times New Roman;sans-serif" w:hAnsi="Times New Roman;sans-serif"/>
          <w:b w:val="false"/>
          <w:color w:val="000000"/>
          <w:sz w:val="24"/>
        </w:rPr>
        <w:t xml:space="preserve">, TD Cowen shall provide the required notice as specified in </w:t>
      </w:r>
      <w:r>
        <w:rPr>
          <w:rFonts w:ascii="Times New Roman;sans-serif" w:hAnsi="Times New Roman;sans-serif"/>
          <w:b w:val="false"/>
          <w:color w:val="000000"/>
          <w:sz w:val="24"/>
          <w:u w:val="single"/>
        </w:rPr>
        <w:t>Section 12</w:t>
      </w:r>
      <w:r>
        <w:rPr>
          <w:color w:val="000000"/>
        </w:rPr>
        <w:t xml:space="preserve"> </w:t>
      </w:r>
      <w:r>
        <w:rPr>
          <w:rFonts w:ascii="Times New Roman;sans-serif" w:hAnsi="Times New Roman;sans-serif"/>
          <w:b w:val="false"/>
          <w:color w:val="000000"/>
          <w:sz w:val="24"/>
        </w:rPr>
        <w:t>(Notices).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color w:val="000000"/>
        </w:rPr>
        <w:t>    </w:t>
      </w:r>
      <w:r>
        <w:rPr>
          <w:rFonts w:ascii="Times New Roman;sans-serif" w:hAnsi="Times New Roman;sans-serif"/>
          <w:b w:val="false"/>
          <w:color w:val="000000"/>
          <w:sz w:val="24"/>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sans-serif" w:hAnsi="Times New Roman;sans-serif"/>
          <w:b w:val="false"/>
          <w:color w:val="000000"/>
          <w:sz w:val="24"/>
          <w:u w:val="single"/>
        </w:rPr>
        <w:t>Section 7(g)</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16</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17</w:t>
      </w:r>
      <w:r>
        <w:rPr>
          <w:color w:val="000000"/>
        </w:rPr>
        <w:t xml:space="preserve"> </w:t>
      </w:r>
      <w:r>
        <w:rPr>
          <w:rFonts w:ascii="Times New Roman;sans-serif" w:hAnsi="Times New Roman;sans-serif"/>
          <w:b w:val="false"/>
          <w:color w:val="000000"/>
          <w:sz w:val="24"/>
        </w:rPr>
        <w:t>hereof shall remain in full force and effect notwithstanding such termination.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color w:val="000000"/>
        </w:rPr>
        <w:t>    </w:t>
      </w:r>
      <w:r>
        <w:rPr>
          <w:rFonts w:ascii="Times New Roman;sans-serif" w:hAnsi="Times New Roman;sans-serif"/>
          <w:b w:val="false"/>
          <w:color w:val="000000"/>
          <w:sz w:val="24"/>
        </w:rPr>
        <w:t xml:space="preserve">TD 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sans-serif" w:hAnsi="Times New Roman;sans-serif"/>
          <w:b w:val="false"/>
          <w:color w:val="000000"/>
          <w:sz w:val="24"/>
          <w:u w:val="single"/>
        </w:rPr>
        <w:t>Section 7(g)</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16</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17</w:t>
      </w:r>
      <w:r>
        <w:rPr>
          <w:color w:val="000000"/>
        </w:rPr>
        <w:t xml:space="preserve"> </w:t>
      </w:r>
      <w:r>
        <w:rPr>
          <w:rFonts w:ascii="Times New Roman;sans-serif" w:hAnsi="Times New Roman;sans-serif"/>
          <w:b w:val="false"/>
          <w:color w:val="000000"/>
          <w:sz w:val="24"/>
        </w:rPr>
        <w:t>hereof shall remain in full force and effect notwithstanding such termination.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 </w:t>
      </w:r>
      <w:r>
        <w:rPr>
          <w:color w:val="000000"/>
        </w:rPr>
        <w:t>    </w:t>
      </w:r>
      <w:r>
        <w:rPr>
          <w:rFonts w:ascii="Times New Roman;sans-serif" w:hAnsi="Times New Roman;sans-serif"/>
          <w:b w:val="false"/>
          <w:color w:val="000000"/>
          <w:sz w:val="24"/>
        </w:rPr>
        <w:t xml:space="preserve">Unless earlier terminated pursuant to this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 xml:space="preserve">, this Agreement shall automatically terminate upon the issuance and sale of all of the Placement Shares through TD Cowen on the terms and subject to the conditions set forth herein;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provisions of </w:t>
      </w:r>
      <w:r>
        <w:rPr>
          <w:rFonts w:ascii="Times New Roman;sans-serif" w:hAnsi="Times New Roman;sans-serif"/>
          <w:b w:val="false"/>
          <w:color w:val="000000"/>
          <w:sz w:val="24"/>
          <w:u w:val="single"/>
        </w:rPr>
        <w:t>Section 7(g)</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16</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17</w:t>
      </w:r>
      <w:r>
        <w:rPr>
          <w:color w:val="000000"/>
        </w:rPr>
        <w:t xml:space="preserve"> </w:t>
      </w:r>
      <w:r>
        <w:rPr>
          <w:rFonts w:ascii="Times New Roman;sans-serif" w:hAnsi="Times New Roman;sans-serif"/>
          <w:b w:val="false"/>
          <w:color w:val="000000"/>
          <w:sz w:val="24"/>
        </w:rPr>
        <w:t>hereof shall remain in full force and effect notwithstanding such termination.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(e) </w:t>
      </w:r>
      <w:r>
        <w:rPr>
          <w:color w:val="000000"/>
        </w:rPr>
        <w:t>    </w:t>
      </w:r>
      <w:r>
        <w:rPr>
          <w:rFonts w:ascii="Times New Roman;sans-serif" w:hAnsi="Times New Roman;sans-serif"/>
          <w:b w:val="false"/>
          <w:color w:val="000000"/>
          <w:sz w:val="24"/>
        </w:rPr>
        <w:t xml:space="preserve">This Agreement shall remain in full force and effect unless terminated pursuant to </w:t>
      </w:r>
      <w:r>
        <w:rPr>
          <w:rFonts w:ascii="Times New Roman;sans-serif" w:hAnsi="Times New Roman;sans-serif"/>
          <w:b w:val="false"/>
          <w:color w:val="000000"/>
          <w:sz w:val="24"/>
          <w:u w:val="single"/>
        </w:rPr>
        <w:t>Sections 11(a)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 or (d)</w:t>
      </w:r>
      <w:r>
        <w:rPr>
          <w:color w:val="000000"/>
        </w:rPr>
        <w:t xml:space="preserve"> </w:t>
      </w:r>
      <w:r>
        <w:rPr>
          <w:rFonts w:ascii="Times New Roman;sans-serif" w:hAnsi="Times New Roman;sans-serif"/>
          <w:b w:val="false"/>
          <w:color w:val="000000"/>
          <w:sz w:val="24"/>
        </w:rPr>
        <w:t xml:space="preserve">above or otherwise by mutual agreement of the parties;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 xml:space="preserve">that any such termination by mutual agreement shall in all cases be deemed to provide that </w:t>
      </w:r>
      <w:r>
        <w:rPr>
          <w:rFonts w:ascii="Times New Roman;sans-serif" w:hAnsi="Times New Roman;sans-serif"/>
          <w:b w:val="false"/>
          <w:color w:val="000000"/>
          <w:sz w:val="24"/>
          <w:u w:val="single"/>
        </w:rPr>
        <w:t>Section 7(g)</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16</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17</w:t>
      </w:r>
      <w:r>
        <w:rPr>
          <w:color w:val="000000"/>
        </w:rPr>
        <w:t xml:space="preserve"> </w:t>
      </w:r>
      <w:r>
        <w:rPr>
          <w:rFonts w:ascii="Times New Roman;sans-serif" w:hAnsi="Times New Roman;sans-serif"/>
          <w:b w:val="false"/>
          <w:color w:val="000000"/>
          <w:sz w:val="24"/>
        </w:rPr>
        <w:t>shall remain in full force and effect.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(f) </w:t>
      </w:r>
      <w:r>
        <w:rPr>
          <w:color w:val="000000"/>
        </w:rPr>
        <w:t>    </w:t>
      </w:r>
      <w:r>
        <w:rPr>
          <w:rFonts w:ascii="Times New Roman;sans-serif" w:hAnsi="Times New Roman;sans-serif"/>
          <w:b w:val="false"/>
          <w:color w:val="000000"/>
          <w:sz w:val="24"/>
        </w:rPr>
        <w:t xml:space="preserve">Any termination of this Agreement shall be effective on the date specified in such notice of termination;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that such termination shall not be effective </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7025"/>
                <wp:effectExtent l="0" t="0" r="0" b="0"/>
                <wp:wrapNone/>
                <wp:docPr id="37" name="Frame3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until the close of business on the date of receipt of such notice by TD Cowen or the Company, as the case may be. If such termination shall occur prior to the Settlement Date for any sale of Placement Shares, such Placement Shares shall settle in accordance with the provisions of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or other communications required or permitted to be given by any party to any other party pursuant to the terms of this Agreement shall be in writing, unless otherwise specified in this Agreement, and if sent to TD Cowen, shall be delivered to TD Cowen at TD Securities (USA) LLC, 1 Vanderbilt Avenue, New York, NY 10017, fax no. 646-562-1130, email: CIBLegal@tdsecurities.com, Attention: General Counsel, with a copy to DLA Piper LLP (US), 4365 Executive Drive Suite 1100, San Diego, CA 92121, Attention: Patrick J. O’Malley; or if sent to the Company, shall be delivered to the Company at 333 Ludlow Street, North Tower, 6th Floor, Stamford, Connecticut 06902, Attention: Secretary, with a copy to Fenwick &amp; West LLP, 902 Broadway, New York, NY 10010, Attention: Ethan Skerry.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and (iii) on the Business</w:t>
      </w:r>
      <w:r>
        <w:rPr>
          <w:color w:val="000000"/>
        </w:rPr>
        <w:t xml:space="preserve"> </w:t>
      </w:r>
      <w:r>
        <w:rPr>
          <w:rFonts w:ascii="Times New Roman;sans-serif" w:hAnsi="Times New Roman;sans-serif"/>
          <w:b w:val="false"/>
          <w:color w:val="000000"/>
          <w:sz w:val="24"/>
        </w:rPr>
        <w:t>Day actually received if deposited in the U.S. mail (certified or registered mail, return receipt requested, postage prepaid). For purposes of this Agreement, “</w:t>
      </w:r>
      <w:r>
        <w:rPr>
          <w:rFonts w:ascii="Times New Roman;sans-serif" w:hAnsi="Times New Roman;sans-serif"/>
          <w:b/>
          <w:color w:val="000000"/>
          <w:sz w:val="24"/>
          <w:u w:val="single"/>
        </w:rPr>
        <w:t>Business Day</w:t>
      </w:r>
      <w:r>
        <w:rPr>
          <w:color w:val="000000"/>
        </w:rPr>
        <w:t xml:space="preserve">” </w:t>
      </w:r>
      <w:r>
        <w:rPr>
          <w:rFonts w:ascii="Times New Roman;sans-serif" w:hAnsi="Times New Roman;sans-serif"/>
          <w:b w:val="false"/>
          <w:color w:val="000000"/>
          <w:sz w:val="24"/>
        </w:rPr>
        <w:t>shall mean any day on which the Nasdaq and commercial banks in the City of New York are open for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xml:space="preserve">. This Agreement shall inure to the benefit of and be binding upon the Company and TD Cowen and their respective successors and the affiliates, controlling persons, officers and directors referred to in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TD Cowen may assign its rights and obligations hereunder to an affiliate of TD Cowen without obtaining the Company’s consent.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14.  </w:t>
      </w:r>
      <w:r>
        <w:rPr>
          <w:rFonts w:ascii="Times New Roman;sans-serif" w:hAnsi="Times New Roman;sans-serif"/>
          <w:b w:val="false"/>
          <w:color w:val="000000"/>
          <w:sz w:val="24"/>
          <w:u w:val="single"/>
        </w:rPr>
        <w:t>Adjustments for Share Splits</w:t>
      </w:r>
      <w:r>
        <w:rPr>
          <w:rFonts w:ascii="Times New Roman;sans-serif" w:hAnsi="Times New Roman;sans-serif"/>
          <w:b w:val="false"/>
          <w:color w:val="000000"/>
          <w:sz w:val="24"/>
        </w:rPr>
        <w:t>. The parties acknowledge and agree that all share-related numbers contained in this Agreement shall be adjusted to take into account any share split, share dividend or similar event effected with respect to the Common Stock.</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Entire Agreement; Amendment; Severability</w:t>
      </w:r>
      <w:r>
        <w:rPr>
          <w:rFonts w:ascii="Times New Roman;sans-serif" w:hAnsi="Times New Roman;sans-serif"/>
          <w:b w:val="false"/>
          <w:color w:val="000000"/>
          <w:sz w:val="24"/>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7025"/>
                <wp:effectExtent l="0" t="0" r="0" b="0"/>
                <wp:wrapNone/>
                <wp:docPr id="38" name="Frame3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instrument executed by the Company and TD Cowen;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each party hereto may amend the list of individuals appearing under such party’s name on Schedule 2 by giving notice to the other party hereto.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Applicable Law; Consent to Jurisdiction</w:t>
      </w:r>
      <w:r>
        <w:rPr>
          <w:rFonts w:ascii="Times New Roman;sans-serif" w:hAnsi="Times New Roman;sans-serif"/>
          <w:b w:val="false"/>
          <w:color w:val="000000"/>
          <w:sz w:val="24"/>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Waiver of Jury Trial</w:t>
      </w:r>
      <w:r>
        <w:rPr>
          <w:rFonts w:ascii="Times New Roman;sans-serif" w:hAnsi="Times New Roman;sans-serif"/>
          <w:b w:val="false"/>
          <w:color w:val="000000"/>
          <w:sz w:val="24"/>
        </w:rPr>
        <w:t>. The Company and TD Cowen each hereby irrevocably waives any right it may have to a trial by jury in respect of any claim based upon or arising out of this Agreement or any transaction contemplated hereby.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Absence of Fiduciary Relationship</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The Company acknowledges and agrees that: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color w:val="000000"/>
        </w:rPr>
        <w:t>    </w:t>
      </w:r>
      <w:r>
        <w:rPr>
          <w:rFonts w:ascii="Times New Roman;sans-serif" w:hAnsi="Times New Roman;sans-serif"/>
          <w:b w:val="false"/>
          <w:color w:val="000000"/>
          <w:sz w:val="24"/>
        </w:rPr>
        <w:t>TD Cowen has been retained solely to act as an arm’s length contractual counterparty to the Company in connection with the sale of the Placement Shares contemplated hereby and that no fiduciary, advisory or agency relationship between the Company and TD Cowen has been created in respect of any of the transactions contemplated by this Agreement, irrespective of whether TD Cowen has advised or is advising the Company on other matters;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color w:val="000000"/>
        </w:rPr>
        <w:t>    </w:t>
      </w:r>
      <w:r>
        <w:rPr>
          <w:rFonts w:ascii="Times New Roman;sans-serif" w:hAnsi="Times New Roman;sans-serif"/>
          <w:b w:val="false"/>
          <w:color w:val="000000"/>
          <w:sz w:val="24"/>
        </w:rPr>
        <w:t>the Company is capable of evaluating and understanding and understands and accepts the terms, risks and conditions of the transactions contemplated by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color w:val="000000"/>
        </w:rPr>
        <w:t>    </w:t>
      </w:r>
      <w:r>
        <w:rPr>
          <w:rFonts w:ascii="Times New Roman;sans-serif" w:hAnsi="Times New Roman;sans-serif"/>
          <w:b w:val="false"/>
          <w:color w:val="000000"/>
          <w:sz w:val="24"/>
        </w:rPr>
        <w:t>the Company has been advised that TD Cowen and its affiliates are engaged in a broad range of transactions which may involve interests that differ from those of the Company and that TD Cowen has no obligation to disclose such interests and transactions to the Company by virtue of any fiduciary, advisory or agency relationship; and</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7025"/>
                <wp:effectExtent l="0" t="0" r="0" b="0"/>
                <wp:wrapNone/>
                <wp:docPr id="39" name="Frame3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(d) </w:t>
      </w:r>
      <w:r>
        <w:rPr>
          <w:color w:val="000000"/>
        </w:rPr>
        <w:t>    </w:t>
      </w:r>
      <w:r>
        <w:rPr>
          <w:rFonts w:ascii="Times New Roman;sans-serif" w:hAnsi="Times New Roman;sans-serif"/>
          <w:b w:val="false"/>
          <w:color w:val="000000"/>
          <w:sz w:val="24"/>
        </w:rPr>
        <w:t>the Company waives, to the fullest extent permitted by law, any claims it may have against TD Cowen, for breach of fiduciary duty or alleged breach of fiduciary duty and agrees that TD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two or more counterparts, each of which shall be deemed an original, but all of which together shall constitute one and the same instrument. Delivery of an executed Agreement by one party to the other may be made by facsimile or other electronic transmission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20.  </w:t>
      </w:r>
      <w:r>
        <w:rPr>
          <w:rFonts w:ascii="Times New Roman;sans-serif" w:hAnsi="Times New Roman;sans-serif"/>
          <w:b w:val="false"/>
          <w:color w:val="000000"/>
          <w:sz w:val="24"/>
          <w:u w:val="single"/>
        </w:rPr>
        <w:t>Recognition of the U.S. Special Resolution Regimes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w:t>
      </w:r>
      <w:r>
        <w:rPr>
          <w:color w:val="000000"/>
        </w:rPr>
        <w:t>    </w:t>
      </w:r>
      <w:r>
        <w:rPr>
          <w:rFonts w:ascii="Times New Roman;sans-serif" w:hAnsi="Times New Roman;sans-serif"/>
          <w:b w:val="false"/>
          <w:color w:val="000000"/>
          <w:sz w:val="24"/>
        </w:rPr>
        <w:t>In the event that TD Cowen is a Covered Entity and becomes subject to a proceeding under a U.S. Special Resolution Regime,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w:t>
      </w:r>
      <w:r>
        <w:rPr>
          <w:color w:val="000000"/>
        </w:rPr>
        <w:t>    </w:t>
      </w:r>
      <w:r>
        <w:rPr>
          <w:rFonts w:ascii="Times New Roman;sans-serif" w:hAnsi="Times New Roman;sans-serif"/>
          <w:b w:val="false"/>
          <w:color w:val="000000"/>
          <w:sz w:val="24"/>
        </w:rPr>
        <w:t>In the event that TD Cowen is a Covered Entity and TD Cowen or a BHC Act Affiliate of TD Cowen becomes subject to a proceeding under a U.S. Special Resolution Regime, Default Rights under this Agreement that may be exercised against TD Cowen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 </w:t>
      </w:r>
      <w:r>
        <w:rPr>
          <w:color w:val="000000"/>
        </w:rPr>
        <w:t>    </w:t>
      </w:r>
      <w:r>
        <w:rPr>
          <w:rFonts w:ascii="Times New Roman;sans-serif" w:hAnsi="Times New Roman;sans-serif"/>
          <w:b w:val="false"/>
          <w:color w:val="000000"/>
          <w:sz w:val="24"/>
        </w:rPr>
        <w:t>For purposes of this Section 20; (a) “</w:t>
      </w:r>
      <w:r>
        <w:rPr>
          <w:rFonts w:ascii="Times New Roman;sans-serif" w:hAnsi="Times New Roman;sans-serif"/>
          <w:b/>
          <w:color w:val="000000"/>
          <w:sz w:val="24"/>
          <w:u w:val="single"/>
        </w:rPr>
        <w:t>BHC Act Affiliate</w:t>
      </w:r>
      <w:r>
        <w:rPr>
          <w:color w:val="000000"/>
        </w:rPr>
        <w:t xml:space="preserve">” </w:t>
      </w:r>
      <w:r>
        <w:rPr>
          <w:rFonts w:ascii="Times New Roman;sans-serif" w:hAnsi="Times New Roman;sans-serif"/>
          <w:b w:val="false"/>
          <w:color w:val="000000"/>
          <w:sz w:val="24"/>
        </w:rPr>
        <w:t>has the meaning assigned to the term “affiliate” in, and shall be interpreted in accordance with, 12 U.S.C. § 1841(k), (b) “</w:t>
      </w:r>
      <w:r>
        <w:rPr>
          <w:rFonts w:ascii="Times New Roman;sans-serif" w:hAnsi="Times New Roman;sans-serif"/>
          <w:b/>
          <w:color w:val="000000"/>
          <w:sz w:val="24"/>
          <w:u w:val="single"/>
        </w:rPr>
        <w:t>Covered Entity</w:t>
      </w:r>
      <w:r>
        <w:rPr>
          <w:color w:val="000000"/>
        </w:rPr>
        <w:t xml:space="preserve">” </w:t>
      </w:r>
      <w:r>
        <w:rPr>
          <w:rFonts w:ascii="Times New Roman;sans-serif" w:hAnsi="Times New Roman;sans-serif"/>
          <w:b w:val="false"/>
          <w:color w:val="000000"/>
          <w:sz w:val="24"/>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sans-serif" w:hAnsi="Times New Roman;sans-serif"/>
          <w:b/>
          <w:color w:val="000000"/>
          <w:sz w:val="24"/>
          <w:u w:val="single"/>
        </w:rPr>
        <w:t>Default Right</w:t>
      </w:r>
      <w:r>
        <w:rPr>
          <w:color w:val="000000"/>
        </w:rPr>
        <w:t xml:space="preserve">” </w:t>
      </w:r>
      <w:r>
        <w:rPr>
          <w:rFonts w:ascii="Times New Roman;sans-serif" w:hAnsi="Times New Roman;sans-serif"/>
          <w:b w:val="false"/>
          <w:color w:val="000000"/>
          <w:sz w:val="24"/>
        </w:rPr>
        <w:t>has the meaning assigned to that term in, and shall be interpreted in accordance with, 12 C.F.R. §§ 252.81, 47.2 or 382.1, as applicable, and (d) “</w:t>
      </w:r>
      <w:r>
        <w:rPr>
          <w:rFonts w:ascii="Times New Roman;sans-serif" w:hAnsi="Times New Roman;sans-serif"/>
          <w:b/>
          <w:color w:val="000000"/>
          <w:sz w:val="24"/>
          <w:u w:val="single"/>
        </w:rPr>
        <w:t>U.S. Special Resolution Regime</w:t>
      </w:r>
      <w:r>
        <w:rPr>
          <w:color w:val="000000"/>
        </w:rPr>
        <w:t xml:space="preserve">” </w:t>
      </w:r>
      <w:r>
        <w:rPr>
          <w:rFonts w:ascii="Times New Roman;sans-serif" w:hAnsi="Times New Roman;sans-serif"/>
          <w:b w:val="false"/>
          <w:color w:val="000000"/>
          <w:sz w:val="24"/>
        </w:rPr>
        <w:t>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240"/>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[Remainder of Page Intentionally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7025"/>
                <wp:effectExtent l="0" t="0" r="0" b="0"/>
                <wp:wrapNone/>
                <wp:docPr id="40" name="Frame3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foregoing correctly sets forth the understanding between the Company and TD Cowen, please so indicate in the space provided below for that purpose, whereupon this letter shall constitute a binding agreement between the Company and TD Cowen.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TD SECURITIES (USA)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Michael J. Murphy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Name: Michael J. Murphy</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Title: Managing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ACCEPTED as of the date</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first-above written: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GENEDX HOLDINGS CORP.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Kevin Feeley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Kevin Feeley</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2100"/>
                <wp:effectExtent l="0" t="0" r="0" b="0"/>
                <wp:wrapNone/>
                <wp:docPr id="41" name="Frame4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EAST\42430474.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EAST\42430474. 3</w:t>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4"/>
          <w:u w:val="single"/>
        </w:rPr>
      </w:pPr>
      <w:r>
        <w:rPr>
          <w:rFonts w:ascii="Times New Roman;sans-serif" w:hAnsi="Times New Roman;sans-serif"/>
          <w:b/>
          <w:color w:val="000000"/>
          <w:sz w:val="24"/>
          <w:u w:val="single"/>
        </w:rPr>
        <w:t>SCHEDULE 1</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FORM OF PLACEMENT NOTICE</w:t>
      </w:r>
    </w:p>
    <w:p>
      <w:pPr>
        <w:pStyle w:val="TextBody"/>
        <w:bidi w:val="0"/>
        <w:spacing w:before="0" w:after="240"/>
        <w:jc w:val="center"/>
        <w:rPr/>
      </w:pPr>
      <w:r>
        <w:rPr/>
      </w:r>
    </w:p>
    <w:p>
      <w:pPr>
        <w:pStyle w:val="TextBody"/>
        <w:bidi w:val="0"/>
        <w:spacing w:lineRule="auto" w:line="288" w:before="0" w:after="0"/>
        <w:ind w:left="0" w:right="0" w:hanging="1440"/>
        <w:jc w:val="left"/>
        <w:rPr>
          <w:rFonts w:ascii="Times New Roman;sans-serif" w:hAnsi="Times New Roman;sans-serif"/>
          <w:b w:val="false"/>
          <w:color w:val="000000"/>
          <w:sz w:val="24"/>
        </w:rPr>
      </w:pPr>
      <w:r>
        <w:rPr>
          <w:rFonts w:ascii="Times New Roman;sans-serif" w:hAnsi="Times New Roman;sans-serif"/>
          <w:b w:val="false"/>
          <w:color w:val="000000"/>
          <w:sz w:val="24"/>
        </w:rPr>
        <w:t>From:    [                                  ]</w:t>
      </w:r>
    </w:p>
    <w:p>
      <w:pPr>
        <w:pStyle w:val="TextBody"/>
        <w:bidi w:val="0"/>
        <w:spacing w:lineRule="auto" w:line="288" w:before="0" w:after="0"/>
        <w:ind w:left="0" w:right="0" w:hanging="1440"/>
        <w:jc w:val="left"/>
        <w:rPr>
          <w:rFonts w:ascii="Times New Roman;sans-serif" w:hAnsi="Times New Roman;sans-serif"/>
          <w:b w:val="false"/>
          <w:color w:val="000000"/>
          <w:sz w:val="24"/>
        </w:rPr>
      </w:pPr>
      <w:r>
        <w:rPr>
          <w:rFonts w:ascii="Times New Roman;sans-serif" w:hAnsi="Times New Roman;sans-serif"/>
          <w:b w:val="false"/>
          <w:color w:val="000000"/>
          <w:sz w:val="24"/>
        </w:rPr>
        <w:t>Cc:    [                                  ]</w:t>
      </w:r>
    </w:p>
    <w:p>
      <w:pPr>
        <w:pStyle w:val="TextBody"/>
        <w:bidi w:val="0"/>
        <w:spacing w:lineRule="auto" w:line="288" w:before="0" w:after="0"/>
        <w:ind w:left="0" w:right="0" w:hanging="1440"/>
        <w:jc w:val="left"/>
        <w:rPr>
          <w:rFonts w:ascii="Times New Roman;sans-serif" w:hAnsi="Times New Roman;sans-serif"/>
          <w:b w:val="false"/>
          <w:color w:val="000000"/>
          <w:sz w:val="24"/>
        </w:rPr>
      </w:pPr>
      <w:r>
        <w:rPr>
          <w:rFonts w:ascii="Times New Roman;sans-serif" w:hAnsi="Times New Roman;sans-serif"/>
          <w:b w:val="false"/>
          <w:color w:val="000000"/>
          <w:sz w:val="24"/>
        </w:rPr>
        <w:t>To:     [             ]</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Subject:     TD Cowen At the Market Offering—Placement Notice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Gentlemen:</w:t>
      </w:r>
    </w:p>
    <w:p>
      <w:pPr>
        <w:pStyle w:val="TextBody"/>
        <w:bidi w:val="0"/>
        <w:spacing w:lineRule="auto" w:line="288" w:before="0" w:after="240"/>
        <w:jc w:val="both"/>
        <w:rPr/>
      </w:pPr>
      <w:r>
        <w:rPr>
          <w:rFonts w:ascii="Times New Roman;sans-serif" w:hAnsi="Times New Roman;sans-serif"/>
          <w:b w:val="false"/>
          <w:color w:val="000000"/>
          <w:sz w:val="24"/>
        </w:rPr>
        <w:t>Pursuant to the terms and subject to the conditions contained in the Sales Agreement between GeneDx Holdings Corp., a Delaware corporation, and TD Securities (USA) LLC (“</w:t>
      </w:r>
      <w:r>
        <w:rPr>
          <w:rFonts w:ascii="Times New Roman;sans-serif" w:hAnsi="Times New Roman;sans-serif"/>
          <w:b/>
          <w:color w:val="000000"/>
          <w:sz w:val="24"/>
          <w:u w:val="single"/>
        </w:rPr>
        <w:t>TD Cowen</w:t>
      </w:r>
      <w:r>
        <w:rPr>
          <w:color w:val="000000"/>
        </w:rPr>
        <w:t>”</w:t>
      </w:r>
      <w:r>
        <w:rPr>
          <w:rFonts w:ascii="Times New Roman;sans-serif" w:hAnsi="Times New Roman;sans-serif"/>
          <w:b w:val="false"/>
          <w:color w:val="000000"/>
          <w:sz w:val="24"/>
        </w:rPr>
        <w:t>) dated April 29, 2024 (the “</w:t>
      </w:r>
      <w:r>
        <w:rPr>
          <w:rFonts w:ascii="Times New Roman;sans-serif" w:hAnsi="Times New Roman;sans-serif"/>
          <w:b/>
          <w:color w:val="000000"/>
          <w:sz w:val="24"/>
          <w:u w:val="single"/>
        </w:rPr>
        <w:t>Agreement</w:t>
      </w:r>
      <w:r>
        <w:rPr>
          <w:color w:val="000000"/>
        </w:rPr>
        <w:t>”</w:t>
      </w:r>
      <w:r>
        <w:rPr>
          <w:rFonts w:ascii="Times New Roman;sans-serif" w:hAnsi="Times New Roman;sans-serif"/>
          <w:b w:val="false"/>
          <w:color w:val="000000"/>
          <w:sz w:val="24"/>
        </w:rPr>
        <w:t>), I hereby request on behalf of the Company that TD Cowen sell up to [ ] shares of the Company’s Class A common stock, par value $0.0001 per share, at a minimum market price of $_______ per share. Sales should begin on the date of this Notice and shall continue until [DATE] [all shares are sold].</w:t>
      </w:r>
    </w:p>
    <w:p>
      <w:pPr>
        <w:pStyle w:val="TextBody"/>
        <w:bidi w:val="0"/>
        <w:spacing w:before="0" w:after="24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2"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4"/>
          <w:u w:val="single"/>
        </w:rPr>
      </w:pPr>
      <w:r>
        <w:rPr>
          <w:rFonts w:ascii="Times New Roman;sans-serif" w:hAnsi="Times New Roman;sans-serif"/>
          <w:b/>
          <w:color w:val="000000"/>
          <w:sz w:val="24"/>
          <w:u w:val="single"/>
        </w:rPr>
        <w:t>SCHEDULE 2</w: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Notice Parties</w:t>
      </w:r>
    </w:p>
    <w:p>
      <w:pPr>
        <w:pStyle w:val="TextBody"/>
        <w:bidi w:val="0"/>
        <w:spacing w:lineRule="auto" w:line="288" w:before="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Company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Kevin Feeley        Chief Financial Officer</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Victor Karim         SVP, Corporate Controller</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TD Cowen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Michael J. Murphy    Managing Director</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William Follis        Managing Director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Adriano Pierroz    Director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Ryan Eurick        Analyst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3"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4"/>
          <w:u w:val="single"/>
        </w:rPr>
      </w:pPr>
      <w:r>
        <w:rPr>
          <w:rFonts w:ascii="Times New Roman;sans-serif" w:hAnsi="Times New Roman;sans-serif"/>
          <w:b/>
          <w:color w:val="000000"/>
          <w:sz w:val="24"/>
          <w:u w:val="single"/>
        </w:rPr>
        <w:t>SCHEDULE 3</w: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Compensation</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TD Cowen shall be paid compensation up to 3.0% of the gross proceeds from the sales of Common Stock pursuant to the terms of this Agreement.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4"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88" w:before="0" w:after="0"/>
        <w:jc w:val="right"/>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Exhibit 7(m)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OFFICER CERTIFICATE</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The undersigned, the duly qualified and elected _______________________, of GeneDx Holdings Corp. (“</w:t>
      </w:r>
      <w:r>
        <w:rPr>
          <w:rFonts w:ascii="Times New Roman;sans-serif" w:hAnsi="Times New Roman;sans-serif"/>
          <w:b/>
          <w:color w:val="000000"/>
          <w:sz w:val="24"/>
          <w:u w:val="single"/>
        </w:rPr>
        <w:t>Company</w:t>
      </w:r>
      <w:r>
        <w:rPr>
          <w:color w:val="000000"/>
        </w:rPr>
        <w:t>”</w:t>
      </w:r>
      <w:r>
        <w:rPr>
          <w:rFonts w:ascii="Times New Roman;sans-serif" w:hAnsi="Times New Roman;sans-serif"/>
          <w:b w:val="false"/>
          <w:color w:val="000000"/>
          <w:sz w:val="24"/>
        </w:rPr>
        <w:t xml:space="preserve">), a Delaware corporation, does hereby certify in such capacity and on behalf of the Company, pursuant to </w:t>
      </w:r>
      <w:r>
        <w:rPr>
          <w:rFonts w:ascii="Times New Roman;sans-serif" w:hAnsi="Times New Roman;sans-serif"/>
          <w:b w:val="false"/>
          <w:color w:val="000000"/>
          <w:sz w:val="24"/>
          <w:u w:val="single"/>
        </w:rPr>
        <w:t>Section 7(m)</w:t>
      </w:r>
      <w:r>
        <w:rPr>
          <w:color w:val="000000"/>
        </w:rPr>
        <w:t xml:space="preserve"> </w:t>
      </w:r>
      <w:r>
        <w:rPr>
          <w:rFonts w:ascii="Times New Roman;sans-serif" w:hAnsi="Times New Roman;sans-serif"/>
          <w:b w:val="false"/>
          <w:color w:val="000000"/>
          <w:sz w:val="24"/>
        </w:rPr>
        <w:t>of the Sales Agreement dated April 29</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2024 (the “</w:t>
      </w:r>
      <w:r>
        <w:rPr>
          <w:rFonts w:ascii="Times New Roman;sans-serif" w:hAnsi="Times New Roman;sans-serif"/>
          <w:b/>
          <w:color w:val="000000"/>
          <w:sz w:val="24"/>
          <w:u w:val="single"/>
        </w:rPr>
        <w:t>Sales Agreement</w:t>
      </w:r>
      <w:r>
        <w:rPr>
          <w:color w:val="000000"/>
        </w:rPr>
        <w:t>”</w:t>
      </w:r>
      <w:r>
        <w:rPr>
          <w:rFonts w:ascii="Times New Roman;sans-serif" w:hAnsi="Times New Roman;sans-serif"/>
          <w:b w:val="false"/>
          <w:color w:val="000000"/>
          <w:sz w:val="24"/>
        </w:rPr>
        <w:t>) between the Company and TD Securities (USA) LLC, that to the best of the knowledge of the undersigned.</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    The representations and warranties of the Company in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The Company has complied with all agreements and satisfied all conditions on its part to be performed or satisfied pursuant to the Sales Agreement at or prior to the date hereof.</w:t>
      </w:r>
    </w:p>
    <w:p>
      <w:pPr>
        <w:pStyle w:val="TextBody"/>
        <w:bidi w:val="0"/>
        <w:spacing w:before="0" w:after="240"/>
        <w:ind w:left="0" w:right="0" w:firstLine="72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w:t>
      </w:r>
      <w:r>
        <w:rPr>
          <w:color w:val="000000"/>
          <w:u w:val="single"/>
        </w:rPr>
        <w: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Date:</w:t>
      </w:r>
      <w:r>
        <w:rPr>
          <w:color w:val="000000"/>
          <w:u w:val="single"/>
        </w:rPr>
        <w:t>                </w:t>
      </w:r>
    </w:p>
    <w:p>
      <w:pPr>
        <w:pStyle w:val="TextBody"/>
        <w:bidi w:val="0"/>
        <w:spacing w:before="0" w:after="240"/>
        <w:jc w:val="center"/>
        <w:rPr/>
      </w:pPr>
      <w:r>
        <w:rPr/>
      </w:r>
    </w:p>
    <w:p>
      <w:pPr>
        <w:pStyle w:val="TextBody"/>
        <w:bidi w:val="0"/>
        <w:spacing w:lineRule="auto" w:line="288" w:before="0" w:after="240"/>
        <w:jc w:val="right"/>
        <w:rPr>
          <w:rFonts w:ascii="Times New Roman;sans-serif" w:hAnsi="Times New Roman;sans-serif"/>
          <w:b/>
          <w:color w:val="000000"/>
          <w:sz w:val="24"/>
          <w:u w:val="single"/>
        </w:rPr>
      </w:pPr>
      <w:r>
        <w:rPr>
          <w:rFonts w:ascii="Times New Roman;sans-serif" w:hAnsi="Times New Roman;sans-serif"/>
          <w:b/>
          <w:color w:val="000000"/>
          <w:sz w:val="24"/>
          <w:u w:val="single"/>
        </w:rPr>
        <w:t>8</w:t>
      </w: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5"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4"/>
          <w:u w:val="single"/>
        </w:rPr>
      </w:pPr>
      <w:r>
        <w:rPr>
          <w:rFonts w:ascii="Times New Roman;sans-serif" w:hAnsi="Times New Roman;sans-serif"/>
          <w:b/>
          <w:color w:val="000000"/>
          <w:sz w:val="24"/>
          <w:u w:val="single"/>
        </w:rPr>
        <w:t>Exhibit 7(p)</w:t>
      </w:r>
    </w:p>
    <w:p>
      <w:pPr>
        <w:pStyle w:val="TextBody"/>
        <w:bidi w:val="0"/>
        <w:spacing w:lineRule="auto" w:line="288" w:before="0" w:after="240"/>
        <w:ind w:left="0" w:right="0" w:firstLine="7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CFO Certificate</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pPr>
      <w:r>
        <w:rPr>
          <w:rFonts w:ascii="Times New Roman;sans-serif" w:hAnsi="Times New Roman;sans-serif"/>
          <w:b/>
          <w:color w:val="000000"/>
          <w:sz w:val="22"/>
        </w:rPr>
        <w:t>Exhibit 5.1</w:t>
      </w:r>
      <w:r>
        <w:rPr/>
        <w:drawing>
          <wp:inline distT="0" distB="0" distL="0" distR="0">
            <wp:extent cx="5943600" cy="476250"/>
            <wp:effectExtent l="0" t="0" r="0" b="0"/>
            <wp:docPr id="4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 descr=""/>
                    <pic:cNvPicPr>
                      <a:picLocks noChangeAspect="1" noChangeArrowheads="1"/>
                    </pic:cNvPicPr>
                  </pic:nvPicPr>
                  <pic:blipFill>
                    <a:blip r:embed="rId3"/>
                    <a:stretch>
                      <a:fillRect/>
                    </a:stretch>
                  </pic:blipFill>
                  <pic:spPr bwMode="auto">
                    <a:xfrm>
                      <a:off x="0" y="0"/>
                      <a:ext cx="5943600" cy="476250"/>
                    </a:xfrm>
                    <a:prstGeom prst="rect">
                      <a:avLst/>
                    </a:prstGeom>
                  </pic:spPr>
                </pic:pic>
              </a:graphicData>
            </a:graphic>
          </wp:inline>
        </w:drawing>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7025"/>
                <wp:effectExtent l="0" t="0" r="0" b="0"/>
                <wp:wrapNone/>
                <wp:docPr id="47" name="Frame4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30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Active\1608832827.6</w:t>
                      </w:r>
                    </w:p>
                  </w:txbxContent>
                </v:textbox>
                <w10:wrap type="none"/>
              </v:rect>
            </w:pict>
          </mc:Fallback>
        </mc:AlternateContent>
      </w:r>
    </w:p>
    <w:p>
      <w:pPr>
        <w:pStyle w:val="TextBody"/>
        <w:bidi w:val="0"/>
        <w:spacing w:lineRule="auto" w:line="288" w:before="0" w:after="720"/>
        <w:jc w:val="both"/>
        <w:rPr>
          <w:rFonts w:ascii="Times New Roman;sans-serif" w:hAnsi="Times New Roman;sans-serif"/>
          <w:b w:val="false"/>
          <w:color w:val="000000"/>
          <w:sz w:val="24"/>
        </w:rPr>
      </w:pPr>
      <w:r>
        <w:rPr>
          <w:rFonts w:ascii="Times New Roman;sans-serif" w:hAnsi="Times New Roman;sans-serif"/>
          <w:b w:val="false"/>
          <w:color w:val="000000"/>
          <w:sz w:val="24"/>
        </w:rPr>
        <w:t>April 29, 2024</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GeneDx Holdings Corp.</w:t>
        <w:br/>
        <w:t>333 Ludlow Street,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North Tower, 6th Floor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Stamford, Connecticut</w:t>
      </w:r>
    </w:p>
    <w:p>
      <w:pPr>
        <w:pStyle w:val="TextBody"/>
        <w:bidi w:val="0"/>
        <w:spacing w:before="0" w:after="240"/>
        <w:jc w:val="both"/>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 Registration Statement on Form S-3</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As counsel to GeneDx Holdings Corp., a Delaware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we deliver this opinion with respect to certain matters in connection with the offering by the Company of shares (the “</w:t>
      </w:r>
      <w:r>
        <w:rPr>
          <w:rFonts w:ascii="Times New Roman;sans-serif" w:hAnsi="Times New Roman;sans-serif"/>
          <w:b/>
          <w:i/>
          <w:color w:val="000000"/>
          <w:sz w:val="24"/>
        </w:rPr>
        <w:t>Shares</w:t>
      </w:r>
      <w:r>
        <w:rPr>
          <w:color w:val="000000"/>
        </w:rPr>
        <w:t>”</w:t>
      </w:r>
      <w:r>
        <w:rPr>
          <w:rFonts w:ascii="Times New Roman;sans-serif" w:hAnsi="Times New Roman;sans-serif"/>
          <w:b w:val="false"/>
          <w:color w:val="000000"/>
          <w:sz w:val="24"/>
        </w:rPr>
        <w:t>) of the Company’s Class A common stock, par value $0.0001 per share (“</w:t>
      </w:r>
      <w:r>
        <w:rPr>
          <w:rFonts w:ascii="Times New Roman;sans-serif" w:hAnsi="Times New Roman;sans-serif"/>
          <w:b/>
          <w:i/>
          <w:color w:val="000000"/>
          <w:sz w:val="24"/>
        </w:rPr>
        <w:t>Common Stock</w:t>
      </w:r>
      <w:r>
        <w:rPr>
          <w:color w:val="000000"/>
        </w:rPr>
        <w:t>”</w:t>
      </w:r>
      <w:r>
        <w:rPr>
          <w:rFonts w:ascii="Times New Roman;sans-serif" w:hAnsi="Times New Roman;sans-serif"/>
          <w:b w:val="false"/>
          <w:color w:val="000000"/>
          <w:sz w:val="24"/>
        </w:rPr>
        <w:t>) having an aggregate offering price of up to $75,000,000, and issued pursuant to that certain Sales Agreement (the “</w:t>
      </w:r>
      <w:r>
        <w:rPr>
          <w:rFonts w:ascii="Times New Roman;sans-serif" w:hAnsi="Times New Roman;sans-serif"/>
          <w:b/>
          <w:i/>
          <w:color w:val="000000"/>
          <w:sz w:val="24"/>
        </w:rPr>
        <w:t>Sales Agreement</w:t>
      </w:r>
      <w:r>
        <w:rPr>
          <w:color w:val="000000"/>
        </w:rPr>
        <w:t>”</w:t>
      </w:r>
      <w:r>
        <w:rPr>
          <w:rFonts w:ascii="Times New Roman;sans-serif" w:hAnsi="Times New Roman;sans-serif"/>
          <w:b w:val="false"/>
          <w:color w:val="000000"/>
          <w:sz w:val="24"/>
        </w:rPr>
        <w:t>), dated as of April 29, 2024, by and between the Company and TD Securities (USA) LLC (the “</w:t>
      </w:r>
      <w:r>
        <w:rPr>
          <w:rFonts w:ascii="Times New Roman;sans-serif" w:hAnsi="Times New Roman;sans-serif"/>
          <w:b/>
          <w:i/>
          <w:color w:val="000000"/>
          <w:sz w:val="24"/>
        </w:rPr>
        <w:t>Sales Agent</w:t>
      </w:r>
      <w:r>
        <w:rPr>
          <w:color w:val="000000"/>
        </w:rPr>
        <w:t>”</w:t>
      </w:r>
      <w:r>
        <w:rPr>
          <w:rFonts w:ascii="Times New Roman;sans-serif" w:hAnsi="Times New Roman;sans-serif"/>
          <w:b w:val="false"/>
          <w:color w:val="000000"/>
          <w:sz w:val="24"/>
        </w:rPr>
        <w:t>). The Shares were registered pursuant to the Registration Statement on Form S-3 (File No. 333-267112) filed by the Company with the Securities and Exchange Commission (the “</w:t>
      </w:r>
      <w:r>
        <w:rPr>
          <w:rFonts w:ascii="Times New Roman;sans-serif" w:hAnsi="Times New Roman;sans-serif"/>
          <w:b/>
          <w:i/>
          <w:color w:val="000000"/>
          <w:sz w:val="24"/>
        </w:rPr>
        <w:t>Commission</w:t>
      </w:r>
      <w:r>
        <w:rPr>
          <w:color w:val="000000"/>
        </w:rPr>
        <w:t>”</w:t>
      </w:r>
      <w:r>
        <w:rPr>
          <w:rFonts w:ascii="Times New Roman;sans-serif" w:hAnsi="Times New Roman;sans-serif"/>
          <w:b w:val="false"/>
          <w:color w:val="000000"/>
          <w:sz w:val="24"/>
        </w:rPr>
        <w:t>) on August 26, 2022 and declared effective on September 7, 2022 (the registration statement at the time it was declared effective, including the documents or portions thereof incorporated by reference therein, as modified or superseded as described therein, and the information deemed to be a part thereof pursuant to Rule 430B under the Securities Act of 1933, as amended (the “</w:t>
      </w:r>
      <w:r>
        <w:rPr>
          <w:rFonts w:ascii="Times New Roman;sans-serif" w:hAnsi="Times New Roman;sans-serif"/>
          <w:b/>
          <w:i/>
          <w:color w:val="000000"/>
          <w:sz w:val="24"/>
        </w:rPr>
        <w:t>Securities Act</w:t>
      </w:r>
      <w:r>
        <w:rPr>
          <w:color w:val="000000"/>
        </w:rPr>
        <w:t>”</w:t>
      </w:r>
      <w:r>
        <w:rPr>
          <w:rFonts w:ascii="Times New Roman;sans-serif" w:hAnsi="Times New Roman;sans-serif"/>
          <w:b w:val="false"/>
          <w:color w:val="000000"/>
          <w:sz w:val="24"/>
        </w:rPr>
        <w:t>), the “</w:t>
      </w:r>
      <w:r>
        <w:rPr>
          <w:rFonts w:ascii="Times New Roman;sans-serif" w:hAnsi="Times New Roman;sans-serif"/>
          <w:b/>
          <w:i/>
          <w:color w:val="000000"/>
          <w:sz w:val="24"/>
        </w:rPr>
        <w:t>Registration Statement</w:t>
      </w:r>
      <w:r>
        <w:rPr>
          <w:color w:val="000000"/>
        </w:rPr>
        <w:t>”</w:t>
      </w:r>
      <w:r>
        <w:rPr>
          <w:rFonts w:ascii="Times New Roman;sans-serif" w:hAnsi="Times New Roman;sans-serif"/>
          <w:b w:val="false"/>
          <w:color w:val="000000"/>
          <w:sz w:val="24"/>
        </w:rPr>
        <w:t>) under the Securities Act, including the prospectus dated September 7, 2022 included therein (the “</w:t>
      </w:r>
      <w:r>
        <w:rPr>
          <w:rFonts w:ascii="Times New Roman;sans-serif" w:hAnsi="Times New Roman;sans-serif"/>
          <w:b/>
          <w:i/>
          <w:color w:val="000000"/>
          <w:sz w:val="24"/>
        </w:rPr>
        <w:t>Base Prospectus</w:t>
      </w:r>
      <w:r>
        <w:rPr>
          <w:color w:val="000000"/>
        </w:rPr>
        <w:t>”</w:t>
      </w:r>
      <w:r>
        <w:rPr>
          <w:rFonts w:ascii="Times New Roman;sans-serif" w:hAnsi="Times New Roman;sans-serif"/>
          <w:b w:val="false"/>
          <w:color w:val="000000"/>
          <w:sz w:val="24"/>
        </w:rPr>
        <w:t>) as supplemented by the prospectus supplement dated April 29, 2024, filed with the Commission pursuant to Rule 424(b) under the Securities Act (the “</w:t>
      </w:r>
      <w:r>
        <w:rPr>
          <w:rFonts w:ascii="Times New Roman;sans-serif" w:hAnsi="Times New Roman;sans-serif"/>
          <w:b/>
          <w:i/>
          <w:color w:val="000000"/>
          <w:sz w:val="24"/>
        </w:rPr>
        <w:t>Prospectus Supplement</w:t>
      </w:r>
      <w:r>
        <w:rPr>
          <w:color w:val="000000"/>
        </w:rPr>
        <w:t xml:space="preserve">” </w:t>
      </w:r>
      <w:r>
        <w:rPr>
          <w:rFonts w:ascii="Times New Roman;sans-serif" w:hAnsi="Times New Roman;sans-serif"/>
          <w:b w:val="false"/>
          <w:color w:val="000000"/>
          <w:sz w:val="24"/>
        </w:rPr>
        <w:t>and, together with the Base Prospectus, the “</w:t>
      </w:r>
      <w:r>
        <w:rPr>
          <w:rFonts w:ascii="Times New Roman;sans-serif" w:hAnsi="Times New Roman;sans-serif"/>
          <w:b/>
          <w:i/>
          <w:color w:val="000000"/>
          <w:sz w:val="24"/>
        </w:rPr>
        <w:t>Prospectus</w:t>
      </w:r>
      <w:r>
        <w:rPr>
          <w:color w:val="000000"/>
        </w:rPr>
        <w:t>”</w:t>
      </w:r>
      <w:r>
        <w:rPr>
          <w:rFonts w:ascii="Times New Roman;sans-serif" w:hAnsi="Times New Roman;sans-serif"/>
          <w:b w:val="false"/>
          <w:color w:val="000000"/>
          <w:sz w:val="24"/>
        </w:rPr>
        <w:t>). The offering of the Shares by the Company pursuant to the Registration Statement, the Prospectus and the Sales Agreement is referred to herein as the “</w:t>
      </w:r>
      <w:r>
        <w:rPr>
          <w:rFonts w:ascii="Times New Roman;sans-serif" w:hAnsi="Times New Roman;sans-serif"/>
          <w:b/>
          <w:i/>
          <w:color w:val="000000"/>
          <w:sz w:val="24"/>
        </w:rPr>
        <w:t>Offering</w:t>
      </w:r>
      <w:r>
        <w:rPr>
          <w:rFonts w:ascii="Times New Roman;sans-serif" w:hAnsi="Times New Roman;sans-serif"/>
          <w:b w:val="false"/>
          <w:color w:val="000000"/>
          <w:sz w:val="24"/>
        </w:rPr>
        <w:t>.” This opinion is being furnished in connection with the requirements of Item 601(b)(5) of Regulation S-K under the Securities Act, and no opinion is expressed herein as to any matter pertaining to the contents of the Registration Statement or related Prospectus, other than as expressly stated herein with respect to the issue of the Shares.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As to matters of fact relevant to the opinions rendered herein, we have examined such documents, certificates and other instruments which we have deemed necessary or advisable, including a certificate addressed to us and dated the date hereof executed by the Company (the “</w:t>
      </w:r>
      <w:r>
        <w:rPr>
          <w:rFonts w:ascii="Times New Roman;sans-serif" w:hAnsi="Times New Roman;sans-serif"/>
          <w:b/>
          <w:i/>
          <w:color w:val="000000"/>
          <w:sz w:val="24"/>
        </w:rPr>
        <w:t>Opinion Certificate</w:t>
      </w:r>
      <w:r>
        <w:rPr>
          <w:color w:val="000000"/>
        </w:rPr>
        <w:t>”</w:t>
      </w:r>
      <w:r>
        <w:rPr>
          <w:rFonts w:ascii="Times New Roman;sans-serif" w:hAnsi="Times New Roman;sans-serif"/>
          <w:b w:val="false"/>
          <w:color w:val="000000"/>
          <w:sz w:val="24"/>
        </w:rPr>
        <w:t xml:space="preserve">).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opinions set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GeneDx Holdings Corp.</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April 29, 2024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Page 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forth below. We have not considered parol evidence in connection with any of the agreements or instruments reviewed by us in connection with this letter.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sans-serif" w:hAnsi="Times New Roman;sans-serif"/>
          <w:b/>
          <w:i/>
          <w:color w:val="000000"/>
          <w:sz w:val="24"/>
        </w:rPr>
        <w:t>EDGAR</w:t>
      </w:r>
      <w:r>
        <w:rPr>
          <w:color w:val="000000"/>
        </w:rPr>
        <w:t>”</w:t>
      </w:r>
      <w:r>
        <w:rPr>
          <w:rFonts w:ascii="Times New Roman;sans-serif" w:hAnsi="Times New Roman;sans-serif"/>
          <w:b w:val="false"/>
          <w:color w:val="000000"/>
          <w:sz w:val="24"/>
        </w:rPr>
        <w:t>), except for required EDGAR formatting changes, to physical copies submitted for our examination.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The opinions in this letter are limited to the existing General Corporation Law of the State of Delaware now in effect (the “</w:t>
      </w:r>
      <w:r>
        <w:rPr>
          <w:rFonts w:ascii="Times New Roman;sans-serif" w:hAnsi="Times New Roman;sans-serif"/>
          <w:b/>
          <w:i/>
          <w:color w:val="000000"/>
          <w:sz w:val="24"/>
        </w:rPr>
        <w:t>Applicable Laws</w:t>
      </w:r>
      <w:r>
        <w:rPr>
          <w:color w:val="000000"/>
        </w:rPr>
        <w:t>”</w:t>
      </w:r>
      <w:r>
        <w:rPr>
          <w:rFonts w:ascii="Times New Roman;sans-serif" w:hAnsi="Times New Roman;sans-serif"/>
          <w:b w:val="false"/>
          <w:color w:val="000000"/>
          <w:sz w:val="24"/>
        </w:rPr>
        <w:t>). We express no opinion with respect to any other laws.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Based upon the foregoing, and subject to the qualifications and exceptions contained herein, we are of the opinion that the Shares, when issued, sold and delivered in the manner and for the consideration stated in the Registration Statement and the Prospectus and in accordance with the resolutions adopted by the Company’s Board of Directors and the pricing committee thereof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will be validly issued, fully paid and nonassessable.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consent to the use of this opinion as an exhibit to the Report on Form 8-K to be filed by the Company with the Commission in connection with the Offering of the Shares and further consent to all references to us, if any, in the Registration Statement, the Prospectus and any amendments thereto. In giving this consent we do not thereby admit that we come within the category of persons whose consent is required under Section 7 of the Securities Act or the rules and regulations of the Commission thereunder. </w:t>
      </w:r>
    </w:p>
    <w:p>
      <w:pPr>
        <w:pStyle w:val="TextBody"/>
        <w:bidi w:val="0"/>
        <w:spacing w:lineRule="auto" w:line="288" w:before="72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[Concluding Paragraph Follows on Next Page]</w:t>
      </w:r>
    </w:p>
    <w:p>
      <w:pPr>
        <w:pStyle w:val="TextBody"/>
        <w:bidi w:val="0"/>
        <w:spacing w:before="0"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GeneDx Holdings Corp.</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April 29, 2024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Page 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opinion is intended solely for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 Fenwick &amp; West LLP</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FENWICK &amp; WEST LLP</w:t>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23529</Words>
  <Characters>124481</Characters>
  <CharactersWithSpaces>148346</CharactersWithSpaces>
  <Paragraphs>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