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4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40"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20" w:type="dxa"/>
            <w:vAlign w:val="bottom"/>
            <w:gridSpan w:val="6"/>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05/13/2024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bottom w:val="single" w:sz="8" w:color="2C2C2C"/>
            </w:tcBorders>
          </w:tcPr>
          <w:p>
            <w:pPr>
              <w:jc w:val="right"/>
              <w:ind w:right="135"/>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23.3059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2,753,509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(1)</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3,142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432,902</w:t>
            </w:r>
          </w:p>
        </w:tc>
        <w:tc>
          <w:tcPr>
            <w:tcW w:w="260" w:type="dxa"/>
            <w:vAlign w:val="bottom"/>
          </w:tcPr>
          <w:p>
            <w:pPr>
              <w:spacing w:after="0"/>
              <w:rPr>
                <w:sz w:val="21"/>
                <w:szCs w:val="21"/>
                <w:color w:val="auto"/>
              </w:rPr>
            </w:pPr>
          </w:p>
        </w:tc>
        <w:tc>
          <w:tcPr>
            <w:tcW w:w="660" w:type="dxa"/>
            <w:vAlign w:val="bottom"/>
            <w:vMerge w:val="restart"/>
          </w:tcPr>
          <w:p>
            <w:pPr>
              <w:jc w:val="center"/>
              <w:ind w:right="30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(3)</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6"/>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333,144</w:t>
            </w:r>
          </w:p>
        </w:tc>
        <w:tc>
          <w:tcPr>
            <w:tcW w:w="260" w:type="dxa"/>
            <w:vAlign w:val="bottom"/>
          </w:tcPr>
          <w:p>
            <w:pPr>
              <w:spacing w:after="0"/>
              <w:rPr>
                <w:sz w:val="21"/>
                <w:szCs w:val="21"/>
                <w:color w:val="auto"/>
              </w:rPr>
            </w:pPr>
          </w:p>
        </w:tc>
        <w:tc>
          <w:tcPr>
            <w:tcW w:w="660" w:type="dxa"/>
            <w:vAlign w:val="bottom"/>
            <w:vMerge w:val="restart"/>
          </w:tcPr>
          <w:p>
            <w:pPr>
              <w:jc w:val="center"/>
              <w:ind w:right="30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(4)</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6"/>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40" w:type="dxa"/>
            <w:vAlign w:val="bottom"/>
            <w:gridSpan w:val="17"/>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Capital, LLC</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Casdin Eli</w:t>
              </w:r>
            </w:hyperlink>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4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40"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402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540258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Casdin Partners FO1-MSV,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CASDIN PARTNERS GP,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FO1-MSV, LP ("Casdin FO1") and may be deemed to be indirectly beneficially owned by (i) Casdin, the investment adviser to Casdin FO1, (ii) the GP, the general partner of Casdin FO1,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CMLS Holdings LLC ("CMLS Holdings"). The Board of Managers of CMLS Holdings includes Eli Casdin, who, as a member of the Board of Managers of CMLS Holdings, shares voting and investment discretion with respect to the common stock held by CMLS Holdings.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280"/>
        <w:spacing w:after="0" w:line="272" w:lineRule="auto"/>
        <w:rPr>
          <w:sz w:val="20"/>
          <w:szCs w:val="20"/>
          <w:color w:val="auto"/>
        </w:rPr>
      </w:pPr>
      <w:r>
        <w:rPr>
          <w:rFonts w:ascii="Times New Roman" w:cs="Times New Roman" w:eastAsia="Times New Roman" w:hAnsi="Times New Roman"/>
          <w:sz w:val="13"/>
          <w:szCs w:val="13"/>
          <w:color w:val="008000"/>
        </w:rPr>
        <w:t>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1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Eli Casdin, Managing</w:t>
      </w:r>
      <w:r>
        <w:rPr>
          <w:sz w:val="20"/>
          <w:szCs w:val="20"/>
          <w:color w:val="auto"/>
        </w:rPr>
        <w:tab/>
      </w:r>
      <w:r>
        <w:rPr>
          <w:rFonts w:ascii="Times New Roman" w:cs="Times New Roman" w:eastAsia="Times New Roman" w:hAnsi="Times New Roman"/>
          <w:sz w:val="17"/>
          <w:szCs w:val="17"/>
          <w:color w:val="0000FF"/>
        </w:rPr>
        <w:t>05/15/2024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ectPr>
          <w:pgSz w:w="11900" w:h="16838" w:orient="portrait"/>
          <w:cols w:equalWidth="0" w:num="1">
            <w:col w:w="10920"/>
          </w:cols>
          <w:pgMar w:left="480" w:top="216" w:right="499" w:bottom="300" w:gutter="0" w:footer="0" w:header="0"/>
        </w:sectPr>
      </w:pPr>
    </w:p>
    <w:p>
      <w:pPr>
        <w:spacing w:after="0" w:line="5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9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/s/ Eli Casdin,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9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05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FO1-MSV,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5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20"/>
            <w:col w:w="2160"/>
          </w:cols>
          <w:pgMar w:left="480" w:top="216" w:right="499" w:bottom="30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216" w:right="499" w:bottom="3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2" Type="http://schemas.openxmlformats.org/officeDocument/2006/relationships/hyperlink" Target="http://www.sec.gov/cgi-bin/browse-edgar?action=getcompany&amp;CIK=0001534261" TargetMode="External"/><Relationship Id="rId13" Type="http://schemas.openxmlformats.org/officeDocument/2006/relationships/hyperlink" Target="http://www.sec.gov/cgi-bin/browse-edgar?action=getcompany&amp;CIK=0001818331" TargetMode="External"/><Relationship Id="rId14" Type="http://schemas.openxmlformats.org/officeDocument/2006/relationships/hyperlink" Target="http://www.sec.gov/cgi-bin/browse-edgar?action=getcompany&amp;CIK=0001534264" TargetMode="External"/><Relationship Id="rId17" Type="http://schemas.openxmlformats.org/officeDocument/2006/relationships/hyperlink" Target="http://www.sec.gov/cgi-bin/browse-edgar?action=getcompany&amp;CIK=0001534265" TargetMode="External"/><Relationship Id="rId18" Type="http://schemas.openxmlformats.org/officeDocument/2006/relationships/hyperlink" Target="http://www.sec.gov/cgi-bin/browse-edgar?action=getcompany&amp;CIK=0001534260" TargetMode="External"/><Relationship Id="rId19" Type="http://schemas.openxmlformats.org/officeDocument/2006/relationships/hyperlink" Target="http://www.sec.gov/cgi-bin/browse-edgar?action=getcompany&amp;CIK=00019387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2024-05-15T17:20:45Z</dcterms:created>
  <dcterms:modified xsi:type="dcterms:W3CDTF">2024-05-15T17:20:45Z</dcterms:modified>
</cp:coreProperties>
</file>