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699516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Feeley Kevin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657,617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657,617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657,617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378,787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378,787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378,787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-2265680</wp:posOffset>
            </wp:positionV>
            <wp:extent cx="28575" cy="2270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4-year period commencing on September 1, 2022 until fully vested, subject to the Reporting Person's continued service to the Issuer on each vesting date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Bridget Brown,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09/08/2022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80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4411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2022-09-08T19:54:21Z</dcterms:created>
  <dcterms:modified xsi:type="dcterms:W3CDTF">2022-09-08T19:54:21Z</dcterms:modified>
</cp:coreProperties>
</file>