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19050</wp:posOffset>
            </wp:positionV>
            <wp:extent cx="6997700" cy="5395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395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87"/>
                </w:rPr>
                <w:t>Coffin James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 w:line="100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Sema4 Holdings Corp.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SMFR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President and COO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SEMA4 HOLDINGS CORP.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07/22/2021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333 LUDLOW ST, NORTH TOWER, 8TH FL.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STAMFORD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CT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06902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6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2,167,093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0.1529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07/22/2021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2,167,093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08/30/2027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2,167,093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332,963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0.7659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07/22/2021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332,963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02/17/2030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332,963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480,657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0.7659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07/22/2021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480,657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02/17/2030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480,657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-2835910</wp:posOffset>
            </wp:positionV>
            <wp:extent cx="28575" cy="2841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84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6.25% of the total shares underlying the option vest in quarterly installments until fully vested, subject to the Reporting Person's continued service to the Issuer on each vesting date.</w:t>
      </w:r>
    </w:p>
    <w:p>
      <w:pPr>
        <w:spacing w:after="0" w:line="49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hanging="3"/>
        <w:spacing w:after="0" w:line="287" w:lineRule="auto"/>
        <w:tabs>
          <w:tab w:leader="none" w:pos="165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Pursuant to the business combination between the Issuer (which was formerly known as CM Life Sciences, Inc.) and Mount Sinai Genomics, Inc. d/b/a Sema4 ("Sema4"), each share of Sema4 outstanding common stock was automatically converted into the right to shares of the Issuer's Class A Common Stock based on a 1 to 123.8338 exchange ratio ("Exchange Ratio"). In addition, each outstanding Sema4 equity award was automatically converted into a corresponding equity award of the Issuer based on the Exchange Ratio and with the same terms and vesting conditions as the Sema4 equity awards.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40" w:right="380"/>
        <w:spacing w:after="0" w:line="27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merger agreement provides that certain former stockholders and equity award holders of Sema4 will receive additional shares of the Issuer's Class A common stock and awards of restricted stock units upon the achievement of certain vesting conditions.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/s/ Daniel Clark,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07/26/2021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hanging="3"/>
        <w:spacing w:after="0" w:line="324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883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2021-07-26T17:55:17Z</dcterms:created>
  <dcterms:modified xsi:type="dcterms:W3CDTF">2021-07-26T17:55:17Z</dcterms:modified>
</cp:coreProperties>
</file>