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-231140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-607060</wp:posOffset>
            </wp:positionV>
            <wp:extent cx="57150" cy="620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26670</wp:posOffset>
            </wp:positionV>
            <wp:extent cx="6997700" cy="4189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4189730"/>
                    </a:xfrm>
                    <a:prstGeom prst="rect">
                      <a:avLst/>
                    </a:prstGeom>
                    <a:noFill/>
                  </pic:spPr>
                </pic:pic>
              </a:graphicData>
            </a:graphic>
          </wp:anchor>
        </w:drawing>
      </w:r>
    </w:p>
    <w:p>
      <w:pPr>
        <w:spacing w:after="0" w:line="57" w:lineRule="exact"/>
        <w:rPr>
          <w:sz w:val="24"/>
          <w:szCs w:val="24"/>
          <w:color w:val="auto"/>
        </w:rPr>
      </w:pPr>
    </w:p>
    <w:p>
      <w:pPr>
        <w:sectPr>
          <w:pgSz w:w="11900" w:h="16838" w:orient="portrait"/>
          <w:cols w:equalWidth="0" w:num="2">
            <w:col w:w="2180" w:space="460"/>
            <w:col w:w="8440"/>
          </w:cols>
          <w:pgMar w:left="460" w:top="214"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2"/>
            <w:vMerge w:val="restart"/>
          </w:tcPr>
          <w:p>
            <w:pPr>
              <w:spacing w:after="0"/>
              <w:rPr>
                <w:rFonts w:ascii="Times New Roman" w:cs="Times New Roman" w:eastAsia="Times New Roman" w:hAnsi="Times New Roman"/>
                <w:sz w:val="20"/>
                <w:szCs w:val="20"/>
                <w:color w:val="0000EE"/>
                <w:w w:val="96"/>
              </w:rPr>
            </w:pPr>
            <w:hyperlink r:id="rId12">
              <w:r>
                <w:rPr>
                  <w:rFonts w:ascii="Times New Roman" w:cs="Times New Roman" w:eastAsia="Times New Roman" w:hAnsi="Times New Roman"/>
                  <w:sz w:val="20"/>
                  <w:szCs w:val="20"/>
                  <w:color w:val="0000EE"/>
                  <w:w w:val="96"/>
                </w:rPr>
                <w:t>Saad Kareem</w:t>
              </w:r>
            </w:hyperlink>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0" w:type="dxa"/>
            <w:vAlign w:val="bottom"/>
            <w:gridSpan w:val="7"/>
          </w:tcPr>
          <w:p>
            <w:pPr>
              <w:spacing w:after="0" w:line="163"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Sema4 Holdings Corp.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SMFR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Borders>
              <w:bottom w:val="single" w:sz="8" w:color="0000EE"/>
            </w:tcBorders>
            <w:gridSpan w:val="2"/>
            <w:vMerge w:val="continue"/>
          </w:tcPr>
          <w:p>
            <w:pPr>
              <w:spacing w:after="0"/>
              <w:rPr>
                <w:sz w:val="5"/>
                <w:szCs w:val="5"/>
                <w:color w:val="auto"/>
              </w:rPr>
            </w:pPr>
          </w:p>
        </w:tc>
        <w:tc>
          <w:tcPr>
            <w:tcW w:w="14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gridSpan w:val="2"/>
          </w:tcPr>
          <w:p>
            <w:pPr>
              <w:spacing w:after="0"/>
              <w:rPr>
                <w:sz w:val="5"/>
                <w:szCs w:val="5"/>
                <w:color w:val="auto"/>
              </w:rPr>
            </w:pPr>
          </w:p>
        </w:tc>
        <w:tc>
          <w:tcPr>
            <w:tcW w:w="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200" w:type="dxa"/>
            <w:vAlign w:val="bottom"/>
            <w:gridSpan w:val="2"/>
          </w:tcPr>
          <w:p>
            <w:pPr>
              <w:ind w:left="140"/>
              <w:spacing w:after="0" w:line="117" w:lineRule="exact"/>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10"/>
                <w:szCs w:val="10"/>
                <w:color w:val="auto"/>
              </w:rPr>
            </w:pPr>
          </w:p>
        </w:tc>
        <w:tc>
          <w:tcPr>
            <w:tcW w:w="1440" w:type="dxa"/>
            <w:vAlign w:val="bottom"/>
            <w:gridSpan w:val="4"/>
          </w:tcPr>
          <w:p>
            <w:pPr>
              <w:ind w:left="200"/>
              <w:spacing w:after="0" w:line="117"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56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(Last)</w:t>
            </w:r>
          </w:p>
        </w:tc>
        <w:tc>
          <w:tcPr>
            <w:tcW w:w="500" w:type="dxa"/>
            <w:vAlign w:val="bottom"/>
            <w:tcBorders>
              <w:top w:val="single" w:sz="8" w:color="EEEEEE"/>
            </w:tcBorders>
          </w:tcPr>
          <w:p>
            <w:pPr>
              <w:spacing w:after="0"/>
              <w:rPr>
                <w:sz w:val="12"/>
                <w:szCs w:val="12"/>
                <w:color w:val="auto"/>
              </w:rPr>
            </w:pPr>
          </w:p>
        </w:tc>
        <w:tc>
          <w:tcPr>
            <w:tcW w:w="140" w:type="dxa"/>
            <w:vAlign w:val="bottom"/>
            <w:tcBorders>
              <w:top w:val="single" w:sz="8" w:color="EEEEEE"/>
            </w:tcBorders>
          </w:tcPr>
          <w:p>
            <w:pPr>
              <w:spacing w:after="0"/>
              <w:rPr>
                <w:sz w:val="12"/>
                <w:szCs w:val="12"/>
                <w:color w:val="auto"/>
              </w:rPr>
            </w:pPr>
          </w:p>
        </w:tc>
        <w:tc>
          <w:tcPr>
            <w:tcW w:w="118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tcBorders>
              <w:top w:val="single" w:sz="8" w:color="EEEEEE"/>
              <w:bottom w:val="single" w:sz="8" w:color="EEEEEE"/>
            </w:tcBorders>
            <w:vMerge w:val="restart"/>
          </w:tcPr>
          <w:p>
            <w:pPr>
              <w:ind w:left="60"/>
              <w:spacing w:after="0"/>
              <w:rPr>
                <w:sz w:val="20"/>
                <w:szCs w:val="20"/>
                <w:color w:val="auto"/>
              </w:rPr>
            </w:pPr>
            <w:r>
              <w:rPr>
                <w:rFonts w:ascii="Arial" w:cs="Arial" w:eastAsia="Arial" w:hAnsi="Arial"/>
                <w:sz w:val="12"/>
                <w:szCs w:val="12"/>
                <w:color w:val="auto"/>
              </w:rPr>
              <w:t>(Middle)</w:t>
            </w:r>
          </w:p>
        </w:tc>
        <w:tc>
          <w:tcPr>
            <w:tcW w:w="200" w:type="dxa"/>
            <w:vAlign w:val="bottom"/>
            <w:tcBorders>
              <w:top w:val="single" w:sz="8" w:color="EEEEEE"/>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70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ind w:left="200"/>
              <w:spacing w:after="0" w:line="115"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7"/>
            <w:vMerge w:val="restart"/>
          </w:tcPr>
          <w:p>
            <w:pPr>
              <w:ind w:left="260"/>
              <w:spacing w:after="0"/>
              <w:rPr>
                <w:sz w:val="20"/>
                <w:szCs w:val="20"/>
                <w:color w:val="auto"/>
              </w:rPr>
            </w:pPr>
            <w:r>
              <w:rPr>
                <w:rFonts w:ascii="Times New Roman" w:cs="Times New Roman" w:eastAsia="Times New Roman" w:hAnsi="Times New Roman"/>
                <w:sz w:val="16"/>
                <w:szCs w:val="16"/>
                <w:color w:val="0000FF"/>
              </w:rPr>
              <w:t>Chief Transformation Officer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38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C/O SEMA4 HOLDINGS CORP.</w:t>
            </w: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0" w:type="dxa"/>
            <w:vAlign w:val="bottom"/>
            <w:gridSpan w:val="7"/>
            <w:vMerge w:val="continue"/>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5"/>
            <w:vMerge w:val="continue"/>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gridSpan w:val="5"/>
          </w:tcPr>
          <w:p>
            <w:pPr>
              <w:ind w:left="360"/>
              <w:spacing w:after="0"/>
              <w:rPr>
                <w:sz w:val="20"/>
                <w:szCs w:val="20"/>
                <w:color w:val="auto"/>
              </w:rPr>
            </w:pPr>
            <w:r>
              <w:rPr>
                <w:rFonts w:ascii="Times New Roman" w:cs="Times New Roman" w:eastAsia="Times New Roman" w:hAnsi="Times New Roman"/>
                <w:sz w:val="16"/>
                <w:szCs w:val="16"/>
                <w:color w:val="0000FF"/>
              </w:rPr>
              <w:t>12/09/2022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333 LUDLOW ST, NORTH TOWER, 8TH FL.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500" w:type="dxa"/>
            <w:vAlign w:val="bottom"/>
            <w:tcBorders>
              <w:bottom w:val="single" w:sz="8" w:color="2C2C2C"/>
            </w:tcBorders>
            <w:gridSpan w:val="4"/>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gridSpan w:val="3"/>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gridSpan w:val="6"/>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60" w:type="dxa"/>
            <w:vAlign w:val="bottom"/>
            <w:gridSpan w:val="8"/>
          </w:tcPr>
          <w:p>
            <w:pPr>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Pr>
          <w:p>
            <w:pPr>
              <w:spacing w:after="0"/>
              <w:rPr>
                <w:sz w:val="17"/>
                <w:szCs w:val="17"/>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STAMFORD</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CT</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06902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tcPr>
          <w:p>
            <w:pPr>
              <w:ind w:left="160"/>
              <w:spacing w:after="0" w:line="120"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tcPr>
          <w:p>
            <w:pPr>
              <w:ind w:left="6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7"/>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4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4"/>
                <w:szCs w:val="14"/>
                <w:color w:val="auto"/>
              </w:rPr>
            </w:pPr>
          </w:p>
        </w:tc>
        <w:tc>
          <w:tcPr>
            <w:tcW w:w="2080" w:type="dxa"/>
            <w:vAlign w:val="bottom"/>
            <w:gridSpan w:val="5"/>
          </w:tcPr>
          <w:p>
            <w:pPr>
              <w:jc w:val="center"/>
              <w:ind w:righ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5"/>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7"/>
          </w:tcPr>
          <w:p>
            <w:pPr>
              <w:ind w:left="8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5"/>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8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6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gridSpan w:val="4"/>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gridSpan w:val="5"/>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6"/>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15"/>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1,500,000</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0000FF"/>
              </w:rPr>
              <w:t>12/09/2022</w:t>
            </w:r>
          </w:p>
        </w:tc>
        <w:tc>
          <w:tcPr>
            <w:tcW w:w="1040" w:type="dxa"/>
            <w:vAlign w:val="bottom"/>
          </w:tcPr>
          <w:p>
            <w:pPr>
              <w:spacing w:after="0"/>
              <w:rPr>
                <w:sz w:val="5"/>
                <w:szCs w:val="5"/>
                <w:color w:val="auto"/>
              </w:rPr>
            </w:pPr>
          </w:p>
        </w:tc>
        <w:tc>
          <w:tcPr>
            <w:tcW w:w="8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1,500,000</w:t>
            </w:r>
          </w:p>
        </w:tc>
        <w:tc>
          <w:tcPr>
            <w:tcW w:w="3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12/09/2026</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ind w:left="160"/>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color w:val="0000FF"/>
              </w:rPr>
              <w:t>1,500,000</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w:t>
            </w:r>
          </w:p>
        </w:tc>
        <w:tc>
          <w:tcPr>
            <w:tcW w:w="5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ind w:right="2"/>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-1630045</wp:posOffset>
            </wp:positionV>
            <wp:extent cx="28575" cy="1635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357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represents a contingent right to receive 1 share of the Issuer's Class A Common Stock upon settlement for no consideration.</w:t>
      </w:r>
    </w:p>
    <w:p>
      <w:pPr>
        <w:spacing w:after="0" w:line="49"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6.25% vest in quarterly installments over the 4-year period commencing on December 9, 2022 until fully vested, subject to the Reporting Person's continued service to the Issuer on each vesting 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0" w:lineRule="exact"/>
        <w:rPr>
          <w:sz w:val="20"/>
          <w:szCs w:val="20"/>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Bridget Brown, Attorney-in-</w:t>
            </w:r>
          </w:p>
        </w:tc>
        <w:tc>
          <w:tcPr>
            <w:tcW w:w="60" w:type="dxa"/>
            <w:vAlign w:val="bottom"/>
          </w:tcPr>
          <w:p>
            <w:pPr>
              <w:spacing w:after="0"/>
              <w:rPr>
                <w:sz w:val="17"/>
                <w:szCs w:val="17"/>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8"/>
              </w:rPr>
              <w:t>12/14/2022</w:t>
            </w:r>
          </w:p>
        </w:tc>
        <w:tc>
          <w:tcPr>
            <w:tcW w:w="0" w:type="dxa"/>
            <w:vAlign w:val="bottom"/>
          </w:tcPr>
          <w:p>
            <w:pPr>
              <w:spacing w:after="0"/>
              <w:rPr>
                <w:sz w:val="1"/>
                <w:szCs w:val="1"/>
                <w:color w:val="auto"/>
              </w:rPr>
            </w:pPr>
          </w:p>
        </w:tc>
      </w:tr>
      <w:tr>
        <w:trPr>
          <w:trHeight w:val="80"/>
        </w:trPr>
        <w:tc>
          <w:tcPr>
            <w:tcW w:w="280" w:type="dxa"/>
            <w:vAlign w:val="bottom"/>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4"/>
              </w:rPr>
              <w:t>Fact</w:t>
            </w:r>
          </w:p>
        </w:tc>
        <w:tc>
          <w:tcPr>
            <w:tcW w:w="1840" w:type="dxa"/>
            <w:vAlign w:val="bottom"/>
            <w:gridSpan w:val="2"/>
            <w:vMerge w:val="restart"/>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bottom w:val="single" w:sz="8" w:color="auto"/>
            </w:tcBorders>
            <w:vMerge w:val="continue"/>
          </w:tcPr>
          <w:p>
            <w:pPr>
              <w:spacing w:after="0"/>
              <w:rPr>
                <w:sz w:val="6"/>
                <w:szCs w:val="6"/>
                <w:color w:val="auto"/>
              </w:rPr>
            </w:pPr>
          </w:p>
        </w:tc>
        <w:tc>
          <w:tcPr>
            <w:tcW w:w="18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12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4"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POWER OF ATTORNEY</w:t>
      </w:r>
    </w:p>
    <w:p>
      <w:pPr>
        <w:spacing w:after="0" w:line="193" w:lineRule="exact"/>
        <w:rPr>
          <w:sz w:val="20"/>
          <w:szCs w:val="20"/>
          <w:color w:val="auto"/>
        </w:rPr>
      </w:pPr>
    </w:p>
    <w:p>
      <w:pPr>
        <w:ind w:right="1919" w:firstLine="780"/>
        <w:spacing w:after="0" w:line="310" w:lineRule="auto"/>
        <w:rPr>
          <w:sz w:val="20"/>
          <w:szCs w:val="20"/>
          <w:color w:val="auto"/>
        </w:rPr>
      </w:pPr>
      <w:r>
        <w:rPr>
          <w:rFonts w:ascii="Courier New" w:cs="Courier New" w:eastAsia="Courier New" w:hAnsi="Courier New"/>
          <w:sz w:val="16"/>
          <w:szCs w:val="16"/>
          <w:color w:val="auto"/>
        </w:rPr>
        <w:t>KNOW ALL MEN BY THESE PRESENTS, that the undersigned hereby constitutes and appoints each of Kevin Feeley, Bridget Brown and Eunkyung Lee as his or her true and lawful attorney-in-fact to:</w:t>
      </w:r>
    </w:p>
    <w:p>
      <w:pPr>
        <w:spacing w:after="0" w:line="47" w:lineRule="exact"/>
        <w:rPr>
          <w:sz w:val="20"/>
          <w:szCs w:val="20"/>
          <w:color w:val="auto"/>
        </w:rPr>
      </w:pPr>
    </w:p>
    <w:p>
      <w:pPr>
        <w:ind w:right="1139" w:firstLine="780"/>
        <w:spacing w:after="0" w:line="267" w:lineRule="auto"/>
        <w:tabs>
          <w:tab w:leader="none" w:pos="155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representative of Sema4 Holdings Corp (the "Company"), any and all Form ID,</w:t>
      </w:r>
    </w:p>
    <w:p>
      <w:pPr>
        <w:spacing w:after="0" w:line="1" w:lineRule="exact"/>
        <w:rPr>
          <w:rFonts w:ascii="Courier New" w:cs="Courier New" w:eastAsia="Courier New" w:hAnsi="Courier New"/>
          <w:sz w:val="16"/>
          <w:szCs w:val="16"/>
          <w:color w:val="auto"/>
        </w:rPr>
      </w:pPr>
    </w:p>
    <w:p>
      <w:pPr>
        <w:ind w:right="21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or Form 3, 4 or 5 reports and any amendments thereto required to be filed by the undersigned in accordance with Section 16(a) of the Securities Exchange Act of</w:t>
      </w:r>
    </w:p>
    <w:p>
      <w:pPr>
        <w:ind w:right="2299"/>
        <w:spacing w:after="0" w:line="33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1934 (the "Exchange Act") and the rules thereunder with respect to transactions in the Company's securities;</w:t>
      </w:r>
    </w:p>
    <w:p>
      <w:pPr>
        <w:spacing w:after="0" w:line="30" w:lineRule="exact"/>
        <w:rPr>
          <w:rFonts w:ascii="Courier New" w:cs="Courier New" w:eastAsia="Courier New" w:hAnsi="Courier New"/>
          <w:sz w:val="16"/>
          <w:szCs w:val="16"/>
          <w:color w:val="auto"/>
        </w:rPr>
      </w:pPr>
    </w:p>
    <w:p>
      <w:pPr>
        <w:ind w:right="1239" w:firstLine="780"/>
        <w:spacing w:after="0" w:line="267" w:lineRule="auto"/>
        <w:tabs>
          <w:tab w:leader="none" w:pos="155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ID, or Form</w:t>
      </w:r>
    </w:p>
    <w:p>
      <w:pPr>
        <w:spacing w:after="0" w:line="1" w:lineRule="exact"/>
        <w:rPr>
          <w:rFonts w:ascii="Courier New" w:cs="Courier New" w:eastAsia="Courier New" w:hAnsi="Courier New"/>
          <w:sz w:val="16"/>
          <w:szCs w:val="16"/>
          <w:color w:val="auto"/>
        </w:rPr>
      </w:pPr>
    </w:p>
    <w:p>
      <w:pPr>
        <w:jc w:val="both"/>
        <w:ind w:right="249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 4 or 5 report and any amendments thereto and timely file such reports with the U.S. Securities and Exchange Commission and any stock exchange or similar authority; and</w:t>
      </w:r>
    </w:p>
    <w:p>
      <w:pPr>
        <w:spacing w:after="0" w:line="62" w:lineRule="exact"/>
        <w:rPr>
          <w:rFonts w:ascii="Courier New" w:cs="Courier New" w:eastAsia="Courier New" w:hAnsi="Courier New"/>
          <w:sz w:val="16"/>
          <w:szCs w:val="16"/>
          <w:color w:val="auto"/>
        </w:rPr>
      </w:pPr>
    </w:p>
    <w:p>
      <w:pPr>
        <w:ind w:right="1919" w:firstLine="780"/>
        <w:spacing w:after="0" w:line="267" w:lineRule="auto"/>
        <w:tabs>
          <w:tab w:leader="none" w:pos="155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 in-fact, may be of benefit to,</w:t>
      </w:r>
    </w:p>
    <w:p>
      <w:pPr>
        <w:spacing w:after="0" w:line="1" w:lineRule="exact"/>
        <w:rPr>
          <w:rFonts w:ascii="Courier New" w:cs="Courier New" w:eastAsia="Courier New" w:hAnsi="Courier New"/>
          <w:sz w:val="16"/>
          <w:szCs w:val="16"/>
          <w:color w:val="auto"/>
        </w:rPr>
      </w:pPr>
    </w:p>
    <w:p>
      <w:pPr>
        <w:ind w:right="219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78" w:lineRule="exact"/>
        <w:rPr>
          <w:sz w:val="20"/>
          <w:szCs w:val="20"/>
          <w:color w:val="auto"/>
        </w:rPr>
      </w:pPr>
    </w:p>
    <w:p>
      <w:pPr>
        <w:ind w:right="2199"/>
        <w:spacing w:after="0" w:line="259"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89" w:lineRule="exact"/>
        <w:rPr>
          <w:sz w:val="20"/>
          <w:szCs w:val="20"/>
          <w:color w:val="auto"/>
        </w:rPr>
      </w:pPr>
    </w:p>
    <w:p>
      <w:pPr>
        <w:ind w:right="2199"/>
        <w:spacing w:after="0" w:line="260" w:lineRule="auto"/>
        <w:rPr>
          <w:sz w:val="20"/>
          <w:szCs w:val="20"/>
          <w:color w:val="auto"/>
        </w:rPr>
      </w:pPr>
      <w:r>
        <w:rPr>
          <w:rFonts w:ascii="Courier New" w:cs="Courier New" w:eastAsia="Courier New" w:hAnsi="Courier New"/>
          <w:sz w:val="16"/>
          <w:szCs w:val="16"/>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89"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71" w:lineRule="exact"/>
        <w:rPr>
          <w:sz w:val="20"/>
          <w:szCs w:val="20"/>
          <w:color w:val="auto"/>
        </w:rPr>
      </w:pPr>
    </w:p>
    <w:p>
      <w:pPr>
        <w:ind w:right="2699"/>
        <w:spacing w:after="0" w:line="37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12th day of September, 2022.</w:t>
      </w:r>
    </w:p>
    <w:p>
      <w:pPr>
        <w:spacing w:after="0"/>
        <w:rPr>
          <w:sz w:val="20"/>
          <w:szCs w:val="20"/>
          <w:color w:val="auto"/>
        </w:rPr>
      </w:pPr>
      <w:r>
        <w:rPr>
          <w:rFonts w:ascii="Courier New" w:cs="Courier New" w:eastAsia="Courier New" w:hAnsi="Courier New"/>
          <w:sz w:val="16"/>
          <w:szCs w:val="16"/>
          <w:color w:val="auto"/>
        </w:rPr>
        <w:t>/s/ Kareem Saad</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2022-12-14T15:15:09Z</dcterms:created>
  <dcterms:modified xsi:type="dcterms:W3CDTF">2022-12-14T15:15:09Z</dcterms:modified>
</cp:coreProperties>
</file>