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January 30, 2023 (January 26, 2023)</w:t>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GeneDx Holdings Corp.</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94"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001-39482</w:t>
            </w:r>
          </w:p>
        </w:tc>
        <w:tc>
          <w:tcPr>
            <w:tcW w:w="100" w:type="dxa"/>
            <w:vAlign w:val="bottom"/>
          </w:tcPr>
          <w:p>
            <w:pPr>
              <w:spacing w:after="0"/>
              <w:rPr>
                <w:sz w:val="21"/>
                <w:szCs w:val="21"/>
                <w:color w:val="auto"/>
              </w:rPr>
            </w:pPr>
          </w:p>
        </w:tc>
        <w:tc>
          <w:tcPr>
            <w:tcW w:w="418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85-1966622</w:t>
            </w:r>
          </w:p>
        </w:tc>
      </w:tr>
      <w:tr>
        <w:trPr>
          <w:trHeight w:val="27"/>
        </w:trPr>
        <w:tc>
          <w:tcPr>
            <w:tcW w:w="4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169"/>
        </w:trPr>
        <w:tc>
          <w:tcPr>
            <w:tcW w:w="4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4"/>
                <w:szCs w:val="14"/>
                <w:color w:val="auto"/>
              </w:rPr>
            </w:pPr>
          </w:p>
        </w:tc>
        <w:tc>
          <w:tcPr>
            <w:tcW w:w="26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4"/>
                <w:szCs w:val="14"/>
                <w:color w:val="auto"/>
              </w:rPr>
            </w:pPr>
          </w:p>
        </w:tc>
        <w:tc>
          <w:tcPr>
            <w:tcW w:w="4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0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83"/>
        </w:trPr>
        <w:tc>
          <w:tcPr>
            <w:tcW w:w="42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Stamford, Connecticut</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06902</w:t>
            </w:r>
          </w:p>
        </w:tc>
      </w:tr>
      <w:tr>
        <w:trPr>
          <w:trHeight w:val="228"/>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46"/>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3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WGS</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75"/>
        </w:trPr>
        <w:tc>
          <w:tcPr>
            <w:tcW w:w="48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Warrants to purchase one share of Class A common stock, each</w:t>
            </w:r>
          </w:p>
        </w:tc>
        <w:tc>
          <w:tcPr>
            <w:tcW w:w="2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WGSWW</w:t>
            </w: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at an exercise price of $11.50 per share</w:t>
            </w:r>
          </w:p>
        </w:tc>
        <w:tc>
          <w:tcPr>
            <w:tcW w:w="2100" w:type="dxa"/>
            <w:vAlign w:val="bottom"/>
            <w:gridSpan w:val="2"/>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860" w:type="dxa"/>
            <w:vAlign w:val="bottom"/>
            <w:gridSpan w:val="2"/>
            <w:vMerge w:val="continue"/>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Item 1.01</w:t>
      </w:r>
      <w:r>
        <w:rPr>
          <w:sz w:val="20"/>
          <w:szCs w:val="20"/>
          <w:color w:val="auto"/>
        </w:rPr>
        <w:tab/>
      </w:r>
      <w:r>
        <w:rPr>
          <w:rFonts w:ascii="Times New Roman" w:cs="Times New Roman" w:eastAsia="Times New Roman" w:hAnsi="Times New Roman"/>
          <w:sz w:val="19"/>
          <w:szCs w:val="19"/>
          <w:b w:val="1"/>
          <w:bCs w:val="1"/>
          <w:color w:val="auto"/>
        </w:rPr>
        <w:t>Entry into a Material Definitive Agreement</w:t>
      </w:r>
    </w:p>
    <w:p>
      <w:pPr>
        <w:spacing w:after="0" w:line="24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On January 26, 2023, GeneDx Holdings Corp. (the “Company”) entered into the following agreements in connection with offerings of an aggregate of 428,571,429 shares (the “Shares”) of its Class A common stock, par value $0.0001 per share (the “Class A common stock”), at</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an offering price of $0.35 per share: (i) an underwriting agreement (the “Underwriting Agreement”) with Jefferies LLC, the underwriter and sole book-running manager (the “Underwriter”), relating to an underwritten public offering (the “Underwritten Offering”) of 328,571,429</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color w:val="auto"/>
        </w:rPr>
        <w:t>shares of Class A common stock and (ii) subscription agreements (the “Subscription Agreements”) with Corvex Select Equity Master Fund LP, Corvex Master Fund LP and Corvex Dynamic Equity Select Master Fund LP, which are institutional investors affiliated with Keith</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0"/>
          <w:szCs w:val="20"/>
          <w:color w:val="auto"/>
        </w:rPr>
        <w:t>Meister, a member of the Company’s board of directors, relating to a registered direct offering (the “Direct Offering” and, together with the Underwritten Offering, the “Offerings”) of 100,000,000 shares of Class A common stock comprising (A) 77,663,376 shares (the “Initial</w:t>
      </w:r>
    </w:p>
    <w:p>
      <w:pPr>
        <w:spacing w:after="0" w:line="226" w:lineRule="auto"/>
        <w:rPr>
          <w:sz w:val="20"/>
          <w:szCs w:val="20"/>
          <w:color w:val="auto"/>
        </w:rPr>
      </w:pPr>
      <w:r>
        <w:rPr>
          <w:rFonts w:ascii="Times New Roman" w:cs="Times New Roman" w:eastAsia="Times New Roman" w:hAnsi="Times New Roman"/>
          <w:sz w:val="20"/>
          <w:szCs w:val="20"/>
          <w:color w:val="auto"/>
        </w:rPr>
        <w:t>Direct Offering Shares”) that are expected to be issued following the closing of the Underwritten Offering and (B) 22,336,624 shares (the</w:t>
      </w:r>
    </w:p>
    <w:p>
      <w:pPr>
        <w:spacing w:after="0" w:line="218" w:lineRule="auto"/>
        <w:rPr>
          <w:sz w:val="20"/>
          <w:szCs w:val="20"/>
          <w:color w:val="auto"/>
        </w:rPr>
      </w:pPr>
      <w:r>
        <w:rPr>
          <w:rFonts w:ascii="Times New Roman" w:cs="Times New Roman" w:eastAsia="Times New Roman" w:hAnsi="Times New Roman"/>
          <w:sz w:val="20"/>
          <w:szCs w:val="20"/>
          <w:color w:val="auto"/>
        </w:rPr>
        <w:t>“Additional Direct Offering Shares”) that are subject to stockholder approval to satisfy Nasdaq Stock Market rules with respect to the issuance of such shares. Pursuant to the Underwriting Agreement, the Company has granted the Underwriter a 30-day option to purchase up</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to an additional 49,285,714 shares of Class A common stock at the same price (the “Underwriter’s Option”). On January 27, 2023, the Underwriter partially exercised the option to purchase an additional 185,000 shares of Class A common stock.</w:t>
      </w:r>
    </w:p>
    <w:p>
      <w:pPr>
        <w:spacing w:after="0" w:line="18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The Underwritten Offering and the closing of the Initial Direct Offering Shares in the Direct Offering are expected to take place on January 31, 2023, in each case subject to the satisfaction of customary closing conditions. The closing of the Underwritten Offering is not conditioned</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upon the closing of the Direct Offering. The Company expects to call a special meeting of stockholders for the approval of a proposal to issue the Additional Direct Offering Shares.</w:t>
      </w:r>
    </w:p>
    <w:p>
      <w:pPr>
        <w:spacing w:after="0" w:line="216"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20"/>
          <w:szCs w:val="20"/>
          <w:color w:val="auto"/>
        </w:rPr>
        <w:t>The Company estimates that net proceeds from the Offerings will be approximately $143.0 million (including net proceeds from the issuance of the Additional Direct Offering Shares), or approximately $159.6 million if the Underwriter exercises the Underwriter’s Option in full after deducting underwriting discounts and commissions and estimated Offering fees and expenses.</w:t>
      </w:r>
    </w:p>
    <w:p>
      <w:pPr>
        <w:spacing w:after="0" w:line="1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The Company intends to use the net proceeds from the Offerings primarily for general corporate purposes, including additions to working capital, repayment or redemption of existing indebtedness, and strategic investment opportunities.</w:t>
      </w:r>
    </w:p>
    <w:p>
      <w:pPr>
        <w:spacing w:after="0" w:line="18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0"/>
          <w:szCs w:val="20"/>
          <w:color w:val="auto"/>
        </w:rPr>
        <w:t>The Underwriting Agreement contains customary representations, warranties, and agreements by the Company, conditions to closing, termination provisions and indemnification obligations, including for liabilities under the Securities Act of 1933, as amended. The</w:t>
      </w:r>
    </w:p>
    <w:p>
      <w:pPr>
        <w:spacing w:after="0" w:line="227" w:lineRule="auto"/>
        <w:rPr>
          <w:sz w:val="20"/>
          <w:szCs w:val="20"/>
          <w:color w:val="auto"/>
        </w:rPr>
      </w:pPr>
      <w:r>
        <w:rPr>
          <w:rFonts w:ascii="Times New Roman" w:cs="Times New Roman" w:eastAsia="Times New Roman" w:hAnsi="Times New Roman"/>
          <w:sz w:val="20"/>
          <w:szCs w:val="20"/>
          <w:color w:val="auto"/>
        </w:rPr>
        <w:t>Subscription Agreements contain customary representations, warranties, and agreements by the Company, including an agreement that the</w:t>
      </w:r>
    </w:p>
    <w:p>
      <w:pPr>
        <w:spacing w:after="0" w:line="228" w:lineRule="auto"/>
        <w:rPr>
          <w:sz w:val="20"/>
          <w:szCs w:val="20"/>
          <w:color w:val="auto"/>
        </w:rPr>
      </w:pPr>
      <w:r>
        <w:rPr>
          <w:rFonts w:ascii="Times New Roman" w:cs="Times New Roman" w:eastAsia="Times New Roman" w:hAnsi="Times New Roman"/>
          <w:sz w:val="20"/>
          <w:szCs w:val="20"/>
          <w:color w:val="auto"/>
        </w:rPr>
        <w:t>Company use reasonable best efforts to cause the approval of the issuance of the Additional Direct Offering Shares by the stockholders of the Company under applicable Nasdaq Stock Market rules.</w:t>
      </w:r>
    </w:p>
    <w:p>
      <w:pPr>
        <w:spacing w:after="0" w:line="20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The Offerings are being made pursuant to the shelf registration statement on Form S-3 (File No. 333-267112) and related prospectus that was filed by the Company with the Securities and Exchange Commission (“SEC”) on August 26, 2022 and was declared effective on September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7, 2022, as well as a prospectus supplement in connection with the Underwritten Offering and a prospectus supplement in connection with the Direct Offering, respectively, in each case filed with the SEC.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Jefferies LLC is acting as the sole placement agent for the Direct Offering and will receive customary placement agent fees. The Company</w:t>
      </w:r>
    </w:p>
    <w:p>
      <w:pPr>
        <w:spacing w:after="0" w:line="8"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also engaged Cowen and Company, LLC (the “Financial Advisor”) as an independent financial advisor in connection with the Offerings, for which the Company will pay a customary advisory fee.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prior transactions with Mr. Meister, Corvex Management LP (“Corvex”) and his and Corvex’s respective affiliates are</w:t>
      </w:r>
    </w:p>
    <w:p>
      <w:pPr>
        <w:spacing w:after="0" w:line="8"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described under “Certain Relationships and Related Party Transactions” beginning on page 248 of the Company’s definitive proxy statement filed with the Securities and Exchange Commission on March 31, 2022, which description is incorporated herein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foregoing descriptions of the Underwriting Agreement and the Subscription Agreements do not purport to be complete and are qualified</w:t>
      </w:r>
    </w:p>
    <w:p>
      <w:pPr>
        <w:spacing w:after="0" w:line="20"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in their entirety by reference to the full text of the Underwriting Agreement and the form of Subscription Agreement, which are attached as Exhibits 1.1 and 10.1 to this Current Report on Form 8-K. A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20"/>
          <w:szCs w:val="20"/>
          <w:color w:val="auto"/>
        </w:rPr>
        <w:t>of the opinion of Fenwick &amp; West LLP, relating to the validity of the Shares in connection with the Offerings, is filed as Exhibit 5.1 to this Current Report on Form 8-K.</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 Exhibits</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20"/>
          <w:szCs w:val="20"/>
          <w:b w:val="1"/>
          <w:bCs w:val="1"/>
          <w:u w:val="single" w:color="auto"/>
          <w:color w:val="auto"/>
        </w:rPr>
        <w:t>Exhibit No.</w:t>
      </w:r>
      <w:r>
        <w:rPr>
          <w:sz w:val="20"/>
          <w:szCs w:val="20"/>
          <w:color w:val="auto"/>
        </w:rPr>
        <w:tab/>
      </w:r>
      <w:r>
        <w:rPr>
          <w:rFonts w:ascii="Times New Roman" w:cs="Times New Roman" w:eastAsia="Times New Roman" w:hAnsi="Times New Roman"/>
          <w:sz w:val="19"/>
          <w:szCs w:val="19"/>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25400</wp:posOffset>
            </wp:positionV>
            <wp:extent cx="6300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8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Underwriting Agreement by and between GeneDx Holdings Corp. and Jefferies LLC, dated January 26, 2023</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5.1</w:t>
            </w:r>
          </w:p>
        </w:tc>
        <w:tc>
          <w:tcPr>
            <w:tcW w:w="86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Opinion of Fenwick &amp; West LLP</w:t>
            </w: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26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Form of Subscription Agreement</w:t>
            </w:r>
          </w:p>
        </w:tc>
        <w:tc>
          <w:tcPr>
            <w:tcW w:w="6040" w:type="dxa"/>
            <w:vAlign w:val="bottom"/>
            <w:gridSpan w:val="2"/>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86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Consent of Fenwick &amp; West LLP (contained in Exhibit 5.1)</w:t>
            </w:r>
          </w:p>
        </w:tc>
      </w:tr>
      <w:tr>
        <w:trPr>
          <w:trHeight w:val="20"/>
        </w:trPr>
        <w:tc>
          <w:tcPr>
            <w:tcW w:w="1160" w:type="dxa"/>
            <w:vAlign w:val="bottom"/>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9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6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This Current Report on Form 8-K contains forward-looking statements within the meaning of the U.S. Private Securities Litigation Reform Act of 1995 and other federal securities laws. Any statements contained herein that do not describe historical facts, including, but not limited to, statements relating to the expected net proceeds of the Offerings, the anticipated use of proceeds of the Offerings, the timing of the closing of the Offerings and the Company’s special meeting of stockholders, are forward-looking statements that involve risks and uncertainties that could cause actual results to differ materially from those discussed in such forward-looking statements. Such risks and uncertainties include, among others, the ability to implement business plans, goals and forecasts, and identify and realize additional opportunities and the risks identified in the Company’s filings with the SEC, including its Annual Report on Form 10-K and Quarterly Reports on Form 10-Q, the prospectus supplements related to the Offerings, and subsequent filings with the SEC. Any of these risks and uncertainties could materially and adversely affect the Company’s results of operations, which would, in turn, have a significant and adverse impact on the Company’s stock price. The Company cautions you not to place undue reliance on any forward-looking statements, which speak only as of the date they are made. The Company undertakes no obligation to update publicly any forward-looking statements to reflect new information, events or circumstances after the date they were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44" w:lineRule="exact"/>
        <w:rPr>
          <w:sz w:val="20"/>
          <w:szCs w:val="20"/>
          <w:color w:val="auto"/>
        </w:rPr>
      </w:pPr>
    </w:p>
    <w:p>
      <w:pPr>
        <w:ind w:firstLine="324"/>
        <w:spacing w:after="0" w:line="31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262"/>
        </w:trPr>
        <w:tc>
          <w:tcPr>
            <w:tcW w:w="6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6940" w:type="dxa"/>
            <w:vAlign w:val="bottom"/>
            <w:gridSpan w:val="2"/>
          </w:tcPr>
          <w:p>
            <w:pPr>
              <w:ind w:left="1380"/>
              <w:spacing w:after="0"/>
              <w:rPr>
                <w:sz w:val="20"/>
                <w:szCs w:val="20"/>
                <w:color w:val="auto"/>
              </w:rPr>
            </w:pPr>
            <w:r>
              <w:rPr>
                <w:rFonts w:ascii="Times New Roman" w:cs="Times New Roman" w:eastAsia="Times New Roman" w:hAnsi="Times New Roman"/>
                <w:sz w:val="20"/>
                <w:szCs w:val="20"/>
                <w:b w:val="1"/>
                <w:bCs w:val="1"/>
                <w:color w:val="auto"/>
              </w:rPr>
              <w:t>Sema4 Holdings Corp.</w:t>
            </w:r>
          </w:p>
        </w:tc>
      </w:tr>
      <w:tr>
        <w:trPr>
          <w:trHeight w:val="622"/>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January 30, 2023</w:t>
            </w:r>
          </w:p>
        </w:tc>
        <w:tc>
          <w:tcPr>
            <w:tcW w:w="226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Katherine Stueland</w:t>
            </w:r>
          </w:p>
        </w:tc>
      </w:tr>
      <w:tr>
        <w:trPr>
          <w:trHeight w:val="247"/>
        </w:trPr>
        <w:tc>
          <w:tcPr>
            <w:tcW w:w="6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26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Katherine Stueland</w:t>
            </w:r>
          </w:p>
        </w:tc>
      </w:tr>
      <w:tr>
        <w:trPr>
          <w:trHeight w:val="258"/>
        </w:trPr>
        <w:tc>
          <w:tcPr>
            <w:tcW w:w="6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26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ectPr>
          <w:pgSz w:w="11900" w:h="16838" w:orient="portrait"/>
          <w:cols w:equalWidth="0" w:num="1">
            <w:col w:w="11240"/>
          </w:cols>
          <w:pgMar w:left="320" w:top="112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GeneDx Holdings Corp.</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Class A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Underwriting Agreement</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January 26, 2023</w:t>
      </w:r>
    </w:p>
    <w:p>
      <w:pPr>
        <w:ind w:left="260"/>
        <w:spacing w:after="0" w:line="211" w:lineRule="auto"/>
        <w:rPr>
          <w:sz w:val="20"/>
          <w:szCs w:val="20"/>
          <w:color w:val="auto"/>
        </w:rPr>
      </w:pPr>
      <w:r>
        <w:rPr>
          <w:rFonts w:ascii="Arial" w:cs="Arial" w:eastAsia="Arial" w:hAnsi="Arial"/>
          <w:sz w:val="20"/>
          <w:szCs w:val="20"/>
          <w:color w:val="auto"/>
        </w:rPr>
        <w:t>Jefferies LLC</w:t>
      </w:r>
    </w:p>
    <w:p>
      <w:pPr>
        <w:ind w:left="260"/>
        <w:spacing w:after="0" w:line="211" w:lineRule="auto"/>
        <w:rPr>
          <w:sz w:val="20"/>
          <w:szCs w:val="20"/>
          <w:color w:val="auto"/>
        </w:rPr>
      </w:pPr>
      <w:r>
        <w:rPr>
          <w:rFonts w:ascii="Arial" w:cs="Arial" w:eastAsia="Arial" w:hAnsi="Arial"/>
          <w:sz w:val="20"/>
          <w:szCs w:val="20"/>
          <w:color w:val="auto"/>
        </w:rPr>
        <w:t>520 Madison Avenue,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New York, New York 10022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9"/>
          <w:szCs w:val="19"/>
          <w:color w:val="auto"/>
        </w:rPr>
        <w:t>GeneDx Holdings Corp., a Delaware corporation (the “Company”), proposes, subject to the terms and conditions stated in</w:t>
      </w:r>
    </w:p>
    <w:p>
      <w:pPr>
        <w:spacing w:after="0" w:line="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this agreement (this “Agreement”), to issue and sell to Jefferies LLC (the “Underwriter”) an aggregate of 328,571,429 shares (the “Firm Shares”) and, at the election of the Underwriter, up to 49,285,714 additional shares (the “Optional Shares”) of Class A</w:t>
      </w:r>
    </w:p>
    <w:p>
      <w:pPr>
        <w:spacing w:after="0" w:line="232" w:lineRule="auto"/>
        <w:rPr>
          <w:sz w:val="20"/>
          <w:szCs w:val="20"/>
          <w:color w:val="auto"/>
        </w:rPr>
      </w:pPr>
      <w:r>
        <w:rPr>
          <w:rFonts w:ascii="Arial" w:cs="Arial" w:eastAsia="Arial" w:hAnsi="Arial"/>
          <w:sz w:val="20"/>
          <w:szCs w:val="20"/>
          <w:color w:val="auto"/>
        </w:rPr>
        <w:t>Common Stock, par value $0.0001 per share (“Stock”) of the Company (the Firm Shares and the Optional Shares that the Underwriter elects to purchase pursuant to Section 2 hereof being collectively called the “Shares”).</w:t>
      </w:r>
    </w:p>
    <w:p>
      <w:pPr>
        <w:spacing w:after="0" w:line="37" w:lineRule="exact"/>
        <w:rPr>
          <w:sz w:val="20"/>
          <w:szCs w:val="20"/>
          <w:color w:val="auto"/>
        </w:rPr>
      </w:pPr>
    </w:p>
    <w:p>
      <w:pPr>
        <w:ind w:left="1040" w:hanging="384"/>
        <w:spacing w:after="0"/>
        <w:tabs>
          <w:tab w:leader="none" w:pos="104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Company represents and warrants to, and agrees with, the Underwriter that:</w:t>
      </w:r>
    </w:p>
    <w:p>
      <w:pPr>
        <w:spacing w:after="0" w:line="80" w:lineRule="exact"/>
        <w:rPr>
          <w:rFonts w:ascii="Arial" w:cs="Arial" w:eastAsia="Arial" w:hAnsi="Arial"/>
          <w:sz w:val="20"/>
          <w:szCs w:val="20"/>
          <w:color w:val="auto"/>
        </w:rPr>
      </w:pPr>
    </w:p>
    <w:p>
      <w:pPr>
        <w:jc w:val="both"/>
        <w:ind w:left="660" w:firstLine="488"/>
        <w:spacing w:after="0" w:line="209" w:lineRule="auto"/>
        <w:tabs>
          <w:tab w:leader="none" w:pos="1628" w:val="left"/>
        </w:tabs>
        <w:numPr>
          <w:ilvl w:val="1"/>
          <w:numId w:val="2"/>
        </w:numPr>
        <w:rPr>
          <w:rFonts w:ascii="Arial" w:cs="Arial" w:eastAsia="Arial" w:hAnsi="Arial"/>
          <w:sz w:val="20"/>
          <w:szCs w:val="20"/>
          <w:color w:val="auto"/>
        </w:rPr>
      </w:pPr>
      <w:r>
        <w:rPr>
          <w:rFonts w:ascii="Arial" w:cs="Arial" w:eastAsia="Arial" w:hAnsi="Arial"/>
          <w:sz w:val="20"/>
          <w:szCs w:val="20"/>
          <w:color w:val="auto"/>
        </w:rPr>
        <w:t>A registration statement on Form S-3 (File No. 333-267112)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or document incorporated by reference therein has been filed, or transmitted for filing, with the Commission (other than prospectuses filed pursuant to Rule 424(b) of the rules and regulations of the Commission under the Act, each in the form heretofore delivered to the Underwriter); and no stop order suspending the effectiveness of the Initial Registration Statement, any post-effective amendment thereto or any part thereof or the Rule 462(b) Registration Statement, if any, has been issued and no proceeding for that purpose or pursuant to Section 8A of the Act has been initiated or threatened by the Commission (the base prospectus filed as part of the Initial Registration Statement, in the form in which it has most recently been filed with the Commission on or prior to the date of this Agreement relating to the Shares, is hereinafter called the “Basic Prospectus”; any preliminary prospectus (including any preliminary prospectus supplement) relating to the Shares filed with the Commission pursuant to Rule 424(b) under the Act is hereinafter called a “Preliminary Prospectus”; the various parts of the Initial Registration Statement and the Rule 462(b) Registration Statement, if any, including all exhibits thereto and including any prospectus supplement relating to the Shares that is filed with the Commission and deemed by virtue of Rule 430B under the Act to be part of the Initial Registration Statement, each as amended at the time such part of the Initial Registration Statement became effective or such part of the Rule 462(b) Registration Statement, if any, became or hereafter becomes effective, are hereinafter collectively called the “Registration Statement”; the Basic Prospectus, as amended and supplemented immediately prior to the Applicable Time (as defined in Section 1(c) hereof), is hereinafter called the “Pricing</w:t>
      </w:r>
    </w:p>
    <w:p>
      <w:pPr>
        <w:sectPr>
          <w:pgSz w:w="11900" w:h="16838" w:orient="portrait"/>
          <w:cols w:equalWidth="0" w:num="1">
            <w:col w:w="11240"/>
          </w:cols>
          <w:pgMar w:left="320" w:top="104" w:right="339" w:bottom="1440" w:gutter="0" w:footer="0" w:header="0"/>
        </w:sectPr>
      </w:pPr>
    </w:p>
    <w:bookmarkStart w:id="5" w:name="page6"/>
    <w:bookmarkEnd w:id="5"/>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Prospectus”; the form of the final prospectus relating to the Shares filed with the Commission pursuant to Rule 424(b)</w:t>
      </w:r>
    </w:p>
    <w:p>
      <w:pPr>
        <w:spacing w:after="0" w:line="215" w:lineRule="auto"/>
        <w:rPr>
          <w:sz w:val="20"/>
          <w:szCs w:val="20"/>
          <w:color w:val="auto"/>
        </w:rPr>
      </w:pPr>
      <w:r>
        <w:rPr>
          <w:rFonts w:ascii="Arial" w:cs="Arial" w:eastAsia="Arial" w:hAnsi="Arial"/>
          <w:sz w:val="19"/>
          <w:szCs w:val="19"/>
          <w:color w:val="auto"/>
        </w:rPr>
        <w:t>under the Act in accordance with Section 5(a) hereof is hereinafter called the “Prospectus”; any reference herein to the Basic Prospectus, the Pricing Prospectus, any Preliminary Prospectus or the Prospectus shall be deemed to refer to and</w:t>
      </w:r>
    </w:p>
    <w:p>
      <w:pPr>
        <w:spacing w:after="0" w:line="211" w:lineRule="auto"/>
        <w:rPr>
          <w:sz w:val="20"/>
          <w:szCs w:val="20"/>
          <w:color w:val="auto"/>
        </w:rPr>
      </w:pPr>
      <w:r>
        <w:rPr>
          <w:rFonts w:ascii="Arial" w:cs="Arial" w:eastAsia="Arial" w:hAnsi="Arial"/>
          <w:sz w:val="20"/>
          <w:szCs w:val="20"/>
          <w:color w:val="auto"/>
        </w:rPr>
        <w:t>include the documents incorporated by reference therein pursuant to Item 12 of Form S-3, as of the date of such</w:t>
      </w:r>
    </w:p>
    <w:p>
      <w:pPr>
        <w:spacing w:after="0" w:line="215" w:lineRule="auto"/>
        <w:rPr>
          <w:sz w:val="20"/>
          <w:szCs w:val="20"/>
          <w:color w:val="auto"/>
        </w:rPr>
      </w:pPr>
      <w:r>
        <w:rPr>
          <w:rFonts w:ascii="Arial" w:cs="Arial" w:eastAsia="Arial" w:hAnsi="Arial"/>
          <w:sz w:val="19"/>
          <w:szCs w:val="19"/>
          <w:color w:val="auto"/>
        </w:rPr>
        <w:t>prospectus; any reference to any amendment or supplement to the Basic Prospectus, any Preliminary Prospectus or the Prospectus shall be deemed to refer to and include any post-effective amendment to the Registration Statement, any</w:t>
      </w:r>
    </w:p>
    <w:p>
      <w:pPr>
        <w:spacing w:after="0" w:line="211" w:lineRule="auto"/>
        <w:rPr>
          <w:sz w:val="20"/>
          <w:szCs w:val="20"/>
          <w:color w:val="auto"/>
        </w:rPr>
      </w:pPr>
      <w:r>
        <w:rPr>
          <w:rFonts w:ascii="Arial" w:cs="Arial" w:eastAsia="Arial" w:hAnsi="Arial"/>
          <w:sz w:val="20"/>
          <w:szCs w:val="20"/>
          <w:color w:val="auto"/>
        </w:rPr>
        <w:t>prospectus supplement relating to the Shares filed with the Commission pursuant to Rule 424(b) under the Act and any</w:t>
      </w:r>
    </w:p>
    <w:p>
      <w:pPr>
        <w:jc w:val="both"/>
        <w:spacing w:after="0" w:line="215" w:lineRule="auto"/>
        <w:rPr>
          <w:sz w:val="20"/>
          <w:szCs w:val="20"/>
          <w:color w:val="auto"/>
        </w:rPr>
      </w:pPr>
      <w:r>
        <w:rPr>
          <w:rFonts w:ascii="Arial" w:cs="Arial" w:eastAsia="Arial" w:hAnsi="Arial"/>
          <w:sz w:val="19"/>
          <w:szCs w:val="19"/>
          <w:color w:val="auto"/>
        </w:rPr>
        <w:t>documents filed under the Securities Exchange Act of 1934, as amended (the “Exchange Act”), and incorporated therein, in each case after the date of the Basic Prospectus, such Preliminary Prospectus or the Prospectus, as the case may be;</w:t>
      </w:r>
    </w:p>
    <w:p>
      <w:pPr>
        <w:spacing w:after="0" w:line="211" w:lineRule="auto"/>
        <w:rPr>
          <w:sz w:val="20"/>
          <w:szCs w:val="20"/>
          <w:color w:val="auto"/>
        </w:rPr>
      </w:pPr>
      <w:r>
        <w:rPr>
          <w:rFonts w:ascii="Arial" w:cs="Arial" w:eastAsia="Arial" w:hAnsi="Arial"/>
          <w:sz w:val="20"/>
          <w:szCs w:val="20"/>
          <w:color w:val="auto"/>
        </w:rPr>
        <w:t>any reference to any amendment to the Registration Statement shall be deemed to refer to and include any annual</w:t>
      </w:r>
    </w:p>
    <w:p>
      <w:pPr>
        <w:spacing w:after="0" w:line="215" w:lineRule="auto"/>
        <w:rPr>
          <w:sz w:val="20"/>
          <w:szCs w:val="20"/>
          <w:color w:val="auto"/>
        </w:rPr>
      </w:pPr>
      <w:r>
        <w:rPr>
          <w:rFonts w:ascii="Arial" w:cs="Arial" w:eastAsia="Arial" w:hAnsi="Arial"/>
          <w:sz w:val="19"/>
          <w:szCs w:val="19"/>
          <w:color w:val="auto"/>
        </w:rPr>
        <w:t>report of the Company filed pursuant to Section 13(a) or 15(d) of the Exchange Act after the effective date of the Registration Statement that is incorporated by reference in the Registration Statement; any oral or written communication</w:t>
      </w:r>
    </w:p>
    <w:p>
      <w:pPr>
        <w:spacing w:after="0" w:line="222" w:lineRule="auto"/>
        <w:rPr>
          <w:sz w:val="20"/>
          <w:szCs w:val="20"/>
          <w:color w:val="auto"/>
        </w:rPr>
      </w:pPr>
      <w:r>
        <w:rPr>
          <w:rFonts w:ascii="Arial" w:cs="Arial" w:eastAsia="Arial" w:hAnsi="Arial"/>
          <w:sz w:val="19"/>
          <w:szCs w:val="19"/>
          <w:color w:val="auto"/>
        </w:rPr>
        <w:t>with potential investors undertaken in reliance on Section 5(d) of the Act or Rule 163B under the Act is hereinafter called</w:t>
      </w:r>
    </w:p>
    <w:p>
      <w:pPr>
        <w:spacing w:after="0" w:line="225" w:lineRule="auto"/>
        <w:rPr>
          <w:sz w:val="20"/>
          <w:szCs w:val="20"/>
          <w:color w:val="auto"/>
        </w:rPr>
      </w:pPr>
      <w:r>
        <w:rPr>
          <w:rFonts w:ascii="Arial" w:cs="Arial" w:eastAsia="Arial" w:hAnsi="Arial"/>
          <w:sz w:val="20"/>
          <w:szCs w:val="20"/>
          <w:color w:val="auto"/>
        </w:rPr>
        <w:t>a “Testing-the-Waters Communication”; and any Testing-the-Waters Communication that is a written communication within the meaning of Rule 405 under the Act is hereinafter called a “Written Testing-the-Waters Communication”;</w:t>
      </w:r>
    </w:p>
    <w:p>
      <w:pPr>
        <w:spacing w:after="0" w:line="50" w:lineRule="exact"/>
        <w:rPr>
          <w:sz w:val="20"/>
          <w:szCs w:val="20"/>
          <w:color w:val="auto"/>
        </w:rPr>
      </w:pPr>
    </w:p>
    <w:p>
      <w:pPr>
        <w:jc w:val="both"/>
        <w:ind w:firstLine="488"/>
        <w:spacing w:after="0" w:line="216" w:lineRule="auto"/>
        <w:tabs>
          <w:tab w:leader="none" w:pos="1110" w:val="left"/>
        </w:tabs>
        <w:numPr>
          <w:ilvl w:val="0"/>
          <w:numId w:val="3"/>
        </w:numPr>
        <w:rPr>
          <w:rFonts w:ascii="Arial" w:cs="Arial" w:eastAsia="Arial" w:hAnsi="Arial"/>
          <w:sz w:val="20"/>
          <w:szCs w:val="20"/>
          <w:color w:val="auto"/>
        </w:rPr>
      </w:pPr>
      <w:r>
        <w:rPr>
          <w:rFonts w:ascii="Arial" w:cs="Arial" w:eastAsia="Arial" w:hAnsi="Arial"/>
          <w:sz w:val="20"/>
          <w:szCs w:val="20"/>
          <w:color w:val="auto"/>
        </w:rPr>
        <w:t>(A) No order preventing or suspending the use of any Preliminary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below);</w:t>
      </w:r>
    </w:p>
    <w:p>
      <w:pPr>
        <w:spacing w:after="0" w:line="36" w:lineRule="exact"/>
        <w:rPr>
          <w:rFonts w:ascii="Arial" w:cs="Arial" w:eastAsia="Arial" w:hAnsi="Arial"/>
          <w:sz w:val="20"/>
          <w:szCs w:val="20"/>
          <w:color w:val="auto"/>
        </w:rPr>
      </w:pPr>
    </w:p>
    <w:p>
      <w:pPr>
        <w:jc w:val="both"/>
        <w:ind w:firstLine="488"/>
        <w:spacing w:after="0" w:line="212" w:lineRule="auto"/>
        <w:tabs>
          <w:tab w:leader="none" w:pos="1063" w:val="left"/>
        </w:tabs>
        <w:numPr>
          <w:ilvl w:val="0"/>
          <w:numId w:val="3"/>
        </w:numPr>
        <w:rPr>
          <w:rFonts w:ascii="Arial" w:cs="Arial" w:eastAsia="Arial" w:hAnsi="Arial"/>
          <w:sz w:val="20"/>
          <w:szCs w:val="20"/>
          <w:color w:val="auto"/>
        </w:rPr>
      </w:pPr>
      <w:r>
        <w:rPr>
          <w:rFonts w:ascii="Arial" w:cs="Arial" w:eastAsia="Arial" w:hAnsi="Arial"/>
          <w:sz w:val="20"/>
          <w:szCs w:val="20"/>
          <w:color w:val="auto"/>
        </w:rPr>
        <w:t>For the purposes of this Agreement, the “Applicable Time” is 9:15 pm (Eastern time) on the date of this Agreement. The Pricing Prospectus, as supplemented by the information listed on Schedule II(a)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Written Testing-the-Waters Communication does not conflict with the information contained in the Registration Statement, the Pricing Prospectus or the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46" w:lineRule="exact"/>
        <w:rPr>
          <w:rFonts w:ascii="Arial" w:cs="Arial" w:eastAsia="Arial" w:hAnsi="Arial"/>
          <w:sz w:val="20"/>
          <w:szCs w:val="20"/>
          <w:color w:val="auto"/>
        </w:rPr>
      </w:pPr>
    </w:p>
    <w:p>
      <w:pPr>
        <w:jc w:val="both"/>
        <w:ind w:firstLine="488"/>
        <w:spacing w:after="0" w:line="227" w:lineRule="auto"/>
        <w:tabs>
          <w:tab w:leader="none" w:pos="1071"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documents incorporated by reference in the Pricing Prospectus and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Pricing Prospectus and the Prospectus or any further amendment or supplement thereto, when such documents become effective or are filed with the Commission, as the case may be, will conform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980" w:top="1440" w:right="339" w:bottom="1440" w:gutter="0" w:footer="0" w:header="0"/>
        </w:sectPr>
      </w:pPr>
    </w:p>
    <w:bookmarkStart w:id="6" w:name="page7"/>
    <w:bookmarkEnd w:id="6"/>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material respects to the requirements of the Act or the Exchange Act, as applicable, and the rules and regulations of the</w:t>
      </w:r>
    </w:p>
    <w:p>
      <w:pPr>
        <w:spacing w:after="0" w:line="2"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Commission thereunder and will not contain an untrue statement of a material fact or omit to state a material fact required to be stated therein or necessary to make the statements therein not misleading; and no such or any other</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documents were filed with the Commission since the Commission’s close of business on the business day immediately prior to the date of this Agreement and prior to the execution of this Agreement;</w:t>
      </w:r>
    </w:p>
    <w:p>
      <w:pPr>
        <w:spacing w:after="0" w:line="37" w:lineRule="exact"/>
        <w:rPr>
          <w:sz w:val="20"/>
          <w:szCs w:val="20"/>
          <w:color w:val="auto"/>
        </w:rPr>
      </w:pPr>
    </w:p>
    <w:p>
      <w:pPr>
        <w:jc w:val="both"/>
        <w:ind w:firstLine="488"/>
        <w:spacing w:after="0" w:line="215" w:lineRule="auto"/>
        <w:tabs>
          <w:tab w:leader="none" w:pos="1026"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52" w:lineRule="exact"/>
        <w:rPr>
          <w:rFonts w:ascii="Arial" w:cs="Arial" w:eastAsia="Arial" w:hAnsi="Arial"/>
          <w:sz w:val="20"/>
          <w:szCs w:val="20"/>
          <w:color w:val="auto"/>
        </w:rPr>
      </w:pPr>
    </w:p>
    <w:p>
      <w:pPr>
        <w:jc w:val="both"/>
        <w:ind w:firstLine="488"/>
        <w:spacing w:after="0" w:line="208" w:lineRule="auto"/>
        <w:tabs>
          <w:tab w:leader="none" w:pos="899" w:val="left"/>
        </w:tabs>
        <w:numPr>
          <w:ilvl w:val="0"/>
          <w:numId w:val="4"/>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since the date of the latest audited financial statements of the Company and its subsidiaries included or incorporated by reference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material change in the capital stock (other than as a result of (i) the vesting, conversion, settlement, exchange or exercise, if any, of equity awards or rights or the award or grant, if any, of equity awards or rights in the ordinary course of business in connection with or pursuant to the Company’s equity incentive and stock purchase plans that are described in the Pricing Prospectus and the Prospectus, pursuant to the Business Combination Merger Agreement (as defined below) or pursuant to any inducement awards in accordance with NASDAQ (as defined below) rules; (ii) the issuance, if any, of stock upon the exercise or redemption of warrants or the conversion or redemption of Company securities as described in the Pricing Prospectus and the Prospectus; (iii) the issuance of stock pursuant to (a) the Agreement and Plan of Merger, dated as of February 9, 2021, as amended, by and among CM Life Sciences, Inc., S-IV Sub, Inc. and Mount Sinai Genomics, Inc. (the “Business Combination Merger Agreement”) or (b) the Agreement and Plan of Merger and Reorganization, dated as of January 14, 2022, as amended, by and among Sema4 Holdings Corp., Orion Merger Sub I, Inc., Orion Merger Sub II, LLC, GeneDx, Inc., OPKO Health, Inc., and GeneDx Holding 2, Inc. (the “Acquisition Merger Agreement”) or (iv) the issuance of the Shares hereunder) or long 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taken as a whole,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59" w:lineRule="exact"/>
        <w:rPr>
          <w:rFonts w:ascii="Arial" w:cs="Arial" w:eastAsia="Arial" w:hAnsi="Arial"/>
          <w:sz w:val="20"/>
          <w:szCs w:val="20"/>
          <w:color w:val="auto"/>
        </w:rPr>
      </w:pPr>
    </w:p>
    <w:p>
      <w:pPr>
        <w:jc w:val="both"/>
        <w:ind w:firstLine="488"/>
        <w:spacing w:after="0" w:line="223" w:lineRule="auto"/>
        <w:tabs>
          <w:tab w:leader="none" w:pos="987"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 and its subsidiaries have good and marketable title in fee simple to all real property and good and marketable title to all personal property (other than with respect to Intellectual Property (as defined below), which is addressed exclusively in subsection (y) below) owned by them, in each case free and clear of all liens, encumbrances and defects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980" w:top="1440" w:right="339" w:bottom="1440" w:gutter="0" w:footer="0" w:header="0"/>
        </w:sectPr>
      </w:pPr>
    </w:p>
    <w:bookmarkStart w:id="7" w:name="page8"/>
    <w:bookmarkEnd w:id="7"/>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except such as described in the Pricing Prospectus or such as do not materially affect the value of such property and do</w:t>
      </w:r>
    </w:p>
    <w:p>
      <w:pPr>
        <w:spacing w:after="0" w:line="2"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not interfere with the use made and proposed to be made of such property by the Company and its subsidiaries; and any real property and buildings held under lease by the Company and its subsidiaries are held by them under valid,</w:t>
      </w:r>
    </w:p>
    <w:p>
      <w:pPr>
        <w:spacing w:after="0" w:line="211" w:lineRule="auto"/>
        <w:rPr>
          <w:sz w:val="20"/>
          <w:szCs w:val="20"/>
          <w:color w:val="auto"/>
        </w:rPr>
      </w:pPr>
      <w:r>
        <w:rPr>
          <w:rFonts w:ascii="Arial" w:cs="Arial" w:eastAsia="Arial" w:hAnsi="Arial"/>
          <w:sz w:val="20"/>
          <w:szCs w:val="20"/>
          <w:color w:val="auto"/>
        </w:rPr>
        <w:t>subsisting and enforceable leases, with such exceptions as are not material and do not materially interfere with the use</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made and proposed to be made of such property and buildings by the Company and its subsidiaries and except that enforcement of such leases may be subject to (i) bankruptcy, insolvency, reorganization, receivership, moratorium,</w:t>
      </w:r>
    </w:p>
    <w:p>
      <w:pPr>
        <w:spacing w:after="0" w:line="211" w:lineRule="auto"/>
        <w:rPr>
          <w:sz w:val="20"/>
          <w:szCs w:val="20"/>
          <w:color w:val="auto"/>
        </w:rPr>
      </w:pPr>
      <w:r>
        <w:rPr>
          <w:rFonts w:ascii="Arial" w:cs="Arial" w:eastAsia="Arial" w:hAnsi="Arial"/>
          <w:sz w:val="20"/>
          <w:szCs w:val="20"/>
          <w:color w:val="auto"/>
        </w:rPr>
        <w:t>fraudulent conveyance or other similar laws relating to creditor’s rights generally and (ii) general principles of equity and</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the discretion of the court before which any proceeding therefor may be brought (collectively, the “Enforceability Exceptions”);</w:t>
      </w:r>
    </w:p>
    <w:p>
      <w:pPr>
        <w:spacing w:after="0" w:line="50" w:lineRule="exact"/>
        <w:rPr>
          <w:sz w:val="20"/>
          <w:szCs w:val="20"/>
          <w:color w:val="auto"/>
        </w:rPr>
      </w:pPr>
    </w:p>
    <w:p>
      <w:pPr>
        <w:jc w:val="both"/>
        <w:ind w:firstLine="488"/>
        <w:spacing w:after="0" w:line="215" w:lineRule="auto"/>
        <w:tabs>
          <w:tab w:leader="none" w:pos="1010" w:val="left"/>
        </w:tabs>
        <w:numPr>
          <w:ilvl w:val="0"/>
          <w:numId w:val="5"/>
        </w:numPr>
        <w:rPr>
          <w:rFonts w:ascii="Arial" w:cs="Arial" w:eastAsia="Arial" w:hAnsi="Arial"/>
          <w:sz w:val="20"/>
          <w:szCs w:val="20"/>
          <w:color w:val="auto"/>
        </w:rPr>
      </w:pPr>
      <w:r>
        <w:rPr>
          <w:rFonts w:ascii="Arial" w:cs="Arial" w:eastAsia="Arial" w:hAnsi="Arial"/>
          <w:sz w:val="20"/>
          <w:szCs w:val="20"/>
          <w:color w:val="auto"/>
        </w:rPr>
        <w:t>Each of the Company and each of its subsidiaries has been (i) duly organized and is validly existing and in good standing under the laws of its jurisdiction of organization, with power and authority (corporate and other) to own and/or lease its properties and conduct its business as described in the Pricing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have a Material Adverse Effect; and each significant subsidiary, as defined in Rule 1-02(w) of Regulation S-K, of the Company has been listed in the Registration Statement;</w:t>
      </w:r>
    </w:p>
    <w:p>
      <w:pPr>
        <w:spacing w:after="0" w:line="39" w:lineRule="exact"/>
        <w:rPr>
          <w:rFonts w:ascii="Arial" w:cs="Arial" w:eastAsia="Arial" w:hAnsi="Arial"/>
          <w:sz w:val="20"/>
          <w:szCs w:val="20"/>
          <w:color w:val="auto"/>
        </w:rPr>
      </w:pPr>
    </w:p>
    <w:p>
      <w:pPr>
        <w:jc w:val="both"/>
        <w:ind w:firstLine="488"/>
        <w:spacing w:after="0" w:line="211" w:lineRule="auto"/>
        <w:tabs>
          <w:tab w:leader="none" w:pos="984"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Company has an authorized capitalization as set forth in the Pricing Prospectus and all of the issued shares of capital stock of the Company have been duly and validly authorized and issued and are fully paid and non-assessable and conform to the description thereof contained in the Pricing Disclosure Package and the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those as described in the Pricing Prospectus; and the Shares to be issued and sold by the Company to the Underwriter hereunder have been duly and validly authorized and, when issued and delivered against payment therefor as provided herein, will be duly and validly issued and fully paid and non-assessable and will conform to the description of the Stock contained in the Pricing Disclosure Package and the Prospectus; and the issuance of the Shares is not subject to any preemptive or similar rights except as have been validly waived or complied with. There are no debt securities or preferred stock of, or guaranteed by, the Company or any of its subsidiaries that are rated by a “nationally recognized statistical rating organization,” as such term is defined in Section 3(a)(62) of the Exchange Act;</w:t>
      </w:r>
    </w:p>
    <w:p>
      <w:pPr>
        <w:spacing w:after="0" w:line="58" w:lineRule="exact"/>
        <w:rPr>
          <w:rFonts w:ascii="Arial" w:cs="Arial" w:eastAsia="Arial" w:hAnsi="Arial"/>
          <w:sz w:val="20"/>
          <w:szCs w:val="20"/>
          <w:color w:val="auto"/>
        </w:rPr>
      </w:pPr>
    </w:p>
    <w:p>
      <w:pPr>
        <w:jc w:val="both"/>
        <w:ind w:firstLine="488"/>
        <w:spacing w:after="0" w:line="211" w:lineRule="auto"/>
        <w:tabs>
          <w:tab w:leader="none" w:pos="10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issue and sale of the Shares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defaults, breaches, or violations that would not, individually or in the aggregate, have a Material Adverse Effect,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this clause (C), for such violations that would not, individually or in the aggregate, result in a Material Adverse Effect; and no consent, approval, authorization, order, registration or qualification of or with any such court or governmental agency or body is required for the issue and sale of the Shares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980" w:top="1440" w:right="339" w:bottom="1440" w:gutter="0" w:footer="0" w:header="0"/>
        </w:sectPr>
      </w:pPr>
    </w:p>
    <w:bookmarkStart w:id="8" w:name="page9"/>
    <w:bookmarkEnd w:id="8"/>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consummation by the Company of the transactions contemplated by this Agreement, except such as have been obtained</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under the Act and for such consents, approvals, authorizations, orders, registrations or qualifications as may be required under state securities or Blue Sky laws in connection with the purchase and distribution of the Shares by the Underwriter;</w:t>
      </w:r>
    </w:p>
    <w:p>
      <w:pPr>
        <w:spacing w:after="0" w:line="50" w:lineRule="exact"/>
        <w:rPr>
          <w:sz w:val="20"/>
          <w:szCs w:val="20"/>
          <w:color w:val="auto"/>
        </w:rPr>
      </w:pPr>
    </w:p>
    <w:p>
      <w:pPr>
        <w:jc w:val="both"/>
        <w:ind w:firstLine="488"/>
        <w:spacing w:after="0" w:line="224" w:lineRule="auto"/>
        <w:tabs>
          <w:tab w:leader="none" w:pos="1056" w:val="left"/>
        </w:tabs>
        <w:numPr>
          <w:ilvl w:val="0"/>
          <w:numId w:val="6"/>
        </w:numPr>
        <w:rPr>
          <w:rFonts w:ascii="Arial" w:cs="Arial" w:eastAsia="Arial" w:hAnsi="Arial"/>
          <w:sz w:val="19"/>
          <w:szCs w:val="19"/>
          <w:color w:val="auto"/>
        </w:rPr>
      </w:pPr>
      <w:r>
        <w:rPr>
          <w:rFonts w:ascii="Arial" w:cs="Arial" w:eastAsia="Arial" w:hAnsi="Arial"/>
          <w:sz w:val="19"/>
          <w:szCs w:val="19"/>
          <w:color w:val="auto"/>
        </w:rPr>
        <w:t>Other than as set forth in the Pricing Prospectus, there are no legal, governmental or regulatory actions, demands, claims, suits, arbitrations, inquiries or proceedings (“Actions”)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therein;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the Registration Statement and the Pricing Prospectus;</w:t>
      </w:r>
    </w:p>
    <w:p>
      <w:pPr>
        <w:spacing w:after="0" w:line="38" w:lineRule="exact"/>
        <w:rPr>
          <w:rFonts w:ascii="Arial" w:cs="Arial" w:eastAsia="Arial" w:hAnsi="Arial"/>
          <w:sz w:val="19"/>
          <w:szCs w:val="19"/>
          <w:color w:val="auto"/>
        </w:rPr>
      </w:pPr>
    </w:p>
    <w:p>
      <w:pPr>
        <w:jc w:val="both"/>
        <w:ind w:firstLine="488"/>
        <w:spacing w:after="0" w:line="216" w:lineRule="auto"/>
        <w:tabs>
          <w:tab w:leader="none" w:pos="911" w:val="left"/>
        </w:tabs>
        <w:numPr>
          <w:ilvl w:val="0"/>
          <w:numId w:val="6"/>
        </w:numPr>
        <w:rPr>
          <w:rFonts w:ascii="Arial" w:cs="Arial" w:eastAsia="Arial" w:hAnsi="Arial"/>
          <w:sz w:val="20"/>
          <w:szCs w:val="20"/>
          <w:color w:val="auto"/>
        </w:rPr>
      </w:pPr>
      <w:r>
        <w:rPr>
          <w:rFonts w:ascii="Arial" w:cs="Arial" w:eastAsia="Arial" w:hAnsi="Arial"/>
          <w:sz w:val="20"/>
          <w:szCs w:val="20"/>
          <w:color w:val="auto"/>
        </w:rPr>
        <w:t>Neither the Company nor any of its subsidiaries is (i) in violation of its certificate of incorporation or bylaws (or other applicable organization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have a Material Adverse Effect;</w:t>
      </w:r>
    </w:p>
    <w:p>
      <w:pPr>
        <w:spacing w:after="0" w:line="49" w:lineRule="exact"/>
        <w:rPr>
          <w:rFonts w:ascii="Arial" w:cs="Arial" w:eastAsia="Arial" w:hAnsi="Arial"/>
          <w:sz w:val="20"/>
          <w:szCs w:val="20"/>
          <w:color w:val="auto"/>
        </w:rPr>
      </w:pPr>
    </w:p>
    <w:p>
      <w:pPr>
        <w:jc w:val="both"/>
        <w:ind w:firstLine="488"/>
        <w:spacing w:after="0" w:line="223" w:lineRule="auto"/>
        <w:tabs>
          <w:tab w:leader="none" w:pos="1116"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statements set forth in the Pricing Prospectus and Prospectus under the caption “Description of the Securities We Are Offering”, insofar as they purport to constitute a summary of the terms of the Stock, under the caption “Material U.S. Federal Income Tax Consequences”</w:t>
      </w:r>
      <w:r>
        <w:rPr>
          <w:rFonts w:ascii="Arial" w:cs="Arial" w:eastAsia="Arial" w:hAnsi="Arial"/>
          <w:sz w:val="20"/>
          <w:szCs w:val="20"/>
          <w:b w:val="1"/>
          <w:bCs w:val="1"/>
          <w:color w:val="auto"/>
        </w:rPr>
        <w:t>,</w:t>
      </w:r>
      <w:r>
        <w:rPr>
          <w:rFonts w:ascii="Arial" w:cs="Arial" w:eastAsia="Arial" w:hAnsi="Arial"/>
          <w:sz w:val="20"/>
          <w:szCs w:val="20"/>
          <w:color w:val="auto"/>
        </w:rPr>
        <w:t xml:space="preserve"> and, insofar as they purport to describe the provisions of the laws and documents referred to therein, are accurate, complete and fair in all material respects;</w:t>
      </w:r>
    </w:p>
    <w:p>
      <w:pPr>
        <w:spacing w:after="0" w:line="36" w:lineRule="exact"/>
        <w:rPr>
          <w:rFonts w:ascii="Arial" w:cs="Arial" w:eastAsia="Arial" w:hAnsi="Arial"/>
          <w:sz w:val="20"/>
          <w:szCs w:val="20"/>
          <w:color w:val="auto"/>
        </w:rPr>
      </w:pPr>
    </w:p>
    <w:p>
      <w:pPr>
        <w:jc w:val="both"/>
        <w:ind w:firstLine="488"/>
        <w:spacing w:after="0" w:line="231" w:lineRule="auto"/>
        <w:tabs>
          <w:tab w:leader="none" w:pos="10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is not and, after giving effect to the offering and sale of the Shares and the application of the proceeds thereof, will not be required to register an “investment company”, as such term is defined in the Investment Company Act of 1940, as amended (the “Investment Company Act”);</w:t>
      </w:r>
    </w:p>
    <w:p>
      <w:pPr>
        <w:spacing w:after="0" w:line="145" w:lineRule="exact"/>
        <w:rPr>
          <w:rFonts w:ascii="Arial" w:cs="Arial" w:eastAsia="Arial" w:hAnsi="Arial"/>
          <w:sz w:val="20"/>
          <w:szCs w:val="20"/>
          <w:color w:val="auto"/>
        </w:rPr>
      </w:pPr>
    </w:p>
    <w:p>
      <w:pPr>
        <w:jc w:val="both"/>
        <w:ind w:firstLine="482"/>
        <w:spacing w:after="0" w:line="223" w:lineRule="auto"/>
        <w:tabs>
          <w:tab w:leader="none" w:pos="9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as of the date hereof, the Company was and is an “ineligible issuer,” as defined in Rule 405 under the Act;</w:t>
      </w:r>
    </w:p>
    <w:p>
      <w:pPr>
        <w:spacing w:after="0" w:line="157" w:lineRule="exact"/>
        <w:rPr>
          <w:rFonts w:ascii="Arial" w:cs="Arial" w:eastAsia="Arial" w:hAnsi="Arial"/>
          <w:sz w:val="20"/>
          <w:szCs w:val="20"/>
          <w:color w:val="auto"/>
        </w:rPr>
      </w:pPr>
    </w:p>
    <w:p>
      <w:pPr>
        <w:jc w:val="both"/>
        <w:ind w:firstLine="482"/>
        <w:spacing w:after="0" w:line="227" w:lineRule="auto"/>
        <w:tabs>
          <w:tab w:leader="none" w:pos="988" w:val="left"/>
        </w:tabs>
        <w:numPr>
          <w:ilvl w:val="0"/>
          <w:numId w:val="6"/>
        </w:numPr>
        <w:rPr>
          <w:rFonts w:ascii="Arial" w:cs="Arial" w:eastAsia="Arial" w:hAnsi="Arial"/>
          <w:sz w:val="20"/>
          <w:szCs w:val="20"/>
          <w:color w:val="auto"/>
        </w:rPr>
      </w:pPr>
      <w:r>
        <w:rPr>
          <w:rFonts w:ascii="Arial" w:cs="Arial" w:eastAsia="Arial" w:hAnsi="Arial"/>
          <w:sz w:val="20"/>
          <w:szCs w:val="20"/>
          <w:color w:val="auto"/>
        </w:rPr>
        <w:t>Ernst &amp; Young LLP, who have certified certain financial statements of the Company and its subsidiaries, and have audited the Company’s internal control over financial reporting and management’s assessment thereof are independent public accountants as required by the Act and the rules and regulations of the Commission thereunder;</w:t>
      </w:r>
    </w:p>
    <w:p>
      <w:pPr>
        <w:spacing w:after="0" w:line="157" w:lineRule="exact"/>
        <w:rPr>
          <w:rFonts w:ascii="Arial" w:cs="Arial" w:eastAsia="Arial" w:hAnsi="Arial"/>
          <w:sz w:val="20"/>
          <w:szCs w:val="20"/>
          <w:color w:val="auto"/>
        </w:rPr>
      </w:pPr>
    </w:p>
    <w:p>
      <w:pPr>
        <w:jc w:val="both"/>
        <w:ind w:firstLine="488"/>
        <w:spacing w:after="0" w:line="223" w:lineRule="auto"/>
        <w:tabs>
          <w:tab w:leader="none" w:pos="984"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maintains a system of internal control over financial reporting (as such term is defined in Rule 13a-15(f) under the Exchange Act that (i) complies in all material respects with the requirements of the Exchange Act, and (ii) has been designed by the Company's principal executive officer and principal financial officer, or under their supervision,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980" w:top="1440" w:right="339" w:bottom="1440" w:gutter="0" w:footer="0" w:header="0"/>
        </w:sectPr>
      </w:pPr>
    </w:p>
    <w:bookmarkStart w:id="9" w:name="page10"/>
    <w:bookmarkEnd w:id="9"/>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to provide reasonable assurance regarding the reliability of financial reporting and the preparation of financial statements</w:t>
      </w:r>
    </w:p>
    <w:p>
      <w:pPr>
        <w:spacing w:after="0" w:line="2"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for external purposes in accordance with generally accepted accounting principles and (iii) is sufficient to provide reasonable assurance that (A) transactions are executed in accordance with management’s general or specific</w:t>
      </w:r>
    </w:p>
    <w:p>
      <w:pPr>
        <w:spacing w:after="0" w:line="223" w:lineRule="auto"/>
        <w:rPr>
          <w:sz w:val="20"/>
          <w:szCs w:val="20"/>
          <w:color w:val="auto"/>
        </w:rPr>
      </w:pPr>
      <w:r>
        <w:rPr>
          <w:rFonts w:ascii="Arial" w:cs="Arial" w:eastAsia="Arial" w:hAnsi="Arial"/>
          <w:sz w:val="19"/>
          <w:szCs w:val="19"/>
          <w:color w:val="auto"/>
        </w:rPr>
        <w:t>authorization, (B) transactions are recorded as necessary to permit preparation of financial statements in conformity with</w:t>
      </w:r>
    </w:p>
    <w:p>
      <w:pPr>
        <w:spacing w:after="0" w:line="215" w:lineRule="auto"/>
        <w:rPr>
          <w:sz w:val="20"/>
          <w:szCs w:val="20"/>
          <w:color w:val="auto"/>
        </w:rPr>
      </w:pPr>
      <w:r>
        <w:rPr>
          <w:rFonts w:ascii="Arial" w:cs="Arial" w:eastAsia="Arial" w:hAnsi="Arial"/>
          <w:sz w:val="19"/>
          <w:szCs w:val="19"/>
          <w:color w:val="auto"/>
        </w:rPr>
        <w:t>U.S. generally accepted accounting principles (“GAAP”) and to maintain accountability for assets, (C) access to assets is permitted only in accordance with management’s general or specific authorization and (D) the recorded accountability for</w:t>
      </w:r>
    </w:p>
    <w:p>
      <w:pPr>
        <w:spacing w:after="0" w:line="211" w:lineRule="auto"/>
        <w:rPr>
          <w:sz w:val="20"/>
          <w:szCs w:val="20"/>
          <w:color w:val="auto"/>
        </w:rPr>
      </w:pPr>
      <w:r>
        <w:rPr>
          <w:rFonts w:ascii="Arial" w:cs="Arial" w:eastAsia="Arial" w:hAnsi="Arial"/>
          <w:sz w:val="20"/>
          <w:szCs w:val="20"/>
          <w:color w:val="auto"/>
        </w:rPr>
        <w:t>assets is compared with the existing assets at reasonable intervals and appropriate action is taken with respect to any</w:t>
      </w:r>
    </w:p>
    <w:p>
      <w:pPr>
        <w:spacing w:after="0" w:line="225" w:lineRule="auto"/>
        <w:rPr>
          <w:sz w:val="20"/>
          <w:szCs w:val="20"/>
          <w:color w:val="auto"/>
        </w:rPr>
      </w:pPr>
      <w:r>
        <w:rPr>
          <w:rFonts w:ascii="Arial" w:cs="Arial" w:eastAsia="Arial" w:hAnsi="Arial"/>
          <w:sz w:val="20"/>
          <w:szCs w:val="20"/>
          <w:color w:val="auto"/>
        </w:rPr>
        <w:t>differences; and except as disclosed in the Pricing Prospectus, the Company's internal control over financial reporting is effective and the Company is not aware of any material weaknesses in its internal control over financial reporting;</w:t>
      </w:r>
    </w:p>
    <w:p>
      <w:pPr>
        <w:spacing w:after="0" w:line="50" w:lineRule="exact"/>
        <w:rPr>
          <w:sz w:val="20"/>
          <w:szCs w:val="20"/>
          <w:color w:val="auto"/>
        </w:rPr>
      </w:pPr>
    </w:p>
    <w:p>
      <w:pPr>
        <w:jc w:val="both"/>
        <w:ind w:firstLine="488"/>
        <w:spacing w:after="0" w:line="223" w:lineRule="auto"/>
        <w:tabs>
          <w:tab w:leader="none" w:pos="937" w:val="left"/>
        </w:tabs>
        <w:numPr>
          <w:ilvl w:val="0"/>
          <w:numId w:val="7"/>
        </w:numPr>
        <w:rPr>
          <w:rFonts w:ascii="Arial" w:cs="Arial" w:eastAsia="Arial" w:hAnsi="Arial"/>
          <w:sz w:val="20"/>
          <w:szCs w:val="20"/>
          <w:color w:val="auto"/>
        </w:rPr>
      </w:pPr>
      <w:r>
        <w:rPr>
          <w:rFonts w:ascii="Arial" w:cs="Arial" w:eastAsia="Arial" w:hAnsi="Arial"/>
          <w:sz w:val="20"/>
          <w:szCs w:val="20"/>
          <w:color w:val="auto"/>
        </w:rPr>
        <w:t>Except as disclosed in the Pricing Prospectus, since the date of the latest audited financial statements of the Company and its subsidiaries included or incorporated by reference in the Prospectus, there has been no change in the Company’s internal control over financial reporting that has materially affected, or is reasonably likely to materially affect, the Company’s internal control over financial reporting;</w:t>
      </w:r>
    </w:p>
    <w:p>
      <w:pPr>
        <w:spacing w:after="0" w:line="49" w:lineRule="exact"/>
        <w:rPr>
          <w:rFonts w:ascii="Arial" w:cs="Arial" w:eastAsia="Arial" w:hAnsi="Arial"/>
          <w:sz w:val="20"/>
          <w:szCs w:val="20"/>
          <w:color w:val="auto"/>
        </w:rPr>
      </w:pPr>
    </w:p>
    <w:p>
      <w:pPr>
        <w:jc w:val="both"/>
        <w:ind w:firstLine="488"/>
        <w:spacing w:after="0" w:line="216" w:lineRule="auto"/>
        <w:tabs>
          <w:tab w:leader="none" w:pos="997"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maintains disclosure controls and procedures (as such term is defined in Rule 13a-15(e) under the Exchange Act) that comply in all material respects with the requirements of the Exchange Act; such disclosure controls and procedures have been designed to ensure that information required to be disclosed by the Company in the reports that it files or submits under the Exchange Act is made known to the Company</w:t>
      </w:r>
      <w:r>
        <w:rPr>
          <w:rFonts w:ascii="Times New Roman" w:cs="Times New Roman" w:eastAsia="Times New Roman" w:hAnsi="Times New Roman"/>
          <w:sz w:val="17"/>
          <w:szCs w:val="17"/>
          <w:color w:val="auto"/>
        </w:rPr>
        <w:t>’s</w:t>
      </w:r>
      <w:r>
        <w:rPr>
          <w:rFonts w:ascii="Arial" w:cs="Arial" w:eastAsia="Arial" w:hAnsi="Arial"/>
          <w:sz w:val="20"/>
          <w:szCs w:val="20"/>
          <w:color w:val="auto"/>
        </w:rPr>
        <w:t xml:space="preserve"> management, including its principal executive officer and principal financial officer; and, except as disclosed in the Pricing Prospectus, such disclosure controls and procedures are effective;</w:t>
      </w:r>
    </w:p>
    <w:p>
      <w:pPr>
        <w:spacing w:after="0" w:line="40" w:lineRule="exact"/>
        <w:rPr>
          <w:rFonts w:ascii="Arial" w:cs="Arial" w:eastAsia="Arial" w:hAnsi="Arial"/>
          <w:sz w:val="20"/>
          <w:szCs w:val="20"/>
          <w:color w:val="auto"/>
        </w:rPr>
      </w:pPr>
    </w:p>
    <w:p>
      <w:pPr>
        <w:jc w:val="both"/>
        <w:ind w:firstLine="488"/>
        <w:spacing w:after="0" w:line="212" w:lineRule="auto"/>
        <w:tabs>
          <w:tab w:leader="none" w:pos="1133" w:val="left"/>
        </w:tabs>
        <w:numPr>
          <w:ilvl w:val="0"/>
          <w:numId w:val="7"/>
        </w:numPr>
        <w:rPr>
          <w:rFonts w:ascii="Arial" w:cs="Arial" w:eastAsia="Arial" w:hAnsi="Arial"/>
          <w:sz w:val="20"/>
          <w:szCs w:val="20"/>
          <w:color w:val="auto"/>
        </w:rPr>
      </w:pPr>
      <w:r>
        <w:rPr>
          <w:rFonts w:ascii="Arial" w:cs="Arial" w:eastAsia="Arial" w:hAnsi="Arial"/>
          <w:sz w:val="20"/>
          <w:szCs w:val="20"/>
          <w:color w:val="auto"/>
        </w:rPr>
        <w:t>Neither the Company nor any of its subsidiaries, nor any director, officer of the Company or any of its subsidiaries nor, to the knowledge of the Company, any employee, agent, affiliate or other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the Company and its subsidiaries have conducted their businesses in compliance with Anti-Corruption Laws and have instituted and maintained and will continue to maintain policies and procedures reasonably designed to promote and achieve compliance with such laws; neither the Company nor any of its subsidiaries will use, directly or indirectly, the proceeds of the offering in furtherance of an offer, payment, promise to pay, or authorization of the payment or giving of money, or anything else of value, to any person in violation of Anti-Corruption Laws;</w:t>
      </w:r>
    </w:p>
    <w:p>
      <w:pPr>
        <w:spacing w:after="0" w:line="46" w:lineRule="exact"/>
        <w:rPr>
          <w:rFonts w:ascii="Arial" w:cs="Arial" w:eastAsia="Arial" w:hAnsi="Arial"/>
          <w:sz w:val="20"/>
          <w:szCs w:val="20"/>
          <w:color w:val="auto"/>
        </w:rPr>
      </w:pPr>
    </w:p>
    <w:p>
      <w:pPr>
        <w:jc w:val="both"/>
        <w:ind w:firstLine="488"/>
        <w:spacing w:after="0" w:line="226" w:lineRule="auto"/>
        <w:tabs>
          <w:tab w:leader="none" w:pos="1033"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or similar rules, regulation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980" w:top="1440" w:right="339" w:bottom="1440" w:gutter="0" w:footer="0" w:header="0"/>
        </w:sectPr>
      </w:pPr>
    </w:p>
    <w:bookmarkStart w:id="10" w:name="page11"/>
    <w:bookmarkEnd w:id="10"/>
    <w:p>
      <w:pPr>
        <w:spacing w:after="0" w:line="69" w:lineRule="exact"/>
        <w:rPr>
          <w:sz w:val="20"/>
          <w:szCs w:val="20"/>
          <w:color w:val="auto"/>
        </w:rPr>
      </w:pPr>
    </w:p>
    <w:p>
      <w:pPr>
        <w:jc w:val="both"/>
        <w:ind w:left="-460" w:firstLine="488"/>
        <w:spacing w:after="0" w:line="221" w:lineRule="auto"/>
        <w:tabs>
          <w:tab w:leader="none" w:pos="705" w:val="left"/>
        </w:tabs>
        <w:numPr>
          <w:ilvl w:val="0"/>
          <w:numId w:val="8"/>
        </w:numPr>
        <w:rPr>
          <w:rFonts w:ascii="Arial" w:cs="Arial" w:eastAsia="Arial" w:hAnsi="Arial"/>
          <w:sz w:val="19"/>
          <w:szCs w:val="19"/>
          <w:color w:val="auto"/>
        </w:rPr>
      </w:pPr>
      <w:r>
        <w:rPr>
          <w:rFonts w:ascii="Arial" w:cs="Arial" w:eastAsia="Arial" w:hAnsi="Arial"/>
          <w:sz w:val="19"/>
          <w:szCs w:val="19"/>
          <w:color w:val="auto"/>
        </w:rPr>
        <w:t>Neither the Company nor any of its subsidiaries, nor any director, officer of the Company or any of its subsidiaries nor, to the knowledge of the Company, any employee, agent, affiliate or other person associated with or acting on behalf of the Company or any of its subsidiaries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(ii) located, organized, or resident in a country or territory that is the subject or target of Sanctions (a “Sanctioned Jurisdiction”),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neither the Company nor any of its subsidiaries is engaged in, or has, at any time in the past five years, engaged in, any dealings or transactions with or involving any individual or entity that was or is, as applicable, at the time of such dealing or transaction, the subject or target of Sanctions or with any Sanctioned Jurisdiction; the Company and its subsidiaries have instituted, and maintain, policies and procedures designed to promote and achieve continued compliance with Sanctions;</w:t>
      </w:r>
    </w:p>
    <w:p>
      <w:pPr>
        <w:spacing w:after="0" w:line="49" w:lineRule="exact"/>
        <w:rPr>
          <w:rFonts w:ascii="Arial" w:cs="Arial" w:eastAsia="Arial" w:hAnsi="Arial"/>
          <w:sz w:val="19"/>
          <w:szCs w:val="19"/>
          <w:color w:val="auto"/>
        </w:rPr>
      </w:pPr>
    </w:p>
    <w:p>
      <w:pPr>
        <w:ind w:left="520" w:hanging="492"/>
        <w:spacing w:after="0"/>
        <w:tabs>
          <w:tab w:leader="none" w:pos="5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This Agreement has been duly authorized, executed and delivered by the Company;</w:t>
      </w:r>
    </w:p>
    <w:p>
      <w:pPr>
        <w:spacing w:after="0" w:line="80" w:lineRule="exact"/>
        <w:rPr>
          <w:rFonts w:ascii="Arial" w:cs="Arial" w:eastAsia="Arial" w:hAnsi="Arial"/>
          <w:sz w:val="20"/>
          <w:szCs w:val="20"/>
          <w:color w:val="auto"/>
        </w:rPr>
      </w:pPr>
    </w:p>
    <w:p>
      <w:pPr>
        <w:jc w:val="both"/>
        <w:ind w:left="-460" w:firstLine="488"/>
        <w:spacing w:after="0" w:line="210" w:lineRule="auto"/>
        <w:tabs>
          <w:tab w:leader="none" w:pos="596"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financial statements of the Company and its subsidiaries included in the Registration Statement, the Pricing Prospectus and the Prospectus, together with the related schedules and notes, present fairly, in all material aspects,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GAAP applied on a consistent basis throughout the periods involved. The pro forma financial information and the related notes thereto included or incorporated by reference in the Registration Statement, the Pricing Prospectus and the Prospectus have been prepared in accordance with the applicable requirements of the Act and the Exchange Act, as applicable, and the assumptions underlying such pro forma financial information are reasonable and are set forth in the Registration Statement, the Pricing Prospectus and the Prospectus. The supporting schedules, if any, present fairly, in all material aspects, in accordance with GAAP the information required to be stated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47" w:lineRule="exact"/>
        <w:rPr>
          <w:rFonts w:ascii="Arial" w:cs="Arial" w:eastAsia="Arial" w:hAnsi="Arial"/>
          <w:sz w:val="20"/>
          <w:szCs w:val="20"/>
          <w:color w:val="auto"/>
        </w:rPr>
      </w:pPr>
    </w:p>
    <w:p>
      <w:pPr>
        <w:jc w:val="both"/>
        <w:ind w:left="-460" w:firstLine="488"/>
        <w:spacing w:after="0" w:line="215" w:lineRule="auto"/>
        <w:tabs>
          <w:tab w:leader="none" w:pos="549"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 and each of its subsidiaries (i) own or otherwise possess adequate, valid, legal and, subject to the Enforceability Exceptions, enforceable rights to use all patents, patent applications, trademarks, service marks, trade names, domain names, copyrights and registrations and applications thereof, licenses, know-how, software, systems and technology (including trade secrets and other unpatented and/or unpatentable proprietary or confidential information, systems or procedures and other forms of intellectual property or similar proprietary right of any kind, whether registrable or unregistrable, anywhere in the world) (“Intellectual Property”) owned, purported to be owned, necessary or useful for the conduct of their respective businesses, (ii) to the knowledge of the Company and each of its subsidiaries, have not, through the conduct of their respective businesses, infringed, violated or conflicted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20"/>
          </w:cols>
          <w:pgMar w:left="1440" w:top="1440" w:right="339" w:bottom="1440" w:gutter="0" w:footer="0" w:header="0"/>
        </w:sectPr>
      </w:pPr>
    </w:p>
    <w:bookmarkStart w:id="11" w:name="page12"/>
    <w:bookmarkEnd w:id="11"/>
    <w:p>
      <w:pPr>
        <w:spacing w:after="0" w:line="69" w:lineRule="exact"/>
        <w:rPr>
          <w:sz w:val="20"/>
          <w:szCs w:val="20"/>
          <w:color w:val="auto"/>
        </w:rPr>
      </w:pPr>
    </w:p>
    <w:p>
      <w:pPr>
        <w:ind w:left="4"/>
        <w:spacing w:after="0" w:line="224" w:lineRule="auto"/>
        <w:rPr>
          <w:sz w:val="20"/>
          <w:szCs w:val="20"/>
          <w:color w:val="auto"/>
        </w:rPr>
      </w:pPr>
      <w:r>
        <w:rPr>
          <w:rFonts w:ascii="Arial" w:cs="Arial" w:eastAsia="Arial" w:hAnsi="Arial"/>
          <w:sz w:val="19"/>
          <w:szCs w:val="19"/>
          <w:color w:val="auto"/>
        </w:rPr>
        <w:t>with any Intellectual Property of others, (iii) to the knowledge of the Company and each of its subsidiaries, is not, through the conduct of their respective businesses, infringing, violating, or conflicting with any Intellectual Property of others, and</w:t>
      </w:r>
    </w:p>
    <w:p>
      <w:pPr>
        <w:spacing w:after="0" w:line="2" w:lineRule="exact"/>
        <w:rPr>
          <w:sz w:val="20"/>
          <w:szCs w:val="20"/>
          <w:color w:val="auto"/>
        </w:rPr>
      </w:pPr>
    </w:p>
    <w:p>
      <w:pPr>
        <w:jc w:val="both"/>
        <w:ind w:left="4" w:hanging="4"/>
        <w:spacing w:after="0" w:line="222" w:lineRule="auto"/>
        <w:tabs>
          <w:tab w:leader="none" w:pos="334" w:val="left"/>
        </w:tabs>
        <w:numPr>
          <w:ilvl w:val="0"/>
          <w:numId w:val="9"/>
        </w:numPr>
        <w:rPr>
          <w:rFonts w:ascii="Arial" w:cs="Arial" w:eastAsia="Arial" w:hAnsi="Arial"/>
          <w:sz w:val="19"/>
          <w:szCs w:val="19"/>
          <w:color w:val="auto"/>
        </w:rPr>
      </w:pPr>
      <w:r>
        <w:rPr>
          <w:rFonts w:ascii="Arial" w:cs="Arial" w:eastAsia="Arial" w:hAnsi="Arial"/>
          <w:sz w:val="19"/>
          <w:szCs w:val="19"/>
          <w:color w:val="auto"/>
        </w:rPr>
        <w:t>have not received any written notice of any claim of infringement, violation or conflict with, any Intellectual Property of others. There is no pending or, to the knowledge of the Company, threatened action, suit, proceeding or claim by others:</w:t>
      </w:r>
    </w:p>
    <w:p>
      <w:pPr>
        <w:jc w:val="both"/>
        <w:ind w:left="4"/>
        <w:spacing w:after="0" w:line="208" w:lineRule="auto"/>
        <w:rPr>
          <w:rFonts w:ascii="Arial" w:cs="Arial" w:eastAsia="Arial" w:hAnsi="Arial"/>
          <w:sz w:val="19"/>
          <w:szCs w:val="19"/>
          <w:color w:val="auto"/>
        </w:rPr>
      </w:pPr>
      <w:r>
        <w:rPr>
          <w:rFonts w:ascii="Arial" w:cs="Arial" w:eastAsia="Arial" w:hAnsi="Arial"/>
          <w:sz w:val="20"/>
          <w:szCs w:val="20"/>
          <w:color w:val="auto"/>
        </w:rPr>
        <w:t>(A) challenging the Company or any of its subsidiaries’ rights in or to any Intellectual Property, to the knowledge of the Company and each of its subsidiaries, and the Company is unaware of any facts which would form a reasonable basis for any such action, suit, proceeding or claim; (B) challenging the validity, enforceability or scope of any Intellectual Property; or (C) asserting that the Company infringes, misappropriates, or otherwise violates, or would, upon the commercialization of any product or service described in any Preliminary Prospectus, Registration Statement, Pricing Disclosure Package, or the Prospectus as under development, infringe, misappropriate or violate, any patent, trademark, trade name, service name, copyright, trade secret or other proprietary rights of others, to the knowledge of the Company and each of its subsidiaries, and the Company is unaware of any facts which would form a reasonable basis for any such action, suit, proceeding or claim. Other than as disclosed in the Preliminary Prospectus, Registration Statement, the Pricing Disclosure Package and the Prospectus, the Company is not obligated to pay a material royalty, grant a license to, or provide other material consideration to any third party in connection with any Intellectual Property owned by or licensed to the Company. The Company has taken commercially reasonable steps to protect, maintain and safeguard its Intellectual Property, including the execution of appropriate nondisclosure, confidentiality agreements and invention assignment agreements and invention assignments with its employees or consultants. To the knowledge of the Company and each of its subsidiaries, no employee, consultant or independent contractor of the Company or its subsidiaries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w:t>
      </w:r>
    </w:p>
    <w:p>
      <w:pPr>
        <w:spacing w:after="0" w:line="59" w:lineRule="exact"/>
        <w:rPr>
          <w:rFonts w:ascii="Arial" w:cs="Arial" w:eastAsia="Arial" w:hAnsi="Arial"/>
          <w:sz w:val="19"/>
          <w:szCs w:val="19"/>
          <w:color w:val="auto"/>
        </w:rPr>
      </w:pPr>
    </w:p>
    <w:p>
      <w:pPr>
        <w:jc w:val="both"/>
        <w:ind w:left="4" w:firstLine="488"/>
        <w:spacing w:after="0" w:line="210" w:lineRule="auto"/>
        <w:tabs>
          <w:tab w:leader="none" w:pos="1038" w:val="left"/>
        </w:tabs>
        <w:numPr>
          <w:ilvl w:val="1"/>
          <w:numId w:val="9"/>
        </w:numPr>
        <w:rPr>
          <w:rFonts w:ascii="Arial" w:cs="Arial" w:eastAsia="Arial" w:hAnsi="Arial"/>
          <w:sz w:val="20"/>
          <w:szCs w:val="20"/>
          <w:color w:val="auto"/>
        </w:rPr>
      </w:pPr>
      <w:r>
        <w:rPr>
          <w:rFonts w:ascii="Arial" w:cs="Arial" w:eastAsia="Arial" w:hAnsi="Arial"/>
          <w:sz w:val="20"/>
          <w:szCs w:val="20"/>
          <w:color w:val="auto"/>
        </w:rPr>
        <w:t>Except as disclosed in the Pricing Prospectus, the Company and each of its subsidiaries have operated and currently are in material compliance with all applicable health care laws, rules, regulations, accreditations and ethical standards, including, without limitation, (i) the Federal, Food, Drug and Cosmetic Act (21 U.S.C. § 301 et seq.); (ii) the Public Health Service Act (42 U.S.C. § 201 et seq.); (iii) all applicable rules and regulations of the U.S. Food and Drug Administration (“FDA”), including, to the extent applicable, those requirements relating to investigational use, premarket notification and premarket approval, establishment registration and device listing, complaint handling, medical device reporting, reporting of corrections and removals, and FDA’s Quality System Regulation at 21 C.F.R. Part 820; (iv) all applicable laws governing licensure, accreditation, certification and operation of clinical laboratories and the performance of laboratory-developed tests, including but not limited to the U.S. Clinical Laboratory Improvement Amendments of 1988, 42 U.S.C. § 263a, and its implemental regulations at 42 C.F.R. Part 493 (“CLIA”), and state laws governing the operation of clinical laboratories; (v) all applicable federal, state, local and all applicable foreign healthcare related fraud and abuse laws, including, without limitation, the federal Anti-kickback Statute (42 U.S.C. § 1320a-7b(b)), the federal Ethics in Patient Referrals or the “Stark Law” (42 U.S.C. §1395nn), the U.S. Physician Payments Sunshine Act (42 U.S.C. § 1320a-7h), as well as any corollary state statutes governing disclosure of payments by manufacturers or suppliers to healthcare professionals, the Eliminating Kickbacks in Recovery Act (18 U.S.C. §220), the civil False Claims Act (31 U.S.C. §§ 3729 et seq.), the Program Fraud Civil Remedies Act of 1986 (31 U.S.C. §§ 3891 et seq.), the criminal False Claims Law (42 U.S.C. § 1320a-7b(a)), all applicable criminal laws relating to healthcare fraud and abuse, including but not limited to 18 U.S.C. Sections 286 and 287, the healthcare fraud criminal provisions under the U.S. Health Insurance Portability and Accountability Act of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976" w:top="1440" w:right="339" w:bottom="1440" w:gutter="0" w:footer="0" w:header="0"/>
        </w:sectPr>
      </w:pPr>
    </w:p>
    <w:bookmarkStart w:id="12" w:name="page13"/>
    <w:bookmarkEnd w:id="12"/>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(“HIPAA”) (42 U.S.C. Section 1320d et seq.), the exclusion laws (42 U.S.C. § 1320a-7), and the civil monetary penalties</w:t>
      </w:r>
    </w:p>
    <w:p>
      <w:pPr>
        <w:spacing w:after="0" w:line="215" w:lineRule="auto"/>
        <w:rPr>
          <w:sz w:val="20"/>
          <w:szCs w:val="20"/>
          <w:color w:val="auto"/>
        </w:rPr>
      </w:pPr>
      <w:r>
        <w:rPr>
          <w:rFonts w:ascii="Arial" w:cs="Arial" w:eastAsia="Arial" w:hAnsi="Arial"/>
          <w:sz w:val="19"/>
          <w:szCs w:val="19"/>
          <w:color w:val="auto"/>
        </w:rPr>
        <w:t>law (42 U.S.C. § 1320a-7a); (vi) HIPAA, as amended by the Health Information Technology for Economic Clinical Health Act (42 U.S.C. Section 17921 et seq.) and any other applicable federal or corollary state laws pertaining to the privacy</w:t>
      </w:r>
    </w:p>
    <w:p>
      <w:pPr>
        <w:spacing w:after="0" w:line="211" w:lineRule="auto"/>
        <w:rPr>
          <w:sz w:val="20"/>
          <w:szCs w:val="20"/>
          <w:color w:val="auto"/>
        </w:rPr>
      </w:pPr>
      <w:r>
        <w:rPr>
          <w:rFonts w:ascii="Arial" w:cs="Arial" w:eastAsia="Arial" w:hAnsi="Arial"/>
          <w:sz w:val="20"/>
          <w:szCs w:val="20"/>
          <w:color w:val="auto"/>
        </w:rPr>
        <w:t>and security of patient information, including laws pertaining to the protection of genetic data or biospecimens; (vii) the</w:t>
      </w:r>
    </w:p>
    <w:p>
      <w:pPr>
        <w:spacing w:after="0" w:line="204" w:lineRule="auto"/>
        <w:rPr>
          <w:sz w:val="20"/>
          <w:szCs w:val="20"/>
          <w:color w:val="auto"/>
        </w:rPr>
      </w:pPr>
      <w:r>
        <w:rPr>
          <w:rFonts w:ascii="Arial" w:cs="Arial" w:eastAsia="Arial" w:hAnsi="Arial"/>
          <w:sz w:val="20"/>
          <w:szCs w:val="20"/>
          <w:color w:val="auto"/>
        </w:rPr>
        <w:t>Medicare program (Title XVIII of the Social Security Act, including the amendments implemented by the Medicare Prescription Drug, Improvement, and Modernization Act of 2003 and the Medicare Improvements for Patients and</w:t>
      </w:r>
    </w:p>
    <w:p>
      <w:pPr>
        <w:spacing w:after="0" w:line="211" w:lineRule="auto"/>
        <w:rPr>
          <w:sz w:val="20"/>
          <w:szCs w:val="20"/>
          <w:color w:val="auto"/>
        </w:rPr>
      </w:pPr>
      <w:r>
        <w:rPr>
          <w:rFonts w:ascii="Arial" w:cs="Arial" w:eastAsia="Arial" w:hAnsi="Arial"/>
          <w:sz w:val="20"/>
          <w:szCs w:val="20"/>
          <w:color w:val="auto"/>
        </w:rPr>
        <w:t>Providers Act of 2008), (viii) the Medicaid program (Title XIX of the Social Security Act), (viii) the Patient Protection and</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Affordable Care Act (“ACA”) (Pub. L. 111-148) as amended by the Health Care and Education Reconciliation Act of 2010 (Pub. L. 111-152), (ix), laws applicable to clinical research, including but not limited to the federal Policy for Protection of</w:t>
      </w:r>
    </w:p>
    <w:p>
      <w:pPr>
        <w:spacing w:after="0" w:line="222" w:lineRule="auto"/>
        <w:rPr>
          <w:sz w:val="20"/>
          <w:szCs w:val="20"/>
          <w:color w:val="auto"/>
        </w:rPr>
      </w:pPr>
      <w:r>
        <w:rPr>
          <w:rFonts w:ascii="Arial" w:cs="Arial" w:eastAsia="Arial" w:hAnsi="Arial"/>
          <w:sz w:val="19"/>
          <w:szCs w:val="19"/>
          <w:color w:val="auto"/>
        </w:rPr>
        <w:t>Human Subjects (42 C.F.R. Part 46), the FDCA and its applicable implementing regulations at 21 C.F.R. Parts 50, 54, 56,</w:t>
      </w:r>
    </w:p>
    <w:p>
      <w:pPr>
        <w:spacing w:after="0" w:line="215" w:lineRule="auto"/>
        <w:rPr>
          <w:sz w:val="20"/>
          <w:szCs w:val="20"/>
          <w:color w:val="auto"/>
        </w:rPr>
      </w:pPr>
      <w:r>
        <w:rPr>
          <w:rFonts w:ascii="Arial" w:cs="Arial" w:eastAsia="Arial" w:hAnsi="Arial"/>
          <w:sz w:val="19"/>
          <w:szCs w:val="19"/>
          <w:color w:val="auto"/>
        </w:rPr>
        <w:t>58 and 312, the United States Animal Welfare Act, the International Conference on Harmonization’s (ICH) Guideline on Nonclinical Safety Studies for the Conduct of Human Clinical Trials for Pharmaceuticals and the ICH Guideline on Safety</w:t>
      </w:r>
    </w:p>
    <w:p>
      <w:pPr>
        <w:spacing w:after="0" w:line="211" w:lineRule="auto"/>
        <w:rPr>
          <w:sz w:val="20"/>
          <w:szCs w:val="20"/>
          <w:color w:val="auto"/>
        </w:rPr>
      </w:pPr>
      <w:r>
        <w:rPr>
          <w:rFonts w:ascii="Arial" w:cs="Arial" w:eastAsia="Arial" w:hAnsi="Arial"/>
          <w:sz w:val="20"/>
          <w:szCs w:val="20"/>
          <w:color w:val="auto"/>
        </w:rPr>
        <w:t>Pharmacology Studies for Human Pharmaceuticals, and all equivalent legal requirements in other jurisdictions; (x) all</w:t>
      </w:r>
    </w:p>
    <w:p>
      <w:pPr>
        <w:jc w:val="both"/>
        <w:spacing w:after="0" w:line="215" w:lineRule="auto"/>
        <w:rPr>
          <w:sz w:val="20"/>
          <w:szCs w:val="20"/>
          <w:color w:val="auto"/>
        </w:rPr>
      </w:pPr>
      <w:r>
        <w:rPr>
          <w:rFonts w:ascii="Arial" w:cs="Arial" w:eastAsia="Arial" w:hAnsi="Arial"/>
          <w:sz w:val="19"/>
          <w:szCs w:val="19"/>
          <w:color w:val="auto"/>
        </w:rPr>
        <w:t>applicable federal or state laws pertaining to genetic counseling and telehealth services (including but not limited to federal and state licensure requirements and informed consent requirements (collectively (i)-(x), the “Health Care Laws”).</w:t>
      </w:r>
    </w:p>
    <w:p>
      <w:pPr>
        <w:spacing w:after="0" w:line="211" w:lineRule="auto"/>
        <w:rPr>
          <w:sz w:val="20"/>
          <w:szCs w:val="20"/>
          <w:color w:val="auto"/>
        </w:rPr>
      </w:pPr>
      <w:r>
        <w:rPr>
          <w:rFonts w:ascii="Arial" w:cs="Arial" w:eastAsia="Arial" w:hAnsi="Arial"/>
          <w:sz w:val="20"/>
          <w:szCs w:val="20"/>
          <w:color w:val="auto"/>
        </w:rPr>
        <w:t>The Company and each of its subsidiaries have timely filed all material reports, applications, statements, documents,</w:t>
      </w:r>
    </w:p>
    <w:p>
      <w:pPr>
        <w:spacing w:after="0" w:line="204" w:lineRule="auto"/>
        <w:rPr>
          <w:sz w:val="20"/>
          <w:szCs w:val="20"/>
          <w:color w:val="auto"/>
        </w:rPr>
      </w:pPr>
      <w:r>
        <w:rPr>
          <w:rFonts w:ascii="Arial" w:cs="Arial" w:eastAsia="Arial" w:hAnsi="Arial"/>
          <w:sz w:val="20"/>
          <w:szCs w:val="20"/>
          <w:color w:val="auto"/>
        </w:rPr>
        <w:t>registrations, filings, corrections, updates, amendments, supplements, and submissions required to be filed by them under applicable Health Care Laws. Each such filing was true and correct in all material respects as of the date of</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submission, or was corrected in or supplemented by a subsequent filing, and any material and legally necessary or required updates, changes, corrections, amendments, supplements, or modifications to such filings have been submitted</w:t>
      </w:r>
    </w:p>
    <w:p>
      <w:pPr>
        <w:spacing w:after="0" w:line="211" w:lineRule="auto"/>
        <w:rPr>
          <w:sz w:val="20"/>
          <w:szCs w:val="20"/>
          <w:color w:val="auto"/>
        </w:rPr>
      </w:pPr>
      <w:r>
        <w:rPr>
          <w:rFonts w:ascii="Arial" w:cs="Arial" w:eastAsia="Arial" w:hAnsi="Arial"/>
          <w:sz w:val="20"/>
          <w:szCs w:val="20"/>
          <w:color w:val="auto"/>
        </w:rPr>
        <w:t>to the applicable governmental or regulatory authorities. The Company and each of its subsidiaries maintains an</w:t>
      </w:r>
    </w:p>
    <w:p>
      <w:pPr>
        <w:jc w:val="both"/>
        <w:spacing w:after="0" w:line="204" w:lineRule="auto"/>
        <w:rPr>
          <w:sz w:val="20"/>
          <w:szCs w:val="20"/>
          <w:color w:val="auto"/>
        </w:rPr>
      </w:pPr>
      <w:r>
        <w:rPr>
          <w:rFonts w:ascii="Arial" w:cs="Arial" w:eastAsia="Arial" w:hAnsi="Arial"/>
          <w:sz w:val="20"/>
          <w:szCs w:val="20"/>
          <w:color w:val="auto"/>
        </w:rPr>
        <w:t>operational healthcare compliance program that governs all employees and contractors and is consistent with guidance by the U.S. Department of Health and Human Services Office of Inspector General for effective compliance programs.</w:t>
      </w:r>
    </w:p>
    <w:p>
      <w:pPr>
        <w:spacing w:after="0" w:line="211" w:lineRule="auto"/>
        <w:rPr>
          <w:sz w:val="20"/>
          <w:szCs w:val="20"/>
          <w:color w:val="auto"/>
        </w:rPr>
      </w:pPr>
      <w:r>
        <w:rPr>
          <w:rFonts w:ascii="Arial" w:cs="Arial" w:eastAsia="Arial" w:hAnsi="Arial"/>
          <w:sz w:val="20"/>
          <w:szCs w:val="20"/>
          <w:color w:val="auto"/>
        </w:rPr>
        <w:t>The Company and its subsidiaries further operates in material compliance with such healthcare compliance program.</w:t>
      </w:r>
    </w:p>
    <w:p>
      <w:pPr>
        <w:spacing w:after="0" w:line="1" w:lineRule="exact"/>
        <w:rPr>
          <w:sz w:val="20"/>
          <w:szCs w:val="20"/>
          <w:color w:val="auto"/>
        </w:rPr>
      </w:pPr>
    </w:p>
    <w:p>
      <w:pPr>
        <w:jc w:val="both"/>
        <w:ind w:right="20"/>
        <w:spacing w:after="0" w:line="204" w:lineRule="auto"/>
        <w:rPr>
          <w:sz w:val="20"/>
          <w:szCs w:val="20"/>
          <w:color w:val="auto"/>
        </w:rPr>
      </w:pPr>
      <w:r>
        <w:rPr>
          <w:rFonts w:ascii="Arial" w:cs="Arial" w:eastAsia="Arial" w:hAnsi="Arial"/>
          <w:sz w:val="20"/>
          <w:szCs w:val="20"/>
          <w:color w:val="auto"/>
        </w:rPr>
        <w:t>Except as disclosed in the Pricing Prospectus, the Company and each of its subsidiaries have not received written notice or other correspondence of any claim, action, suit, audit, or survey finding, proceeding, hearing, enforcement,</w:t>
      </w:r>
    </w:p>
    <w:p>
      <w:pPr>
        <w:spacing w:after="0" w:line="211" w:lineRule="auto"/>
        <w:rPr>
          <w:sz w:val="20"/>
          <w:szCs w:val="20"/>
          <w:color w:val="auto"/>
        </w:rPr>
      </w:pPr>
      <w:r>
        <w:rPr>
          <w:rFonts w:ascii="Arial" w:cs="Arial" w:eastAsia="Arial" w:hAnsi="Arial"/>
          <w:sz w:val="20"/>
          <w:szCs w:val="20"/>
          <w:color w:val="auto"/>
        </w:rPr>
        <w:t>investigation, arbitration or other action (“Health Care Action”) from any court or arbitrator or governmental or regulatory</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authority or third party alleging that any of their product, operation or activity is in material violation of any Health Care Laws, and, to the Company’s knowledge, no such Health Care Action is threatened. Neither the Company nor any of its</w:t>
      </w:r>
    </w:p>
    <w:p>
      <w:pPr>
        <w:spacing w:after="0" w:line="211" w:lineRule="auto"/>
        <w:rPr>
          <w:sz w:val="20"/>
          <w:szCs w:val="20"/>
          <w:color w:val="auto"/>
        </w:rPr>
      </w:pPr>
      <w:r>
        <w:rPr>
          <w:rFonts w:ascii="Arial" w:cs="Arial" w:eastAsia="Arial" w:hAnsi="Arial"/>
          <w:sz w:val="20"/>
          <w:szCs w:val="20"/>
          <w:color w:val="auto"/>
        </w:rPr>
        <w:t>subsidiaries are a party to or have any ongoing reporting obligations pursuant to any corporate integrity agreement,</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deferred prosecution agreement, monitoring agreement, consent decree, settlement order, plan of correction or similar agreement imposed by any governmental or regulatory authority except as disclosed in the Registration Statement, the</w:t>
      </w:r>
    </w:p>
    <w:p>
      <w:pPr>
        <w:spacing w:after="0" w:line="223" w:lineRule="auto"/>
        <w:rPr>
          <w:sz w:val="20"/>
          <w:szCs w:val="20"/>
          <w:color w:val="auto"/>
        </w:rPr>
      </w:pPr>
      <w:r>
        <w:rPr>
          <w:rFonts w:ascii="Arial" w:cs="Arial" w:eastAsia="Arial" w:hAnsi="Arial"/>
          <w:sz w:val="19"/>
          <w:szCs w:val="19"/>
          <w:color w:val="auto"/>
        </w:rPr>
        <w:t>Pricing Disclosure Package and the Prospectus. Neither the Company nor any of its subsidiaries have received any FDA</w:t>
      </w:r>
    </w:p>
    <w:p>
      <w:pPr>
        <w:jc w:val="both"/>
        <w:spacing w:after="0" w:line="215" w:lineRule="auto"/>
        <w:rPr>
          <w:sz w:val="20"/>
          <w:szCs w:val="20"/>
          <w:color w:val="auto"/>
        </w:rPr>
      </w:pPr>
      <w:r>
        <w:rPr>
          <w:rFonts w:ascii="Arial" w:cs="Arial" w:eastAsia="Arial" w:hAnsi="Arial"/>
          <w:sz w:val="19"/>
          <w:szCs w:val="19"/>
          <w:color w:val="auto"/>
        </w:rPr>
        <w:t>Form 483, notice of adverse finding, warning letter, untitled letter or other correspondence or notice from the FDA or any other governmental or regulatory authority alleging or asserting any material noncompliance with any Healthcare Laws.</w:t>
      </w:r>
    </w:p>
    <w:p>
      <w:pPr>
        <w:spacing w:after="0" w:line="211" w:lineRule="auto"/>
        <w:rPr>
          <w:sz w:val="20"/>
          <w:szCs w:val="20"/>
          <w:color w:val="auto"/>
        </w:rPr>
      </w:pPr>
      <w:r>
        <w:rPr>
          <w:rFonts w:ascii="Arial" w:cs="Arial" w:eastAsia="Arial" w:hAnsi="Arial"/>
          <w:sz w:val="20"/>
          <w:szCs w:val="20"/>
          <w:color w:val="auto"/>
        </w:rPr>
        <w:t>Additionally, neither the Company nor any of its subsidiaries, nor to the Company’s knowledge, any of its employees,</w:t>
      </w:r>
    </w:p>
    <w:p>
      <w:pPr>
        <w:jc w:val="both"/>
        <w:spacing w:after="0" w:line="204" w:lineRule="auto"/>
        <w:rPr>
          <w:sz w:val="20"/>
          <w:szCs w:val="20"/>
          <w:color w:val="auto"/>
        </w:rPr>
      </w:pPr>
      <w:r>
        <w:rPr>
          <w:rFonts w:ascii="Arial" w:cs="Arial" w:eastAsia="Arial" w:hAnsi="Arial"/>
          <w:sz w:val="20"/>
          <w:szCs w:val="20"/>
          <w:color w:val="auto"/>
        </w:rPr>
        <w:t>officers or directors, has been excluded, suspended or debarred from participation in any U.S. state or federal health care program or human clinical research or, to the knowledge of the Company, is subject to a governmental inquiry,</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investigation, proceeding, or other similar action that could reasonably be expected to result in debarment, suspension, or exclusion;</w:t>
      </w:r>
    </w:p>
    <w:p>
      <w:pPr>
        <w:spacing w:after="0" w:line="37" w:lineRule="exact"/>
        <w:rPr>
          <w:sz w:val="20"/>
          <w:szCs w:val="20"/>
          <w:color w:val="auto"/>
        </w:rPr>
      </w:pPr>
    </w:p>
    <w:p>
      <w:pPr>
        <w:jc w:val="both"/>
        <w:ind w:firstLine="488"/>
        <w:spacing w:after="0" w:line="231" w:lineRule="auto"/>
        <w:tabs>
          <w:tab w:leader="none" w:pos="1075"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studies and tests conducted by or, to the Company’s knowledge, on behalf of the Company were and, if still ongoing, are being conducted in all material respects in accordance with all Permits (as defined below) and applicable laws,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980" w:top="1440" w:right="339" w:bottom="1440" w:gutter="0" w:footer="0" w:header="0"/>
        </w:sectPr>
      </w:pPr>
    </w:p>
    <w:bookmarkStart w:id="13" w:name="page14"/>
    <w:bookmarkEnd w:id="13"/>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limitation, the Federal Food, Drug and Cosmetic Act and the rules and regulations promulgated thereunder; the</w:t>
      </w:r>
    </w:p>
    <w:p>
      <w:pPr>
        <w:spacing w:after="0" w:line="215" w:lineRule="auto"/>
        <w:rPr>
          <w:sz w:val="20"/>
          <w:szCs w:val="20"/>
          <w:color w:val="auto"/>
        </w:rPr>
      </w:pPr>
      <w:r>
        <w:rPr>
          <w:rFonts w:ascii="Arial" w:cs="Arial" w:eastAsia="Arial" w:hAnsi="Arial"/>
          <w:sz w:val="19"/>
          <w:szCs w:val="19"/>
          <w:color w:val="auto"/>
        </w:rPr>
        <w:t>descriptions, if any, of the results of such studies and tests contained in the Registration Statement, the Pricing Prospectus and the Prospectus are, to the Company’s knowledge, accurate in all material respects and fairly present, in</w:t>
      </w:r>
    </w:p>
    <w:p>
      <w:pPr>
        <w:spacing w:after="0" w:line="211" w:lineRule="auto"/>
        <w:rPr>
          <w:sz w:val="20"/>
          <w:szCs w:val="20"/>
          <w:color w:val="auto"/>
        </w:rPr>
      </w:pPr>
      <w:r>
        <w:rPr>
          <w:rFonts w:ascii="Arial" w:cs="Arial" w:eastAsia="Arial" w:hAnsi="Arial"/>
          <w:sz w:val="20"/>
          <w:szCs w:val="20"/>
          <w:color w:val="auto"/>
        </w:rPr>
        <w:t>all material aspects, the data derived from such studies and tests; except to the extent disclosed in the Registration</w:t>
      </w:r>
    </w:p>
    <w:p>
      <w:pPr>
        <w:spacing w:after="0" w:line="204" w:lineRule="auto"/>
        <w:rPr>
          <w:sz w:val="20"/>
          <w:szCs w:val="20"/>
          <w:color w:val="auto"/>
        </w:rPr>
      </w:pPr>
      <w:r>
        <w:rPr>
          <w:rFonts w:ascii="Arial" w:cs="Arial" w:eastAsia="Arial" w:hAnsi="Arial"/>
          <w:sz w:val="20"/>
          <w:szCs w:val="20"/>
          <w:color w:val="auto"/>
        </w:rPr>
        <w:t>Statement, Pricing Prospectus and the Prospectus, the Company is not aware of any studies or tests, the results of which the Company believes reasonably call into question the study, test, or trial results described or referred to in the</w:t>
      </w:r>
    </w:p>
    <w:p>
      <w:pPr>
        <w:spacing w:after="0" w:line="223" w:lineRule="auto"/>
        <w:rPr>
          <w:sz w:val="20"/>
          <w:szCs w:val="20"/>
          <w:color w:val="auto"/>
        </w:rPr>
      </w:pPr>
      <w:r>
        <w:rPr>
          <w:rFonts w:ascii="Arial" w:cs="Arial" w:eastAsia="Arial" w:hAnsi="Arial"/>
          <w:sz w:val="19"/>
          <w:szCs w:val="19"/>
          <w:color w:val="auto"/>
        </w:rPr>
        <w:t>Registration Statement, the Pricing Prospectus and the Prospectus when viewed in the context in which such results are</w:t>
      </w:r>
    </w:p>
    <w:p>
      <w:pPr>
        <w:spacing w:after="0" w:line="204" w:lineRule="auto"/>
        <w:rPr>
          <w:sz w:val="20"/>
          <w:szCs w:val="20"/>
          <w:color w:val="auto"/>
        </w:rPr>
      </w:pPr>
      <w:r>
        <w:rPr>
          <w:rFonts w:ascii="Arial" w:cs="Arial" w:eastAsia="Arial" w:hAnsi="Arial"/>
          <w:sz w:val="20"/>
          <w:szCs w:val="20"/>
          <w:color w:val="auto"/>
        </w:rPr>
        <w:t>described and the clinical state of development; and, except to the extent disclosed in the Registration Statement, the Pricing Prospectus or the Prospectus, the Company has not received any written notices or correspondence from the</w:t>
      </w:r>
    </w:p>
    <w:p>
      <w:pPr>
        <w:spacing w:after="0" w:line="211" w:lineRule="auto"/>
        <w:rPr>
          <w:sz w:val="20"/>
          <w:szCs w:val="20"/>
          <w:color w:val="auto"/>
        </w:rPr>
      </w:pPr>
      <w:r>
        <w:rPr>
          <w:rFonts w:ascii="Arial" w:cs="Arial" w:eastAsia="Arial" w:hAnsi="Arial"/>
          <w:sz w:val="20"/>
          <w:szCs w:val="20"/>
          <w:color w:val="auto"/>
        </w:rPr>
        <w:t>FDA or any Governmental Entity requiring the termination or suspension of any studies or tests conducted by or on</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behalf of the Company, other than ordinary course communications with respect to modifications in connection with the design and implementation of such studies or tests;</w:t>
      </w:r>
    </w:p>
    <w:p>
      <w:pPr>
        <w:spacing w:after="0" w:line="50" w:lineRule="exact"/>
        <w:rPr>
          <w:sz w:val="20"/>
          <w:szCs w:val="20"/>
          <w:color w:val="auto"/>
        </w:rPr>
      </w:pPr>
    </w:p>
    <w:p>
      <w:pPr>
        <w:jc w:val="both"/>
        <w:ind w:firstLine="488"/>
        <w:spacing w:after="0" w:line="210" w:lineRule="auto"/>
        <w:tabs>
          <w:tab w:leader="none" w:pos="1216" w:val="left"/>
        </w:tabs>
        <w:numPr>
          <w:ilvl w:val="0"/>
          <w:numId w:val="11"/>
        </w:numPr>
        <w:rPr>
          <w:rFonts w:ascii="Arial" w:cs="Arial" w:eastAsia="Arial" w:hAnsi="Arial"/>
          <w:sz w:val="20"/>
          <w:szCs w:val="20"/>
          <w:color w:val="auto"/>
        </w:rPr>
      </w:pPr>
      <w:r>
        <w:rPr>
          <w:rFonts w:ascii="Arial" w:cs="Arial" w:eastAsia="Arial" w:hAnsi="Arial"/>
          <w:sz w:val="20"/>
          <w:szCs w:val="20"/>
          <w:color w:val="auto"/>
        </w:rPr>
        <w:t>Except for such matters as would not, singly or in the aggregate, result in a Material Adverse Effect, (A) neither the Company nor any of its subsidiaries is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medical specimens, petroleum or petroleum products or nuclear or radioactive material (collectively, “Hazardous Materials”) or to the manufacture, processing, distribution, use, treatment, storage, disposal, transport or handling of Hazardous Materials (collectively, “Environmental Laws”), (B) the Company and its subsidiaries have all permits, licenses, authorizations and approvals currently required for their respective businesses under any applicable Environmental Laws and are each in material compliance with their requirements, (C) to the knowledge of the Company and its subsidiaries, there are no pending or threatened administrative, regulatory or judicial actions, suits, demands, demand letters, claims, liens, notices of noncompliance or violation, investigation or proceedings relating to any Environmental Law against the Company or any of its subsidiaries, and (D) to the knowledge of the Company and its subsidiaries, there are no events, facts or circumstances that might reasonably be expected to form the basis of any liability or obligation of the Company or any of its subsidiaries, including, without limitation, any order, decree, plan or agreement requiring clean-up or remediation, or any action, suit or proceeding by any private party or governmental body or agency, against or affecting the Company or any of its subsidiaries relating to any Hazardous Materials or Environmental Laws;</w:t>
      </w:r>
    </w:p>
    <w:p>
      <w:pPr>
        <w:spacing w:after="0" w:line="37" w:lineRule="exact"/>
        <w:rPr>
          <w:rFonts w:ascii="Arial" w:cs="Arial" w:eastAsia="Arial" w:hAnsi="Arial"/>
          <w:sz w:val="20"/>
          <w:szCs w:val="20"/>
          <w:color w:val="auto"/>
        </w:rPr>
      </w:pPr>
    </w:p>
    <w:p>
      <w:pPr>
        <w:jc w:val="both"/>
        <w:ind w:firstLine="488"/>
        <w:spacing w:after="0" w:line="223" w:lineRule="auto"/>
        <w:tabs>
          <w:tab w:leader="none" w:pos="1285" w:val="left"/>
        </w:tabs>
        <w:numPr>
          <w:ilvl w:val="0"/>
          <w:numId w:val="11"/>
        </w:numPr>
        <w:rPr>
          <w:rFonts w:ascii="Arial" w:cs="Arial" w:eastAsia="Arial" w:hAnsi="Arial"/>
          <w:sz w:val="20"/>
          <w:szCs w:val="20"/>
          <w:color w:val="auto"/>
        </w:rPr>
      </w:pPr>
      <w:r>
        <w:rPr>
          <w:rFonts w:ascii="Arial" w:cs="Arial" w:eastAsia="Arial" w:hAnsi="Arial"/>
          <w:sz w:val="20"/>
          <w:szCs w:val="20"/>
          <w:color w:val="auto"/>
        </w:rPr>
        <w:t>Except as disclosed in the Registration Statement, the Pricing Prospectus and the Prospectus or the documents incorporated by reference therein, there are no holders of securities (debt or equity) of the Company, or holders of rights (including, without limitation, preemptive rights), warrants or options to obtain securities of the Company, who have the right to request the Company to register securities held by them under the Act;</w:t>
      </w:r>
    </w:p>
    <w:p>
      <w:pPr>
        <w:spacing w:after="0" w:line="49" w:lineRule="exact"/>
        <w:rPr>
          <w:rFonts w:ascii="Arial" w:cs="Arial" w:eastAsia="Arial" w:hAnsi="Arial"/>
          <w:sz w:val="20"/>
          <w:szCs w:val="20"/>
          <w:color w:val="auto"/>
        </w:rPr>
      </w:pPr>
    </w:p>
    <w:p>
      <w:pPr>
        <w:jc w:val="both"/>
        <w:ind w:firstLine="488"/>
        <w:spacing w:after="0" w:line="227" w:lineRule="auto"/>
        <w:tabs>
          <w:tab w:leader="none" w:pos="1291" w:val="left"/>
        </w:tabs>
        <w:numPr>
          <w:ilvl w:val="0"/>
          <w:numId w:val="11"/>
        </w:numPr>
        <w:rPr>
          <w:rFonts w:ascii="Arial" w:cs="Arial" w:eastAsia="Arial" w:hAnsi="Arial"/>
          <w:sz w:val="20"/>
          <w:szCs w:val="20"/>
          <w:color w:val="auto"/>
        </w:rPr>
      </w:pPr>
      <w:r>
        <w:rPr>
          <w:rFonts w:ascii="Arial" w:cs="Arial" w:eastAsia="Arial" w:hAnsi="Arial"/>
          <w:sz w:val="20"/>
          <w:szCs w:val="20"/>
          <w:color w:val="auto"/>
        </w:rPr>
        <w:t>All transactions required to be disclosed under Item 404 of Regulation S-K under the Act have been disclosed in the Registration Statement, the Pricing Prospectus and the Prospectus or the Company’s filings with the Commission under the Exchange Act;</w:t>
      </w:r>
    </w:p>
    <w:p>
      <w:pPr>
        <w:spacing w:after="0" w:line="49" w:lineRule="exact"/>
        <w:rPr>
          <w:rFonts w:ascii="Arial" w:cs="Arial" w:eastAsia="Arial" w:hAnsi="Arial"/>
          <w:sz w:val="20"/>
          <w:szCs w:val="20"/>
          <w:color w:val="auto"/>
        </w:rPr>
      </w:pPr>
    </w:p>
    <w:p>
      <w:pPr>
        <w:jc w:val="both"/>
        <w:ind w:firstLine="488"/>
        <w:spacing w:after="0" w:line="223" w:lineRule="auto"/>
        <w:tabs>
          <w:tab w:leader="none" w:pos="1157"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Company and its subsidiaries have not failed to file with any regulatory authority any required material filing, declaration, listing, registration, report or submission with respect to the Company’s products and product candidates that are described or referred to in the Registration Statement, the Pricing Prospectus and the Prospectus; all such material filings, declarations, listings, registrations, reports or submissions were in material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980" w:top="1440" w:right="339" w:bottom="1440" w:gutter="0" w:footer="0" w:header="0"/>
        </w:sectPr>
      </w:pPr>
    </w:p>
    <w:bookmarkStart w:id="14" w:name="page15"/>
    <w:bookmarkEnd w:id="14"/>
    <w:p>
      <w:pPr>
        <w:spacing w:after="0" w:line="69" w:lineRule="exact"/>
        <w:rPr>
          <w:sz w:val="20"/>
          <w:szCs w:val="20"/>
          <w:color w:val="auto"/>
        </w:rPr>
      </w:pPr>
    </w:p>
    <w:p>
      <w:pPr>
        <w:ind w:left="4"/>
        <w:spacing w:after="0"/>
        <w:rPr>
          <w:sz w:val="20"/>
          <w:szCs w:val="20"/>
          <w:color w:val="auto"/>
        </w:rPr>
      </w:pPr>
      <w:r>
        <w:rPr>
          <w:rFonts w:ascii="Arial" w:cs="Arial" w:eastAsia="Arial" w:hAnsi="Arial"/>
          <w:sz w:val="19"/>
          <w:szCs w:val="19"/>
          <w:color w:val="auto"/>
        </w:rPr>
        <w:t>with applicable laws when filed; and no deficiencies regarding compliance with applicable law have been asserted by any</w:t>
      </w:r>
    </w:p>
    <w:p>
      <w:pPr>
        <w:spacing w:after="0" w:line="2" w:lineRule="exact"/>
        <w:rPr>
          <w:sz w:val="20"/>
          <w:szCs w:val="20"/>
          <w:color w:val="auto"/>
        </w:rPr>
      </w:pPr>
    </w:p>
    <w:p>
      <w:pPr>
        <w:ind w:left="4"/>
        <w:spacing w:after="0" w:line="225" w:lineRule="auto"/>
        <w:rPr>
          <w:sz w:val="20"/>
          <w:szCs w:val="20"/>
          <w:color w:val="auto"/>
        </w:rPr>
      </w:pPr>
      <w:r>
        <w:rPr>
          <w:rFonts w:ascii="Arial" w:cs="Arial" w:eastAsia="Arial" w:hAnsi="Arial"/>
          <w:sz w:val="20"/>
          <w:szCs w:val="20"/>
          <w:color w:val="auto"/>
        </w:rPr>
        <w:t>applicable regulatory authority with respect to any such material filings, declarations, listings, registrations, reports or submission;</w:t>
      </w:r>
    </w:p>
    <w:p>
      <w:pPr>
        <w:spacing w:after="0" w:line="50" w:lineRule="exact"/>
        <w:rPr>
          <w:sz w:val="20"/>
          <w:szCs w:val="20"/>
          <w:color w:val="auto"/>
        </w:rPr>
      </w:pPr>
    </w:p>
    <w:p>
      <w:pPr>
        <w:jc w:val="both"/>
        <w:ind w:left="4" w:firstLine="488"/>
        <w:spacing w:after="0" w:line="227" w:lineRule="auto"/>
        <w:tabs>
          <w:tab w:leader="none" w:pos="1087" w:val="left"/>
        </w:tabs>
        <w:numPr>
          <w:ilvl w:val="1"/>
          <w:numId w:val="12"/>
        </w:numPr>
        <w:rPr>
          <w:rFonts w:ascii="Arial" w:cs="Arial" w:eastAsia="Arial" w:hAnsi="Arial"/>
          <w:sz w:val="20"/>
          <w:szCs w:val="20"/>
          <w:color w:val="auto"/>
        </w:rPr>
      </w:pPr>
      <w:r>
        <w:rPr>
          <w:rFonts w:ascii="Arial" w:cs="Arial" w:eastAsia="Arial" w:hAnsi="Arial"/>
          <w:sz w:val="20"/>
          <w:szCs w:val="20"/>
          <w:color w:val="auto"/>
        </w:rPr>
        <w:t>The statements included in the Prospectus and the Pricing Prospectus under the captions “Risk Factors— Risks Related to Legal, Regulatory and Compliance” fairly summarize the matters described therein in all material respects;</w:t>
      </w:r>
    </w:p>
    <w:p>
      <w:pPr>
        <w:spacing w:after="0" w:line="49" w:lineRule="exact"/>
        <w:rPr>
          <w:rFonts w:ascii="Arial" w:cs="Arial" w:eastAsia="Arial" w:hAnsi="Arial"/>
          <w:sz w:val="20"/>
          <w:szCs w:val="20"/>
          <w:color w:val="auto"/>
        </w:rPr>
      </w:pPr>
    </w:p>
    <w:p>
      <w:pPr>
        <w:jc w:val="both"/>
        <w:ind w:left="4" w:firstLine="488"/>
        <w:spacing w:after="0" w:line="218" w:lineRule="auto"/>
        <w:tabs>
          <w:tab w:leader="none" w:pos="1220" w:val="left"/>
        </w:tabs>
        <w:numPr>
          <w:ilvl w:val="1"/>
          <w:numId w:val="12"/>
        </w:numPr>
        <w:rPr>
          <w:rFonts w:ascii="Arial" w:cs="Arial" w:eastAsia="Arial" w:hAnsi="Arial"/>
          <w:sz w:val="19"/>
          <w:szCs w:val="19"/>
          <w:color w:val="auto"/>
        </w:rPr>
      </w:pPr>
      <w:r>
        <w:rPr>
          <w:rFonts w:ascii="Arial" w:cs="Arial" w:eastAsia="Arial" w:hAnsi="Arial"/>
          <w:sz w:val="19"/>
          <w:szCs w:val="19"/>
          <w:color w:val="auto"/>
        </w:rPr>
        <w:t>Except as disclosed in the Pricing Prospectus, the Company and its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administrative, technical, and physical controls, policies, procedures, and other safeguards to protect the security, confidentiality, integrity and availability of (i) their material confidential information; data used in connection with their businesses (“Business Data”), including all personal, personally identifiable, sensitive, confidential or regulated data, including Protected Health Information as defined under HIPAA, and all data derived from biospecimens or other genetic material (together “Personal Data”), and (iii) the IT Systems; there have been no (i) unauthorized or unlawful acquisition of, access to, loss of, or misuse (by any means) of confidential information, Business Data including Personal Data, or the IT Systems; (ii) ransomware, phishing or other cyberattack that resulted in a monetary loss or a disruption to the IT Systems; (iii) “Breach” of Unsecured Protected Health Information or “Security Incident” (as those terms are defined in HIPAA); or (iv) other act or omission that compromises the security, confidentiality, integrity or availability of confidential information, Business Data including Personal Data or the IT Systems, in each case except for those that are described in the Pricing Prospectus or those that have been remedied without material cost or liability or the duty to notify any other person, nor any incidents under internal review or investigations relating to the same;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(“Open Source Software”) in material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w:t>
      </w:r>
    </w:p>
    <w:p>
      <w:pPr>
        <w:spacing w:after="0" w:line="6" w:lineRule="exact"/>
        <w:rPr>
          <w:rFonts w:ascii="Arial" w:cs="Arial" w:eastAsia="Arial" w:hAnsi="Arial"/>
          <w:sz w:val="19"/>
          <w:szCs w:val="19"/>
          <w:color w:val="auto"/>
        </w:rPr>
      </w:pPr>
    </w:p>
    <w:p>
      <w:pPr>
        <w:ind w:left="4" w:hanging="4"/>
        <w:spacing w:after="0" w:line="237" w:lineRule="auto"/>
        <w:tabs>
          <w:tab w:leader="none" w:pos="357" w:val="left"/>
        </w:tabs>
        <w:numPr>
          <w:ilvl w:val="0"/>
          <w:numId w:val="13"/>
        </w:numPr>
        <w:rPr>
          <w:rFonts w:ascii="Arial" w:cs="Arial" w:eastAsia="Arial" w:hAnsi="Arial"/>
          <w:sz w:val="19"/>
          <w:szCs w:val="19"/>
          <w:color w:val="auto"/>
        </w:rPr>
      </w:pPr>
      <w:r>
        <w:rPr>
          <w:rFonts w:ascii="Arial" w:cs="Arial" w:eastAsia="Arial" w:hAnsi="Arial"/>
          <w:sz w:val="19"/>
          <w:szCs w:val="19"/>
          <w:color w:val="auto"/>
        </w:rPr>
        <w:t>any software code or other technology owned by the Company or any of its subsidiaries to be (1) disclosed or distributed in source code form, (2) licensed for the purpose of making derivative works or (3) redistributed at no charge;</w:t>
      </w:r>
    </w:p>
    <w:p>
      <w:pPr>
        <w:spacing w:after="0" w:line="49" w:lineRule="exact"/>
        <w:rPr>
          <w:rFonts w:ascii="Arial" w:cs="Arial" w:eastAsia="Arial" w:hAnsi="Arial"/>
          <w:sz w:val="19"/>
          <w:szCs w:val="19"/>
          <w:color w:val="auto"/>
        </w:rPr>
      </w:pPr>
    </w:p>
    <w:p>
      <w:pPr>
        <w:jc w:val="both"/>
        <w:ind w:left="4" w:firstLine="488"/>
        <w:spacing w:after="0" w:line="227" w:lineRule="auto"/>
        <w:tabs>
          <w:tab w:leader="none" w:pos="1316" w:val="left"/>
        </w:tabs>
        <w:numPr>
          <w:ilvl w:val="1"/>
          <w:numId w:val="13"/>
        </w:numPr>
        <w:rPr>
          <w:rFonts w:ascii="Arial" w:cs="Arial" w:eastAsia="Arial" w:hAnsi="Arial"/>
          <w:sz w:val="20"/>
          <w:szCs w:val="20"/>
          <w:color w:val="auto"/>
        </w:rPr>
      </w:pPr>
      <w:r>
        <w:rPr>
          <w:rFonts w:ascii="Arial" w:cs="Arial" w:eastAsia="Arial" w:hAnsi="Arial"/>
          <w:sz w:val="20"/>
          <w:szCs w:val="20"/>
          <w:color w:val="auto"/>
        </w:rPr>
        <w:t>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w:t>
      </w:r>
    </w:p>
    <w:p>
      <w:pPr>
        <w:spacing w:after="0" w:line="49" w:lineRule="exact"/>
        <w:rPr>
          <w:rFonts w:ascii="Arial" w:cs="Arial" w:eastAsia="Arial" w:hAnsi="Arial"/>
          <w:sz w:val="20"/>
          <w:szCs w:val="20"/>
          <w:color w:val="auto"/>
        </w:rPr>
      </w:pPr>
    </w:p>
    <w:p>
      <w:pPr>
        <w:jc w:val="both"/>
        <w:ind w:left="4" w:firstLine="488"/>
        <w:spacing w:after="0" w:line="227" w:lineRule="auto"/>
        <w:tabs>
          <w:tab w:leader="none" w:pos="994" w:val="left"/>
        </w:tabs>
        <w:numPr>
          <w:ilvl w:val="1"/>
          <w:numId w:val="13"/>
        </w:numPr>
        <w:rPr>
          <w:rFonts w:ascii="Arial" w:cs="Arial" w:eastAsia="Arial" w:hAnsi="Arial"/>
          <w:sz w:val="20"/>
          <w:szCs w:val="20"/>
          <w:color w:val="auto"/>
        </w:rPr>
      </w:pPr>
      <w:r>
        <w:rPr>
          <w:rFonts w:ascii="Arial" w:cs="Arial" w:eastAsia="Arial" w:hAnsi="Arial"/>
          <w:sz w:val="20"/>
          <w:szCs w:val="20"/>
          <w:color w:val="auto"/>
        </w:rPr>
        <w:t>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w:t>
      </w:r>
    </w:p>
    <w:p>
      <w:pPr>
        <w:spacing w:after="0" w:line="49" w:lineRule="exact"/>
        <w:rPr>
          <w:rFonts w:ascii="Arial" w:cs="Arial" w:eastAsia="Arial" w:hAnsi="Arial"/>
          <w:sz w:val="20"/>
          <w:szCs w:val="20"/>
          <w:color w:val="auto"/>
        </w:rPr>
      </w:pPr>
    </w:p>
    <w:p>
      <w:pPr>
        <w:jc w:val="both"/>
        <w:ind w:left="4" w:firstLine="488"/>
        <w:spacing w:after="0" w:line="227" w:lineRule="auto"/>
        <w:tabs>
          <w:tab w:leader="none" w:pos="1008"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There is and has been no failure on the part of the Company or any of the Company’s directors or officers, in their capacities as such, to comply with any provision of the Sarbanes-Oxley Act of 2002, as amended and the rules and regulations promulgated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4"/>
          </w:cols>
          <w:pgMar w:left="976" w:top="1440" w:right="339" w:bottom="1440" w:gutter="0" w:footer="0" w:header="0"/>
        </w:sectPr>
      </w:pPr>
    </w:p>
    <w:bookmarkStart w:id="15" w:name="page16"/>
    <w:bookmarkEnd w:id="15"/>
    <w:p>
      <w:pPr>
        <w:spacing w:after="0" w:line="6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connection therewith (the “Sarbanes-Oxley Act”), including Section 402 related to loans and Sections 302 and 906 related to certifications;</w:t>
      </w:r>
    </w:p>
    <w:p>
      <w:pPr>
        <w:spacing w:after="0" w:line="34" w:lineRule="exact"/>
        <w:rPr>
          <w:sz w:val="20"/>
          <w:szCs w:val="20"/>
          <w:color w:val="auto"/>
        </w:rPr>
      </w:pPr>
    </w:p>
    <w:p>
      <w:pPr>
        <w:jc w:val="both"/>
        <w:ind w:right="20" w:firstLine="488"/>
        <w:spacing w:after="0" w:line="231" w:lineRule="auto"/>
        <w:tabs>
          <w:tab w:leader="none" w:pos="1114" w:val="left"/>
        </w:tabs>
        <w:numPr>
          <w:ilvl w:val="0"/>
          <w:numId w:val="14"/>
        </w:numPr>
        <w:rPr>
          <w:rFonts w:ascii="Arial" w:cs="Arial" w:eastAsia="Arial" w:hAnsi="Arial"/>
          <w:sz w:val="20"/>
          <w:szCs w:val="20"/>
          <w:color w:val="auto"/>
        </w:rPr>
      </w:pPr>
      <w:r>
        <w:rPr>
          <w:rFonts w:ascii="Arial" w:cs="Arial" w:eastAsia="Arial" w:hAnsi="Arial"/>
          <w:sz w:val="20"/>
          <w:szCs w:val="20"/>
          <w:color w:val="auto"/>
        </w:rPr>
        <w:t>Neither the Company nor any of its affiliates has taken or will take, directly or indirectly, any action designed to or that could reasonably be expected to cause or result in the stabilization or manipulation of the price of any security of the Company or any of its subsidiaries in connection with the offering of the Shares;</w:t>
      </w:r>
    </w:p>
    <w:p>
      <w:pPr>
        <w:spacing w:after="0" w:line="37" w:lineRule="exact"/>
        <w:rPr>
          <w:rFonts w:ascii="Arial" w:cs="Arial" w:eastAsia="Arial" w:hAnsi="Arial"/>
          <w:sz w:val="20"/>
          <w:szCs w:val="20"/>
          <w:color w:val="auto"/>
        </w:rPr>
      </w:pPr>
    </w:p>
    <w:p>
      <w:pPr>
        <w:jc w:val="both"/>
        <w:ind w:firstLine="488"/>
        <w:spacing w:after="0" w:line="224" w:lineRule="auto"/>
        <w:tabs>
          <w:tab w:leader="none" w:pos="1242"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Company and each of its subsidiaries have all material registrations, listings, permits, licenses, accreditations, clearances, approvals, consents, franchises, certificates of need and other approvals or authorizations of governmental or regulatory authorities, administrative agencies, departments, boards, bureaus, commissions, or other bodies (“Permits”), including without limitation all Permits required under CLIA and the equivalent applicable requirements of any state or local law or any foreign jurisdiction for laboratories generating results used for the diagnosis, prevention or treatment or assessment of the health of a human being, that are necessary under applicable law to own their respective properties and conduct their respective businesses in the manner described in the Registration Statement, the Pricing Prospectus and the Prospectus. The Company and each of its subsidiaries have fulfilled and performed all of their obligations with respect to the Permits in all material aspects, and neither the Company nor any of its subsidiaries has received notice of any proceedings related to the revocation or modification of any such Permits;</w:t>
      </w:r>
    </w:p>
    <w:p>
      <w:pPr>
        <w:spacing w:after="0" w:line="53" w:lineRule="exact"/>
        <w:rPr>
          <w:rFonts w:ascii="Arial" w:cs="Arial" w:eastAsia="Arial" w:hAnsi="Arial"/>
          <w:sz w:val="19"/>
          <w:szCs w:val="19"/>
          <w:color w:val="auto"/>
        </w:rPr>
      </w:pPr>
    </w:p>
    <w:p>
      <w:pPr>
        <w:ind w:firstLine="488"/>
        <w:spacing w:after="0" w:line="243" w:lineRule="auto"/>
        <w:tabs>
          <w:tab w:leader="none" w:pos="1329"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Company and its subsidiaries, taken as a whole, are insured against such losses and risks and in such amounts as are prudent and customary in the businesses in which they are engaged and as required by law;</w:t>
      </w:r>
    </w:p>
    <w:p>
      <w:pPr>
        <w:spacing w:after="0" w:line="33" w:lineRule="exact"/>
        <w:rPr>
          <w:rFonts w:ascii="Arial" w:cs="Arial" w:eastAsia="Arial" w:hAnsi="Arial"/>
          <w:sz w:val="20"/>
          <w:szCs w:val="20"/>
          <w:color w:val="auto"/>
        </w:rPr>
      </w:pPr>
    </w:p>
    <w:p>
      <w:pPr>
        <w:ind w:right="20" w:firstLine="488"/>
        <w:spacing w:after="0" w:line="243" w:lineRule="auto"/>
        <w:tabs>
          <w:tab w:leader="none" w:pos="1102" w:val="left"/>
        </w:tabs>
        <w:numPr>
          <w:ilvl w:val="0"/>
          <w:numId w:val="14"/>
        </w:numPr>
        <w:rPr>
          <w:rFonts w:ascii="Arial" w:cs="Arial" w:eastAsia="Arial" w:hAnsi="Arial"/>
          <w:sz w:val="20"/>
          <w:szCs w:val="20"/>
          <w:color w:val="auto"/>
        </w:rPr>
      </w:pPr>
      <w:r>
        <w:rPr>
          <w:rFonts w:ascii="Arial" w:cs="Arial" w:eastAsia="Arial" w:hAnsi="Arial"/>
          <w:sz w:val="20"/>
          <w:szCs w:val="20"/>
          <w:color w:val="auto"/>
        </w:rPr>
        <w:t>From the time of filing of the Initial Registration Statement through the date hereof, the Company has been and is an “emerging growth company” as defined in Section 2(a)(19) of the Act (an “Emerging Growth Company”);</w:t>
      </w:r>
    </w:p>
    <w:p>
      <w:pPr>
        <w:spacing w:after="0" w:line="33" w:lineRule="exact"/>
        <w:rPr>
          <w:rFonts w:ascii="Arial" w:cs="Arial" w:eastAsia="Arial" w:hAnsi="Arial"/>
          <w:sz w:val="20"/>
          <w:szCs w:val="20"/>
          <w:color w:val="auto"/>
        </w:rPr>
      </w:pPr>
    </w:p>
    <w:p>
      <w:pPr>
        <w:jc w:val="both"/>
        <w:ind w:firstLine="482"/>
        <w:spacing w:after="0" w:line="209" w:lineRule="auto"/>
        <w:tabs>
          <w:tab w:leader="none" w:pos="1283" w:val="left"/>
        </w:tabs>
        <w:numPr>
          <w:ilvl w:val="0"/>
          <w:numId w:val="14"/>
        </w:numPr>
        <w:rPr>
          <w:rFonts w:ascii="Arial" w:cs="Arial" w:eastAsia="Arial" w:hAnsi="Arial"/>
          <w:sz w:val="20"/>
          <w:szCs w:val="20"/>
          <w:color w:val="auto"/>
        </w:rPr>
      </w:pPr>
      <w:r>
        <w:rPr>
          <w:rFonts w:ascii="Arial" w:cs="Arial" w:eastAsia="Arial" w:hAnsi="Arial"/>
          <w:sz w:val="20"/>
          <w:szCs w:val="20"/>
          <w:color w:val="auto"/>
        </w:rPr>
        <w:t>Except as disclosed in the Registration Statement, the Pricing Prospectus and the Prospectus, (i) the Company and its subsidiaries are presently, and since the Company’s and its subsidiaries’ inception have been, in material compliance with all privacy policies, published privacy notices, informed consent agreements, HIPAA authorizations, Business Associate Agreements required by applicable laws, contractual obligations, applicable state, federal and international laws and regulations (including without limitation, if and to the extent applicable, the Health Insurance Portability and Accountability Act of 1996, as amended by the Health Information Technology for Economic and Clinical Health Act, the European Union General Data Protection Regulation, and the California Consumer Privacy Act of 2018, as amended by the California Privacy Rights Act of 2020 (the “CCPA”), and applicable laws governing the collection, use and storage of genetic material), other statutes and judgments, orders, rules and regulations of any court or arbitrator or other governmental or regulatory authority, in each case that relate to privacy, data protection or information security (“Data Protection Obligations”); (ii) the Company and each of its subsidiaries has implemented a HIPAA compliance program and has reasonable security safeguards in place to protect Protected Health Information in material compliance with HIPAA and any contractual obligations; (iii) the Company’s and each of its subsidiaries’ collection, access, maintenance, transmission, use and disclosure of Protected Health Information is and at all times has been in material compliance with HIPAA and any contractual obligations and has taken all reasonable actions to comply with Data Protection Obligations in all material respects; (iv) the Company and its subsidiaries have current and valid Business Associate Agreements with each (a) Covered Entity for whom the Company or its subsidiaries provides functions or activities that render it a Business Associate (as such terms are defined under HIPAA), and (b) Subcontractor of the Company that is a Business Associate (as such terms are defined in HIPAA); (v) neither the Company nor its subsidiaries has breached any Business Associate Agreements in effect or other data privacy or data security contractual obligations and, to the Company’s knowledge, no Covered Entity, Business Associate or Subcontractor has breached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980" w:top="1440"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20"/>
          <w:szCs w:val="20"/>
          <w:color w:val="auto"/>
        </w:rPr>
        <w:t>any Business Associate Agreement or similar privacy provision; (vi) there is no pending, or to the knowledge of the</w:t>
      </w:r>
    </w:p>
    <w:p>
      <w:pPr>
        <w:ind w:left="660"/>
        <w:spacing w:after="0" w:line="204" w:lineRule="auto"/>
        <w:rPr>
          <w:sz w:val="20"/>
          <w:szCs w:val="20"/>
          <w:color w:val="auto"/>
        </w:rPr>
      </w:pPr>
      <w:r>
        <w:rPr>
          <w:rFonts w:ascii="Arial" w:cs="Arial" w:eastAsia="Arial" w:hAnsi="Arial"/>
          <w:sz w:val="20"/>
          <w:szCs w:val="20"/>
          <w:color w:val="auto"/>
        </w:rPr>
        <w:t>Company, threatened, action, suit or proceeding by or before any court or governmental agency, authority or body pending or threatened alleging non-compliance with any Data Protection Obligation; (vii) the Company and its</w:t>
      </w:r>
    </w:p>
    <w:p>
      <w:pPr>
        <w:ind w:left="660"/>
        <w:spacing w:after="0" w:line="211" w:lineRule="auto"/>
        <w:rPr>
          <w:sz w:val="20"/>
          <w:szCs w:val="20"/>
          <w:color w:val="auto"/>
        </w:rPr>
      </w:pPr>
      <w:r>
        <w:rPr>
          <w:rFonts w:ascii="Arial" w:cs="Arial" w:eastAsia="Arial" w:hAnsi="Arial"/>
          <w:sz w:val="20"/>
          <w:szCs w:val="20"/>
          <w:color w:val="auto"/>
        </w:rPr>
        <w:t>subsidiaries have established and maintained reasonable data privacy incident response plans consistent with industry</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standard practices, which are designed to reasonably respond data security incidents in accordance with the Data Protection Obligations; (viii) the Company is taking commercially reasonable steps to comply with the CCPA and other</w:t>
      </w:r>
    </w:p>
    <w:p>
      <w:pPr>
        <w:ind w:left="660"/>
        <w:spacing w:after="0" w:line="211" w:lineRule="auto"/>
        <w:rPr>
          <w:sz w:val="20"/>
          <w:szCs w:val="20"/>
          <w:color w:val="auto"/>
        </w:rPr>
      </w:pPr>
      <w:r>
        <w:rPr>
          <w:rFonts w:ascii="Arial" w:cs="Arial" w:eastAsia="Arial" w:hAnsi="Arial"/>
          <w:sz w:val="20"/>
          <w:szCs w:val="20"/>
          <w:color w:val="auto"/>
        </w:rPr>
        <w:t>applicable state comprehensive privacy laws, as applicable, such as the Virginia Consumer Data Protection Act</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(VCDPA), the Colorado Privacy Act (CPA), the Connecticut Act Concerning Personal Data Privacy and Online Monitoring, and the Utah Consumer Privacy Act (UCPA) with respect to the Company and its subsidiaries, including by</w:t>
      </w:r>
    </w:p>
    <w:p>
      <w:pPr>
        <w:ind w:left="660"/>
        <w:spacing w:after="0" w:line="211" w:lineRule="auto"/>
        <w:rPr>
          <w:sz w:val="20"/>
          <w:szCs w:val="20"/>
          <w:color w:val="auto"/>
        </w:rPr>
      </w:pPr>
      <w:r>
        <w:rPr>
          <w:rFonts w:ascii="Arial" w:cs="Arial" w:eastAsia="Arial" w:hAnsi="Arial"/>
          <w:sz w:val="20"/>
          <w:szCs w:val="20"/>
          <w:color w:val="auto"/>
        </w:rPr>
        <w:t>adopting appropriate policies and procedures; and (ix) the Company and its subsidiaries have at all times made all</w:t>
      </w:r>
    </w:p>
    <w:p>
      <w:pPr>
        <w:spacing w:after="0" w:line="1" w:lineRule="exact"/>
        <w:rPr>
          <w:sz w:val="20"/>
          <w:szCs w:val="20"/>
          <w:color w:val="auto"/>
        </w:rPr>
      </w:pPr>
    </w:p>
    <w:p>
      <w:pPr>
        <w:ind w:left="660" w:right="20"/>
        <w:spacing w:after="0" w:line="225" w:lineRule="auto"/>
        <w:rPr>
          <w:sz w:val="20"/>
          <w:szCs w:val="20"/>
          <w:color w:val="auto"/>
        </w:rPr>
      </w:pPr>
      <w:r>
        <w:rPr>
          <w:rFonts w:ascii="Arial" w:cs="Arial" w:eastAsia="Arial" w:hAnsi="Arial"/>
          <w:sz w:val="20"/>
          <w:szCs w:val="20"/>
          <w:color w:val="auto"/>
        </w:rPr>
        <w:t>disclosures to users or customers through privacy policies or notices as required by Data Protection Obligations, and have fully and accurately described the Company’s privacy practices in all material respects.</w:t>
      </w:r>
    </w:p>
    <w:p>
      <w:pPr>
        <w:spacing w:after="0" w:line="50" w:lineRule="exact"/>
        <w:rPr>
          <w:sz w:val="20"/>
          <w:szCs w:val="20"/>
          <w:color w:val="auto"/>
        </w:rPr>
      </w:pPr>
    </w:p>
    <w:p>
      <w:pPr>
        <w:jc w:val="both"/>
        <w:ind w:firstLine="656"/>
        <w:spacing w:after="0" w:line="220" w:lineRule="auto"/>
        <w:tabs>
          <w:tab w:leader="none" w:pos="1092" w:val="left"/>
        </w:tabs>
        <w:numPr>
          <w:ilvl w:val="1"/>
          <w:numId w:val="15"/>
        </w:numPr>
        <w:rPr>
          <w:rFonts w:ascii="Arial" w:cs="Arial" w:eastAsia="Arial" w:hAnsi="Arial"/>
          <w:sz w:val="19"/>
          <w:szCs w:val="19"/>
          <w:color w:val="auto"/>
        </w:rPr>
      </w:pPr>
      <w:r>
        <w:rPr>
          <w:rFonts w:ascii="Arial" w:cs="Arial" w:eastAsia="Arial" w:hAnsi="Arial"/>
          <w:sz w:val="19"/>
          <w:szCs w:val="19"/>
          <w:color w:val="auto"/>
        </w:rPr>
        <w:t>Subject to the terms and conditions herein set forth, (a) the Company agrees to issue and sell to the Underwriter, and the Underwriter agrees to purchase from the Company, at a purchase price per share of $0.338625, the number of Firm Shares set forth opposite the name of the Underwriter in Schedule I hereto and (b) in the event and to the extent that the Underwriter shall exercise the election to purchase Optional Shares as provided below, the Company agrees to issue and sell to the Underwriter, and the Underwriter agrees to purchase from the Company, at the purchase price per share set forth in clause</w:t>
      </w:r>
    </w:p>
    <w:p>
      <w:pPr>
        <w:spacing w:after="0" w:line="2" w:lineRule="exact"/>
        <w:rPr>
          <w:rFonts w:ascii="Arial" w:cs="Arial" w:eastAsia="Arial" w:hAnsi="Arial"/>
          <w:sz w:val="19"/>
          <w:szCs w:val="19"/>
          <w:color w:val="auto"/>
        </w:rPr>
      </w:pPr>
    </w:p>
    <w:p>
      <w:pPr>
        <w:ind w:left="300" w:hanging="292"/>
        <w:spacing w:after="0" w:line="222" w:lineRule="auto"/>
        <w:tabs>
          <w:tab w:leader="none" w:pos="3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of this Section 2 (provided that the purchase price per Optional Share shall be reduced by an amount per share equal to any</w:t>
      </w:r>
    </w:p>
    <w:p>
      <w:pPr>
        <w:spacing w:after="0" w:line="204" w:lineRule="auto"/>
        <w:rPr>
          <w:sz w:val="20"/>
          <w:szCs w:val="20"/>
          <w:color w:val="auto"/>
        </w:rPr>
      </w:pPr>
      <w:r>
        <w:rPr>
          <w:rFonts w:ascii="Arial" w:cs="Arial" w:eastAsia="Arial" w:hAnsi="Arial"/>
          <w:sz w:val="20"/>
          <w:szCs w:val="20"/>
          <w:color w:val="auto"/>
        </w:rPr>
        <w:t>dividends or distributions declared by the Company and payable on the Firm Shares but not payable on the Optional Shares), that portion of the number of Optional Shares as to which such election shall have been exercised (to be adjusted by you so as</w:t>
      </w:r>
    </w:p>
    <w:p>
      <w:pPr>
        <w:spacing w:after="0" w:line="223" w:lineRule="auto"/>
        <w:rPr>
          <w:sz w:val="20"/>
          <w:szCs w:val="20"/>
          <w:color w:val="auto"/>
        </w:rPr>
      </w:pPr>
      <w:r>
        <w:rPr>
          <w:rFonts w:ascii="Arial" w:cs="Arial" w:eastAsia="Arial" w:hAnsi="Arial"/>
          <w:sz w:val="19"/>
          <w:szCs w:val="19"/>
          <w:color w:val="auto"/>
        </w:rPr>
        <w:t>to eliminate fractional shares) determined by multiplying such number of Optional Shares by a fraction, the numerator of which is</w:t>
      </w:r>
    </w:p>
    <w:p>
      <w:pPr>
        <w:spacing w:after="0" w:line="215" w:lineRule="auto"/>
        <w:rPr>
          <w:sz w:val="20"/>
          <w:szCs w:val="20"/>
          <w:color w:val="auto"/>
        </w:rPr>
      </w:pPr>
      <w:r>
        <w:rPr>
          <w:rFonts w:ascii="Arial" w:cs="Arial" w:eastAsia="Arial" w:hAnsi="Arial"/>
          <w:sz w:val="19"/>
          <w:szCs w:val="19"/>
          <w:color w:val="auto"/>
        </w:rPr>
        <w:t>the maximum number of Optional Shares which the Underwriter is entitled to purchase as set forth opposite the name of the Underwriter in Schedule I hereto and the denominator of which is the maximum number of Optional Shares that the Underwriter</w:t>
      </w:r>
    </w:p>
    <w:p>
      <w:pPr>
        <w:spacing w:after="0"/>
        <w:rPr>
          <w:sz w:val="20"/>
          <w:szCs w:val="20"/>
          <w:color w:val="auto"/>
        </w:rPr>
      </w:pPr>
      <w:r>
        <w:rPr>
          <w:rFonts w:ascii="Arial" w:cs="Arial" w:eastAsia="Arial" w:hAnsi="Arial"/>
          <w:sz w:val="20"/>
          <w:szCs w:val="20"/>
          <w:color w:val="auto"/>
        </w:rPr>
        <w:t>is entitled to purchase hereunder.</w:t>
      </w:r>
    </w:p>
    <w:p>
      <w:pPr>
        <w:spacing w:after="0" w:line="63"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The Company hereby grants to the Underwriter the right to purchase at its election up to 49,285,714 Optional Shares, at the purchase price per share set forth in the paragraph above, provided that the purchase price per Optional Share shall be</w:t>
      </w:r>
    </w:p>
    <w:p>
      <w:pPr>
        <w:spacing w:after="0" w:line="212" w:lineRule="auto"/>
        <w:rPr>
          <w:sz w:val="20"/>
          <w:szCs w:val="20"/>
          <w:color w:val="auto"/>
        </w:rPr>
      </w:pPr>
      <w:r>
        <w:rPr>
          <w:rFonts w:ascii="Arial" w:cs="Arial" w:eastAsia="Arial" w:hAnsi="Arial"/>
          <w:sz w:val="20"/>
          <w:szCs w:val="20"/>
          <w:color w:val="auto"/>
        </w:rPr>
        <w:t>reduced by an amount per share equal to any dividends or distributions declared by the Company and payable on the Firm</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Shares but not payable on the Optional Shares. Any such election to purchase Optional Shares may be exercised only by written notice from you to the Company, given within a period of 30 calendar days after the date of this Agreement, setting forth</w:t>
      </w:r>
    </w:p>
    <w:p>
      <w:pPr>
        <w:spacing w:after="0" w:line="211" w:lineRule="auto"/>
        <w:rPr>
          <w:sz w:val="20"/>
          <w:szCs w:val="20"/>
          <w:color w:val="auto"/>
        </w:rPr>
      </w:pPr>
      <w:r>
        <w:rPr>
          <w:rFonts w:ascii="Arial" w:cs="Arial" w:eastAsia="Arial" w:hAnsi="Arial"/>
          <w:sz w:val="20"/>
          <w:szCs w:val="20"/>
          <w:color w:val="auto"/>
        </w:rPr>
        <w:t>the aggregate number of Optional Shares to be purchased and the date on which such Optional Shares are to be delivered, as</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determined by you but in no event earlier than the First Time of Delivery (as defined in Section 4 hereof) or, unless you and the Company otherwise agree in writing, earlier than two or later than ten business days after the date of such notice.</w:t>
      </w:r>
    </w:p>
    <w:p>
      <w:pPr>
        <w:spacing w:after="0" w:line="50" w:lineRule="exact"/>
        <w:rPr>
          <w:sz w:val="20"/>
          <w:szCs w:val="20"/>
          <w:color w:val="auto"/>
        </w:rPr>
      </w:pPr>
    </w:p>
    <w:p>
      <w:pPr>
        <w:ind w:firstLine="656"/>
        <w:spacing w:after="0" w:line="243" w:lineRule="auto"/>
        <w:tabs>
          <w:tab w:leader="none" w:pos="1096" w:val="left"/>
        </w:tabs>
        <w:numPr>
          <w:ilvl w:val="0"/>
          <w:numId w:val="17"/>
        </w:numPr>
        <w:rPr>
          <w:rFonts w:ascii="Arial" w:cs="Arial" w:eastAsia="Arial" w:hAnsi="Arial"/>
          <w:sz w:val="20"/>
          <w:szCs w:val="20"/>
          <w:color w:val="auto"/>
        </w:rPr>
      </w:pPr>
      <w:r>
        <w:rPr>
          <w:rFonts w:ascii="Arial" w:cs="Arial" w:eastAsia="Arial" w:hAnsi="Arial"/>
          <w:sz w:val="20"/>
          <w:szCs w:val="20"/>
          <w:color w:val="auto"/>
        </w:rPr>
        <w:t>Upon the authorization by you of the release of the Shares, the Underwriter proposes to offer the Shares for sale upon the terms and conditions set forth in the Pricing Disclosure Package and the Prospectus.</w:t>
      </w:r>
    </w:p>
    <w:p>
      <w:pPr>
        <w:spacing w:after="0" w:line="33" w:lineRule="exact"/>
        <w:rPr>
          <w:rFonts w:ascii="Arial" w:cs="Arial" w:eastAsia="Arial" w:hAnsi="Arial"/>
          <w:sz w:val="20"/>
          <w:szCs w:val="20"/>
          <w:color w:val="auto"/>
        </w:rPr>
      </w:pPr>
    </w:p>
    <w:p>
      <w:pPr>
        <w:jc w:val="both"/>
        <w:ind w:firstLine="656"/>
        <w:spacing w:after="0" w:line="215" w:lineRule="auto"/>
        <w:tabs>
          <w:tab w:leader="none" w:pos="1195"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The Shares to be purchased by the Underwriter hereunder, in definitive or book-entry form, and in such authorized denominations and registered in such names as the Underwriter may request upon at least forty-eight hours’ prior notice to the Company shall be delivered by or on behalf of the Company to the Underwriter, through the facilities of the Depository Trust Company (“DTC”), for the account of the Underwriter, against payment by or on behalf of the Underwriter of the purchase price therefor by wire transfer of Federal (same-day) funds to the account specified by the Company to the Underwriter at least forty-eight hours in advance. The Company will cause the certificates, if any, representing the Shares to be made available for checking and packaging at least twenty-four hours prior to the Time of Delivery (as defined below) with respect thereto at the office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391" w:right="339" w:bottom="1440" w:gutter="0" w:footer="0" w:header="0"/>
        </w:sectPr>
      </w:pPr>
    </w:p>
    <w:bookmarkStart w:id="17" w:name="page18"/>
    <w:bookmarkEnd w:id="17"/>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DTC or its designated custodian (the “Designated Office”). The time and date of such delivery and payment shall be, with</w:t>
      </w:r>
    </w:p>
    <w:p>
      <w:pPr>
        <w:spacing w:after="0" w:line="204" w:lineRule="auto"/>
        <w:rPr>
          <w:sz w:val="20"/>
          <w:szCs w:val="20"/>
          <w:color w:val="auto"/>
        </w:rPr>
      </w:pPr>
      <w:r>
        <w:rPr>
          <w:rFonts w:ascii="Arial" w:cs="Arial" w:eastAsia="Arial" w:hAnsi="Arial"/>
          <w:sz w:val="20"/>
          <w:szCs w:val="20"/>
          <w:color w:val="auto"/>
        </w:rPr>
        <w:t>respect to the Firm Shares, 9:30 a.m., New York City time, on January 31, 2023 or such other time and date as the Underwriter and the Company may agree upon in writing, and, with respect to the Optional Shares, 9:30 a.m., New York time, on the date</w:t>
      </w:r>
    </w:p>
    <w:p>
      <w:pPr>
        <w:spacing w:after="0" w:line="211" w:lineRule="auto"/>
        <w:rPr>
          <w:sz w:val="20"/>
          <w:szCs w:val="20"/>
          <w:color w:val="auto"/>
        </w:rPr>
      </w:pPr>
      <w:r>
        <w:rPr>
          <w:rFonts w:ascii="Arial" w:cs="Arial" w:eastAsia="Arial" w:hAnsi="Arial"/>
          <w:sz w:val="20"/>
          <w:szCs w:val="20"/>
          <w:color w:val="auto"/>
        </w:rPr>
        <w:t>specified by the Underwriter in the written notice of the Underwriter’s election to purchase such Optional Shares, or such other</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time and date as the Underwriter and the Company may agree upon in writing. Such time and date for delivery of the Firm Shares is herein called the “First Time of Delivery”, such time and date for delivery of the Optional Shares, if not the First Time of</w:t>
      </w:r>
    </w:p>
    <w:p>
      <w:pPr>
        <w:spacing w:after="0" w:line="232" w:lineRule="auto"/>
        <w:rPr>
          <w:sz w:val="20"/>
          <w:szCs w:val="20"/>
          <w:color w:val="auto"/>
        </w:rPr>
      </w:pPr>
      <w:r>
        <w:rPr>
          <w:rFonts w:ascii="Arial" w:cs="Arial" w:eastAsia="Arial" w:hAnsi="Arial"/>
          <w:sz w:val="20"/>
          <w:szCs w:val="20"/>
          <w:color w:val="auto"/>
        </w:rPr>
        <w:t>Delivery, is herein called the “Second Time of Delivery”, and each such time and date for delivery is herein called a “Time of Delivery”.</w:t>
      </w:r>
    </w:p>
    <w:p>
      <w:pPr>
        <w:spacing w:after="0" w:line="37" w:lineRule="exact"/>
        <w:rPr>
          <w:sz w:val="20"/>
          <w:szCs w:val="20"/>
          <w:color w:val="auto"/>
        </w:rPr>
      </w:pPr>
    </w:p>
    <w:p>
      <w:pPr>
        <w:jc w:val="both"/>
        <w:ind w:firstLine="656"/>
        <w:spacing w:after="0" w:line="214" w:lineRule="auto"/>
        <w:tabs>
          <w:tab w:leader="none" w:pos="1122"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documents to be delivered at each Time of Delivery by or on behalf of the parties hereto pursuant to Section 8 hereof, including the cross receipt for the Shares and any additional documents requested by the Underwriter pursuant to Section 8(m) hereof, will be delivered at the offices of Ropes &amp; Gray LLP, Prudential Tower, 800 Boylston Street, Boston, MA 02199 (the “Closing Location”), and the Shares will be delivered at the Designated Office, all at such Time of Delivery. A meeting will be held at the Closing Location at 4:00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44" w:lineRule="exact"/>
        <w:rPr>
          <w:sz w:val="20"/>
          <w:szCs w:val="20"/>
          <w:color w:val="auto"/>
        </w:rPr>
      </w:pPr>
    </w:p>
    <w:p>
      <w:pPr>
        <w:ind w:left="1040" w:hanging="384"/>
        <w:spacing w:after="0"/>
        <w:tabs>
          <w:tab w:leader="none" w:pos="10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Company agrees with the Underwriter:</w:t>
      </w:r>
    </w:p>
    <w:p>
      <w:pPr>
        <w:spacing w:after="0" w:line="80" w:lineRule="exact"/>
        <w:rPr>
          <w:rFonts w:ascii="Arial" w:cs="Arial" w:eastAsia="Arial" w:hAnsi="Arial"/>
          <w:sz w:val="20"/>
          <w:szCs w:val="20"/>
          <w:color w:val="auto"/>
        </w:rPr>
      </w:pPr>
    </w:p>
    <w:p>
      <w:pPr>
        <w:jc w:val="both"/>
        <w:ind w:left="660" w:firstLine="488"/>
        <w:spacing w:after="0" w:line="210" w:lineRule="auto"/>
        <w:tabs>
          <w:tab w:leader="none" w:pos="1684" w:val="left"/>
        </w:tabs>
        <w:numPr>
          <w:ilvl w:val="1"/>
          <w:numId w:val="19"/>
        </w:numPr>
        <w:rPr>
          <w:rFonts w:ascii="Arial" w:cs="Arial" w:eastAsia="Arial" w:hAnsi="Arial"/>
          <w:sz w:val="20"/>
          <w:szCs w:val="20"/>
          <w:color w:val="auto"/>
        </w:rPr>
      </w:pPr>
      <w:r>
        <w:rPr>
          <w:rFonts w:ascii="Arial" w:cs="Arial" w:eastAsia="Arial" w:hAnsi="Arial"/>
          <w:sz w:val="20"/>
          <w:szCs w:val="20"/>
          <w:color w:val="auto"/>
        </w:rPr>
        <w:t>To prepare the Prospectus in a form approved by you and to file such Prospectus pursuant to Rule 424(b) under the Act not later than the Commission's close of business on the second business day following the date of this Agreement or such earlier time as may be required under the Act; to make no further amendment or any supplement to the Registration Statement, the Basic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within the time required by such Rule;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Shares;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37" w:lineRule="exact"/>
        <w:rPr>
          <w:rFonts w:ascii="Arial" w:cs="Arial" w:eastAsia="Arial" w:hAnsi="Arial"/>
          <w:sz w:val="20"/>
          <w:szCs w:val="20"/>
          <w:color w:val="auto"/>
        </w:rPr>
      </w:pPr>
    </w:p>
    <w:p>
      <w:pPr>
        <w:jc w:val="both"/>
        <w:ind w:left="660" w:firstLine="488"/>
        <w:spacing w:after="0" w:line="219" w:lineRule="auto"/>
        <w:tabs>
          <w:tab w:leader="none" w:pos="1734" w:val="left"/>
        </w:tabs>
        <w:numPr>
          <w:ilvl w:val="1"/>
          <w:numId w:val="19"/>
        </w:numPr>
        <w:rPr>
          <w:rFonts w:ascii="Arial" w:cs="Arial" w:eastAsia="Arial" w:hAnsi="Arial"/>
          <w:sz w:val="20"/>
          <w:szCs w:val="20"/>
          <w:color w:val="auto"/>
        </w:rPr>
      </w:pPr>
      <w:r>
        <w:rPr>
          <w:rFonts w:ascii="Arial" w:cs="Arial" w:eastAsia="Arial" w:hAnsi="Arial"/>
          <w:sz w:val="20"/>
          <w:szCs w:val="20"/>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as a dealer of securities or to file a general consent to service of process in any jurisdiction or be subject to taxation as a foreign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69" w:lineRule="exact"/>
        <w:rPr>
          <w:sz w:val="20"/>
          <w:szCs w:val="20"/>
          <w:color w:val="auto"/>
        </w:rPr>
      </w:pPr>
    </w:p>
    <w:p>
      <w:pPr>
        <w:jc w:val="both"/>
        <w:ind w:left="-460" w:firstLine="488"/>
        <w:spacing w:after="0" w:line="215" w:lineRule="auto"/>
        <w:tabs>
          <w:tab w:leader="none" w:pos="523" w:val="left"/>
        </w:tabs>
        <w:numPr>
          <w:ilvl w:val="0"/>
          <w:numId w:val="20"/>
        </w:numPr>
        <w:rPr>
          <w:rFonts w:ascii="Arial" w:cs="Arial" w:eastAsia="Arial" w:hAnsi="Arial"/>
          <w:sz w:val="20"/>
          <w:szCs w:val="20"/>
          <w:color w:val="auto"/>
        </w:rPr>
      </w:pPr>
      <w:r>
        <w:rPr>
          <w:rFonts w:ascii="Arial" w:cs="Arial" w:eastAsia="Arial" w:hAnsi="Arial"/>
          <w:sz w:val="20"/>
          <w:szCs w:val="20"/>
          <w:color w:val="auto"/>
        </w:rPr>
        <w:t>If by the third anniversary (the “Renewal Deadline”) of the initial effective date of the Registration Statement, any of the Shares remain unsold by the Underwriter, the Company will file, if it has not already done so and is eligible to do so, a new shelf registration statement relating to the Shares, in a form satisfactory to you and will use its best efforts to cause such registration statement to be declared effective within 180 days after the Renewal Deadline. The Company will take all other action necessary or appropriate to permit the public offering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spacing w:after="0" w:line="39" w:lineRule="exact"/>
        <w:rPr>
          <w:rFonts w:ascii="Arial" w:cs="Arial" w:eastAsia="Arial" w:hAnsi="Arial"/>
          <w:sz w:val="20"/>
          <w:szCs w:val="20"/>
          <w:color w:val="auto"/>
        </w:rPr>
      </w:pPr>
    </w:p>
    <w:p>
      <w:pPr>
        <w:jc w:val="both"/>
        <w:ind w:left="-460" w:firstLine="488"/>
        <w:spacing w:after="0" w:line="210" w:lineRule="auto"/>
        <w:tabs>
          <w:tab w:leader="none" w:pos="592" w:val="left"/>
        </w:tabs>
        <w:numPr>
          <w:ilvl w:val="0"/>
          <w:numId w:val="20"/>
        </w:numPr>
        <w:rPr>
          <w:rFonts w:ascii="Arial" w:cs="Arial" w:eastAsia="Arial" w:hAnsi="Arial"/>
          <w:sz w:val="20"/>
          <w:szCs w:val="20"/>
          <w:color w:val="auto"/>
        </w:rPr>
      </w:pPr>
      <w:r>
        <w:rPr>
          <w:rFonts w:ascii="Arial" w:cs="Arial" w:eastAsia="Arial" w:hAnsi="Arial"/>
          <w:sz w:val="20"/>
          <w:szCs w:val="20"/>
          <w:color w:val="auto"/>
        </w:rPr>
        <w:t>Prior to 10:00 a.m., New York City time, on the New York Business Day next succeeding the date of this Agreement and from time to time, to furnish the Underwriter with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the Underwriter and to any dealer in securities as many electronic copies as you may from time to time reasonably request of an amended Prospectus or a supplement to the Prospectus which will correct such statement or omission or effect such compliance; and in case the Underwriter is required to deliver a prospectus (or in lieu thereof, the notice referred to in Rule 173(a) under the Act) in connection with sales of any of the Shares at any time nine months or more after the time of issue of the Prospectus, upon your request but at the expense of the Underwriter, to prepare and deliver to the Underwriter as many electronic copies as you may request of an amended or supplemented Prospectus complying with Section 10(a)(3) of the Act;</w:t>
      </w:r>
    </w:p>
    <w:p>
      <w:pPr>
        <w:spacing w:after="0" w:line="49" w:lineRule="exact"/>
        <w:rPr>
          <w:rFonts w:ascii="Arial" w:cs="Arial" w:eastAsia="Arial" w:hAnsi="Arial"/>
          <w:sz w:val="20"/>
          <w:szCs w:val="20"/>
          <w:color w:val="auto"/>
        </w:rPr>
      </w:pPr>
    </w:p>
    <w:p>
      <w:pPr>
        <w:jc w:val="both"/>
        <w:ind w:left="-460" w:firstLine="488"/>
        <w:spacing w:after="0" w:line="234" w:lineRule="auto"/>
        <w:tabs>
          <w:tab w:leader="none" w:pos="586" w:val="left"/>
        </w:tabs>
        <w:numPr>
          <w:ilvl w:val="0"/>
          <w:numId w:val="20"/>
        </w:numPr>
        <w:rPr>
          <w:rFonts w:ascii="Arial" w:cs="Arial" w:eastAsia="Arial" w:hAnsi="Arial"/>
          <w:sz w:val="19"/>
          <w:szCs w:val="19"/>
          <w:color w:val="auto"/>
        </w:rPr>
      </w:pPr>
      <w:r>
        <w:rPr>
          <w:rFonts w:ascii="Arial" w:cs="Arial" w:eastAsia="Arial" w:hAnsi="Arial"/>
          <w:sz w:val="19"/>
          <w:szCs w:val="19"/>
          <w:color w:val="auto"/>
        </w:rPr>
        <w:t>To make generally available to its security holders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52" w:lineRule="exact"/>
        <w:rPr>
          <w:rFonts w:ascii="Arial" w:cs="Arial" w:eastAsia="Arial" w:hAnsi="Arial"/>
          <w:sz w:val="19"/>
          <w:szCs w:val="19"/>
          <w:color w:val="auto"/>
        </w:rPr>
      </w:pPr>
    </w:p>
    <w:p>
      <w:pPr>
        <w:jc w:val="both"/>
        <w:ind w:left="-460" w:firstLine="488"/>
        <w:spacing w:after="0" w:line="211" w:lineRule="auto"/>
        <w:tabs>
          <w:tab w:leader="none" w:pos="498" w:val="left"/>
        </w:tabs>
        <w:numPr>
          <w:ilvl w:val="0"/>
          <w:numId w:val="20"/>
        </w:numPr>
        <w:rPr>
          <w:rFonts w:ascii="Arial" w:cs="Arial" w:eastAsia="Arial" w:hAnsi="Arial"/>
          <w:sz w:val="20"/>
          <w:szCs w:val="20"/>
          <w:color w:val="auto"/>
        </w:rPr>
      </w:pPr>
      <w:r>
        <w:rPr>
          <w:rFonts w:ascii="Arial" w:cs="Arial" w:eastAsia="Arial" w:hAnsi="Arial"/>
          <w:sz w:val="20"/>
          <w:szCs w:val="20"/>
          <w:color w:val="auto"/>
        </w:rPr>
        <w:t>During the period beginning from the date hereof and continuing to and including the date 60 days after the date of the Prospectus, not to (i) 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(1) the Shares to be sold hereunder, (2) any shares of Stock or any securities or other awards or rights (including without limitation options, restricted stock or restricted stock units) convertible into, exercisable or exchangeable for, or that represent the right to receive, shares of Stock pursuant to any stock option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120"/>
          </w:cols>
          <w:pgMar w:left="1440" w:top="1440" w:right="339" w:bottom="1440" w:gutter="0" w:footer="0" w:header="0"/>
        </w:sectPr>
      </w:pPr>
    </w:p>
    <w:bookmarkStart w:id="19" w:name="page20"/>
    <w:bookmarkEnd w:id="19"/>
    <w:p>
      <w:pPr>
        <w:spacing w:after="0" w:line="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incentive plan or stock purchase plan of the Company or otherwise in equity compensation arrangements described in</w:t>
      </w:r>
    </w:p>
    <w:p>
      <w:pPr>
        <w:ind w:left="660"/>
        <w:spacing w:after="0" w:line="204" w:lineRule="auto"/>
        <w:rPr>
          <w:sz w:val="20"/>
          <w:szCs w:val="20"/>
          <w:color w:val="auto"/>
        </w:rPr>
      </w:pPr>
      <w:r>
        <w:rPr>
          <w:rFonts w:ascii="Arial" w:cs="Arial" w:eastAsia="Arial" w:hAnsi="Arial"/>
          <w:sz w:val="20"/>
          <w:szCs w:val="20"/>
          <w:color w:val="auto"/>
        </w:rPr>
        <w:t>the Pricing Prospectus and the Prospectus (including pursuant to the Business Combination Merger Agreement) or pursuant to any inducement award in accordance with Nasdaq rules, provided that any directors or executive officers</w:t>
      </w:r>
    </w:p>
    <w:p>
      <w:pPr>
        <w:ind w:left="660"/>
        <w:spacing w:after="0" w:line="223" w:lineRule="auto"/>
        <w:rPr>
          <w:sz w:val="20"/>
          <w:szCs w:val="20"/>
          <w:color w:val="auto"/>
        </w:rPr>
      </w:pPr>
      <w:r>
        <w:rPr>
          <w:rFonts w:ascii="Arial" w:cs="Arial" w:eastAsia="Arial" w:hAnsi="Arial"/>
          <w:sz w:val="19"/>
          <w:szCs w:val="19"/>
          <w:color w:val="auto"/>
        </w:rPr>
        <w:t>who are the recipients thereof have provided to the Underwriter a signed lock-up letter substantially in the form of Annex</w:t>
      </w:r>
    </w:p>
    <w:p>
      <w:pPr>
        <w:ind w:left="660"/>
        <w:spacing w:after="0" w:line="204" w:lineRule="auto"/>
        <w:rPr>
          <w:sz w:val="20"/>
          <w:szCs w:val="20"/>
          <w:color w:val="auto"/>
        </w:rPr>
      </w:pPr>
      <w:r>
        <w:rPr>
          <w:rFonts w:ascii="Arial" w:cs="Arial" w:eastAsia="Arial" w:hAnsi="Arial"/>
          <w:sz w:val="20"/>
          <w:szCs w:val="20"/>
          <w:color w:val="auto"/>
        </w:rPr>
        <w:t>I hereto, (3) any shares of Stock issuable pursuant to the Business Combination Merger Agreement or the Acquisition Merger Agreement; (4) any shares of Stock issued upon the exercise or redemption of warrants or the conversion or</w:t>
      </w:r>
    </w:p>
    <w:p>
      <w:pPr>
        <w:ind w:left="660"/>
        <w:spacing w:after="0" w:line="211" w:lineRule="auto"/>
        <w:rPr>
          <w:sz w:val="20"/>
          <w:szCs w:val="20"/>
          <w:color w:val="auto"/>
        </w:rPr>
      </w:pPr>
      <w:r>
        <w:rPr>
          <w:rFonts w:ascii="Arial" w:cs="Arial" w:eastAsia="Arial" w:hAnsi="Arial"/>
          <w:sz w:val="20"/>
          <w:szCs w:val="20"/>
          <w:color w:val="auto"/>
        </w:rPr>
        <w:t>redemption of Company securities as described in the Pricing Prospectus and the Prospectus, (5) the filing by the</w:t>
      </w:r>
    </w:p>
    <w:p>
      <w:pPr>
        <w:spacing w:after="0" w:line="1"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Company of any registration statement on Form S-8 or a successor form thereto relating to any stock option plan, incentive plan or stock purchase plan or otherwise in equity compensation arrangements described in the Pricing</w:t>
      </w:r>
    </w:p>
    <w:p>
      <w:pPr>
        <w:ind w:left="660"/>
        <w:spacing w:after="0" w:line="223" w:lineRule="auto"/>
        <w:rPr>
          <w:sz w:val="20"/>
          <w:szCs w:val="20"/>
          <w:color w:val="auto"/>
        </w:rPr>
      </w:pPr>
      <w:r>
        <w:rPr>
          <w:rFonts w:ascii="Arial" w:cs="Arial" w:eastAsia="Arial" w:hAnsi="Arial"/>
          <w:sz w:val="19"/>
          <w:szCs w:val="19"/>
          <w:color w:val="auto"/>
        </w:rPr>
        <w:t>Prospectus and the Prospectus (including pursuant to the Business Combination Merger Agreement) or pursuant to any</w:t>
      </w:r>
    </w:p>
    <w:p>
      <w:pPr>
        <w:ind w:left="660"/>
        <w:spacing w:after="0" w:line="204" w:lineRule="auto"/>
        <w:rPr>
          <w:sz w:val="20"/>
          <w:szCs w:val="20"/>
          <w:color w:val="auto"/>
        </w:rPr>
      </w:pPr>
      <w:r>
        <w:rPr>
          <w:rFonts w:ascii="Arial" w:cs="Arial" w:eastAsia="Arial" w:hAnsi="Arial"/>
          <w:sz w:val="20"/>
          <w:szCs w:val="20"/>
          <w:color w:val="auto"/>
        </w:rPr>
        <w:t>inducement award in accordance with Nasdaq rules, and (6) up to 5.0% worth of shares of Stock or any securities convertible into or exercisable or exchangeable for, or that represent the right to receive, shares of Stock issued in</w:t>
      </w:r>
    </w:p>
    <w:p>
      <w:pPr>
        <w:ind w:left="660"/>
        <w:spacing w:after="0" w:line="211" w:lineRule="auto"/>
        <w:rPr>
          <w:sz w:val="20"/>
          <w:szCs w:val="20"/>
          <w:color w:val="auto"/>
        </w:rPr>
      </w:pPr>
      <w:r>
        <w:rPr>
          <w:rFonts w:ascii="Arial" w:cs="Arial" w:eastAsia="Arial" w:hAnsi="Arial"/>
          <w:sz w:val="20"/>
          <w:szCs w:val="20"/>
          <w:color w:val="auto"/>
        </w:rPr>
        <w:t>connection with any joint venture, commercial or collaborative relationship or the acquisition or license by the Company</w:t>
      </w:r>
    </w:p>
    <w:p>
      <w:pPr>
        <w:spacing w:after="0" w:line="1" w:lineRule="exact"/>
        <w:rPr>
          <w:sz w:val="20"/>
          <w:szCs w:val="20"/>
          <w:color w:val="auto"/>
        </w:rPr>
      </w:pPr>
    </w:p>
    <w:p>
      <w:pPr>
        <w:ind w:left="660" w:right="20"/>
        <w:spacing w:after="0" w:line="225" w:lineRule="auto"/>
        <w:rPr>
          <w:sz w:val="20"/>
          <w:szCs w:val="20"/>
          <w:color w:val="auto"/>
        </w:rPr>
      </w:pPr>
      <w:r>
        <w:rPr>
          <w:rFonts w:ascii="Arial" w:cs="Arial" w:eastAsia="Arial" w:hAnsi="Arial"/>
          <w:sz w:val="20"/>
          <w:szCs w:val="20"/>
          <w:color w:val="auto"/>
        </w:rPr>
        <w:t>of the securities, businesses, property or other assets of another person or entity or pursuant to any employee benefit plan assumed by the Company in connection with any such acquisition), without your prior written consent;</w:t>
      </w:r>
    </w:p>
    <w:p>
      <w:pPr>
        <w:spacing w:after="0" w:line="50" w:lineRule="exact"/>
        <w:rPr>
          <w:sz w:val="20"/>
          <w:szCs w:val="20"/>
          <w:color w:val="auto"/>
        </w:rPr>
      </w:pPr>
    </w:p>
    <w:p>
      <w:pPr>
        <w:jc w:val="both"/>
        <w:ind w:left="660" w:firstLine="488"/>
        <w:spacing w:after="0" w:line="234" w:lineRule="auto"/>
        <w:tabs>
          <w:tab w:leader="none" w:pos="1642" w:val="left"/>
        </w:tabs>
        <w:numPr>
          <w:ilvl w:val="0"/>
          <w:numId w:val="21"/>
        </w:numPr>
        <w:rPr>
          <w:rFonts w:ascii="Arial" w:cs="Arial" w:eastAsia="Arial" w:hAnsi="Arial"/>
          <w:sz w:val="19"/>
          <w:szCs w:val="19"/>
          <w:color w:val="auto"/>
        </w:rPr>
      </w:pPr>
      <w:r>
        <w:rPr>
          <w:rFonts w:ascii="Arial" w:cs="Arial" w:eastAsia="Arial" w:hAnsi="Arial"/>
          <w:sz w:val="19"/>
          <w:szCs w:val="19"/>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the Commission the filing fee for the Rule 462(b) Registration Statement or give irrevocable instructions for the payment of such fee pursuant to Rule 111(b) under the Act;</w:t>
      </w:r>
    </w:p>
    <w:p>
      <w:pPr>
        <w:spacing w:after="0" w:line="38" w:lineRule="exact"/>
        <w:rPr>
          <w:rFonts w:ascii="Arial" w:cs="Arial" w:eastAsia="Arial" w:hAnsi="Arial"/>
          <w:sz w:val="19"/>
          <w:szCs w:val="19"/>
          <w:color w:val="auto"/>
        </w:rPr>
      </w:pPr>
    </w:p>
    <w:p>
      <w:pPr>
        <w:jc w:val="both"/>
        <w:ind w:left="660" w:firstLine="488"/>
        <w:spacing w:after="0" w:line="220" w:lineRule="auto"/>
        <w:tabs>
          <w:tab w:leader="none" w:pos="1813" w:val="left"/>
        </w:tabs>
        <w:numPr>
          <w:ilvl w:val="0"/>
          <w:numId w:val="21"/>
        </w:numPr>
        <w:rPr>
          <w:rFonts w:ascii="Arial" w:cs="Arial" w:eastAsia="Arial" w:hAnsi="Arial"/>
          <w:sz w:val="20"/>
          <w:szCs w:val="20"/>
          <w:color w:val="auto"/>
        </w:rPr>
      </w:pPr>
      <w:r>
        <w:rPr>
          <w:rFonts w:ascii="Arial" w:cs="Arial" w:eastAsia="Arial" w:hAnsi="Arial"/>
          <w:sz w:val="20"/>
          <w:szCs w:val="20"/>
          <w:color w:val="auto"/>
        </w:rPr>
        <w:t>Upon request of the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spacing w:after="0" w:line="52" w:lineRule="exact"/>
        <w:rPr>
          <w:rFonts w:ascii="Arial" w:cs="Arial" w:eastAsia="Arial" w:hAnsi="Arial"/>
          <w:sz w:val="20"/>
          <w:szCs w:val="20"/>
          <w:color w:val="auto"/>
        </w:rPr>
      </w:pPr>
    </w:p>
    <w:p>
      <w:pPr>
        <w:ind w:left="660" w:firstLine="488"/>
        <w:spacing w:after="0" w:line="234" w:lineRule="auto"/>
        <w:tabs>
          <w:tab w:leader="none" w:pos="165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To use the net proceeds received by it from the sale of the Shares in the manner specified in the Pricing Prospectus under the caption “Use of Proceeds”;</w:t>
      </w:r>
    </w:p>
    <w:p>
      <w:pPr>
        <w:spacing w:after="0" w:line="51" w:lineRule="exact"/>
        <w:rPr>
          <w:rFonts w:ascii="Arial" w:cs="Arial" w:eastAsia="Arial" w:hAnsi="Arial"/>
          <w:sz w:val="20"/>
          <w:szCs w:val="20"/>
          <w:color w:val="auto"/>
        </w:rPr>
      </w:pPr>
    </w:p>
    <w:p>
      <w:pPr>
        <w:ind w:left="660" w:firstLine="488"/>
        <w:spacing w:after="0" w:line="243" w:lineRule="auto"/>
        <w:tabs>
          <w:tab w:leader="none" w:pos="1577" w:val="left"/>
        </w:tabs>
        <w:numPr>
          <w:ilvl w:val="0"/>
          <w:numId w:val="21"/>
        </w:numPr>
        <w:rPr>
          <w:rFonts w:ascii="Arial" w:cs="Arial" w:eastAsia="Arial" w:hAnsi="Arial"/>
          <w:sz w:val="20"/>
          <w:szCs w:val="20"/>
          <w:color w:val="auto"/>
        </w:rPr>
      </w:pPr>
      <w:r>
        <w:rPr>
          <w:rFonts w:ascii="Arial" w:cs="Arial" w:eastAsia="Arial" w:hAnsi="Arial"/>
          <w:sz w:val="20"/>
          <w:szCs w:val="20"/>
          <w:color w:val="auto"/>
        </w:rPr>
        <w:t>To use its best efforts to list for quotation the Shares on the Nasdaq Stock Market Inc.’s Global Select Market (“NASDAQ”); and</w:t>
      </w:r>
    </w:p>
    <w:p>
      <w:pPr>
        <w:spacing w:after="0" w:line="33" w:lineRule="exact"/>
        <w:rPr>
          <w:rFonts w:ascii="Arial" w:cs="Arial" w:eastAsia="Arial" w:hAnsi="Arial"/>
          <w:sz w:val="20"/>
          <w:szCs w:val="20"/>
          <w:color w:val="auto"/>
        </w:rPr>
      </w:pPr>
    </w:p>
    <w:p>
      <w:pPr>
        <w:ind w:left="660" w:right="20" w:firstLine="488"/>
        <w:spacing w:after="0" w:line="220" w:lineRule="auto"/>
        <w:tabs>
          <w:tab w:leader="none" w:pos="1716" w:val="left"/>
        </w:tabs>
        <w:numPr>
          <w:ilvl w:val="0"/>
          <w:numId w:val="21"/>
        </w:numPr>
        <w:rPr>
          <w:rFonts w:ascii="Arial" w:cs="Arial" w:eastAsia="Arial" w:hAnsi="Arial"/>
          <w:sz w:val="20"/>
          <w:szCs w:val="20"/>
          <w:color w:val="auto"/>
        </w:rPr>
      </w:pPr>
      <w:r>
        <w:rPr>
          <w:rFonts w:ascii="Arial" w:cs="Arial" w:eastAsia="Arial" w:hAnsi="Arial"/>
          <w:sz w:val="20"/>
          <w:szCs w:val="20"/>
          <w:color w:val="auto"/>
        </w:rPr>
        <w:t>To promptly notify you if the Company ceases to be an Emerging Growth Company at any time prior to the later of (i) completion of the distribution of the Shares within the meaning of the Act and (ii) the last Time of Delivery.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0"/>
          <w:szCs w:val="20"/>
          <w:color w:val="auto"/>
        </w:rPr>
        <w:t>6.</w:t>
      </w:r>
    </w:p>
    <w:p>
      <w:pPr>
        <w:spacing w:after="0" w:line="157" w:lineRule="exact"/>
        <w:rPr>
          <w:sz w:val="20"/>
          <w:szCs w:val="20"/>
          <w:color w:val="auto"/>
        </w:rPr>
      </w:pPr>
    </w:p>
    <w:p>
      <w:pPr>
        <w:jc w:val="both"/>
        <w:ind w:firstLine="252"/>
        <w:spacing w:after="0" w:line="223" w:lineRule="auto"/>
        <w:tabs>
          <w:tab w:leader="none" w:pos="726"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Company represents and agrees that it has not made and will not make any offer relating to the Shares that would constitute a “free writing prospectus” as defined in Rule 405 under the Act; each Underwriter represents and agrees that it has not made and will not make any offer relating to the Shares that would constitute a free writing prospectus required to be filed with the Commission;</w:t>
      </w:r>
    </w:p>
    <w:p>
      <w:pPr>
        <w:spacing w:after="0" w:line="130" w:lineRule="exact"/>
        <w:rPr>
          <w:rFonts w:ascii="Arial" w:cs="Arial" w:eastAsia="Arial" w:hAnsi="Arial"/>
          <w:sz w:val="20"/>
          <w:szCs w:val="20"/>
          <w:color w:val="auto"/>
        </w:rPr>
      </w:pPr>
    </w:p>
    <w:p>
      <w:pPr>
        <w:jc w:val="both"/>
        <w:ind w:firstLine="275"/>
        <w:spacing w:after="0" w:line="223" w:lineRule="auto"/>
        <w:tabs>
          <w:tab w:leader="none" w:pos="776"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Company agrees that if at any time following issuance of a Written Testing-the-Waters Communication any event occurred or occurs as a result of which such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color w:val="auto"/>
        </w:rPr>
        <w:t>then prevailing, not misleading, the Company will give prompt notice thereof to the Underwriter and, if requested by the</w:t>
      </w:r>
    </w:p>
    <w:p>
      <w:pPr>
        <w:spacing w:after="0" w:line="225" w:lineRule="auto"/>
        <w:rPr>
          <w:sz w:val="20"/>
          <w:szCs w:val="20"/>
          <w:color w:val="auto"/>
        </w:rPr>
      </w:pPr>
      <w:r>
        <w:rPr>
          <w:rFonts w:ascii="Arial" w:cs="Arial" w:eastAsia="Arial" w:hAnsi="Arial"/>
          <w:sz w:val="20"/>
          <w:szCs w:val="20"/>
          <w:color w:val="auto"/>
        </w:rPr>
        <w:t>Underwriter, will prepare and furnish without charge to each Underwriter a Written Testing-the-Waters Communication or other document which will correct such conflict, statement or omission;</w:t>
      </w:r>
    </w:p>
    <w:p>
      <w:pPr>
        <w:spacing w:after="0" w:line="158" w:lineRule="exact"/>
        <w:rPr>
          <w:sz w:val="20"/>
          <w:szCs w:val="20"/>
          <w:color w:val="auto"/>
        </w:rPr>
      </w:pPr>
    </w:p>
    <w:p>
      <w:pPr>
        <w:jc w:val="both"/>
        <w:ind w:firstLine="656"/>
        <w:spacing w:after="0" w:line="216" w:lineRule="auto"/>
        <w:tabs>
          <w:tab w:leader="none" w:pos="1209"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Company represents and agrees that (i) it has not engaged in, or authorized any other person to engage in, any Testing-the-Waters Communications, other than Testing-the-Waters Communications with the prior consent of the Underwriter with entities that the Company reasonably believes are qualified institutional buyers as defined in Rule 144A under the Act or institutions that are accredited investors as defined Rule 501(a)(1), (a)(2), (a)(3), (a)(7) or (a)(8) under the Act; and (ii) it has not distributed, or authorized any other person to distribute, any Written Testing-the-Waters Communications, other than those distributed with the prior consent of the Underwriter; and the Company reconfirms that the Underwriter has been authorized to act on its behalf in engaging in Testing-the-Waters Communications; and</w:t>
      </w:r>
    </w:p>
    <w:p>
      <w:pPr>
        <w:spacing w:after="0" w:line="49" w:lineRule="exact"/>
        <w:rPr>
          <w:rFonts w:ascii="Arial" w:cs="Arial" w:eastAsia="Arial" w:hAnsi="Arial"/>
          <w:sz w:val="20"/>
          <w:szCs w:val="20"/>
          <w:color w:val="auto"/>
        </w:rPr>
      </w:pPr>
    </w:p>
    <w:p>
      <w:pPr>
        <w:jc w:val="both"/>
        <w:ind w:right="20" w:firstLine="656"/>
        <w:spacing w:after="0" w:line="227" w:lineRule="auto"/>
        <w:tabs>
          <w:tab w:leader="none" w:pos="1116"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Underwriter represents and agrees that any Written Testing-the-Waters Communications undertaken by it were with entities that the Underwriter reasonably believe are qualified institutional buyers as defined in Rule 144A under the Act or institutions that are accredited investors as defined in Rule 501(a)(1), (a)(2), (a)(3), (a)(7) or (a)(8) under the Act.</w:t>
      </w:r>
    </w:p>
    <w:p>
      <w:pPr>
        <w:spacing w:after="0" w:line="49" w:lineRule="exact"/>
        <w:rPr>
          <w:sz w:val="20"/>
          <w:szCs w:val="20"/>
          <w:color w:val="auto"/>
        </w:rPr>
      </w:pPr>
    </w:p>
    <w:p>
      <w:pPr>
        <w:jc w:val="both"/>
        <w:ind w:firstLine="656"/>
        <w:spacing w:after="0" w:line="209" w:lineRule="auto"/>
        <w:tabs>
          <w:tab w:leader="none" w:pos="1164"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Company covenants and agrees with the Underwriter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the Basic Prospectus, any Preliminary Prospectus, any Written Testing-the-Waters Communication and the Prospectus and amendments and supplements thereto and the mailing and delivering of copies thereof to the Underwriter and dealers; (ii) the reasonable and documented cost of printing or producing any Agreement with Underwriter, this Agreement, any Blue Sky Memorandum, closing documents (including any compilations thereof) and any other documents in connection with the offering, purchase, sale and delivery of the Shares; (iii) all reasonable and documented expenses in connection with the qualification of the Shares for offering and sale under state securities laws as provided in Section 5(b) hereof, including the reasonable and documented fees and disbursements of counsel for the Underwriter in connection with such qualification and in connection with the Blue Sky survey(s); (iv) any filing fees incident to, and the fees and disbursements of counsel for the Underwriter in connection with, any required reviews by FINRA of the terms of the sale of the Shares; (v) the cost of preparing certificates for the Shares; (vi) the cost and charges of any transfer agent or registrar or dividend disbursing agent; (vii) all fees and expenses in connection with listing the Shares on NASDAQ</w:t>
      </w:r>
      <w:r>
        <w:rPr>
          <w:rFonts w:ascii="Arial" w:cs="Arial" w:eastAsia="Arial" w:hAnsi="Arial"/>
          <w:sz w:val="20"/>
          <w:szCs w:val="20"/>
          <w:b w:val="1"/>
          <w:bCs w:val="1"/>
          <w:color w:val="auto"/>
        </w:rPr>
        <w:t>;</w:t>
      </w:r>
      <w:r>
        <w:rPr>
          <w:rFonts w:ascii="Arial" w:cs="Arial" w:eastAsia="Arial" w:hAnsi="Arial"/>
          <w:sz w:val="20"/>
          <w:szCs w:val="20"/>
          <w:color w:val="auto"/>
        </w:rPr>
        <w:t xml:space="preserve"> and (viii) all other costs and expenses incident to the performance of its obligations hereunder which are not otherwise specifically provided for in this Section; provided, however, that the amounts payable by the Company pursuant to clauses (ii) and (iv) for fees, expenses and disbursements of counsel to the Underwriter described in clauses (ii) and (iv) shall not exceed $40,000 in the aggregate. It is understood, however, that, except as provided in this Section, and Sections 9 and 12 hereof, the Underwriter will pay all of their own costs and expenses, including the fees of their counsel, transfer taxes on resale of any of the Shares by them, and any advertising expenses connected with any offers they may make.</w:t>
      </w:r>
    </w:p>
    <w:p>
      <w:pPr>
        <w:spacing w:after="0" w:line="200" w:lineRule="exact"/>
        <w:rPr>
          <w:rFonts w:ascii="Arial" w:cs="Arial" w:eastAsia="Arial" w:hAnsi="Arial"/>
          <w:sz w:val="20"/>
          <w:szCs w:val="20"/>
          <w:color w:val="auto"/>
        </w:rPr>
      </w:pPr>
    </w:p>
    <w:p>
      <w:pPr>
        <w:spacing w:after="0" w:line="209" w:lineRule="exact"/>
        <w:rPr>
          <w:rFonts w:ascii="Arial" w:cs="Arial" w:eastAsia="Arial" w:hAnsi="Arial"/>
          <w:sz w:val="20"/>
          <w:szCs w:val="20"/>
          <w:color w:val="auto"/>
        </w:rPr>
      </w:pPr>
    </w:p>
    <w:p>
      <w:pPr>
        <w:jc w:val="both"/>
        <w:ind w:firstLine="656"/>
        <w:spacing w:after="0" w:line="223" w:lineRule="auto"/>
        <w:tabs>
          <w:tab w:leader="none" w:pos="1102"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obligations of the Underwriter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36" w:lineRule="exact"/>
        <w:rPr>
          <w:rFonts w:ascii="Arial" w:cs="Arial" w:eastAsia="Arial" w:hAnsi="Arial"/>
          <w:sz w:val="20"/>
          <w:szCs w:val="20"/>
          <w:color w:val="auto"/>
        </w:rPr>
      </w:pPr>
    </w:p>
    <w:p>
      <w:pPr>
        <w:jc w:val="both"/>
        <w:ind w:left="660" w:firstLine="488"/>
        <w:spacing w:after="0" w:line="231" w:lineRule="auto"/>
        <w:tabs>
          <w:tab w:leader="none" w:pos="1657"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391" w:right="339" w:bottom="1440" w:gutter="0" w:footer="0" w:header="0"/>
        </w:sectPr>
      </w:pPr>
    </w:p>
    <w:bookmarkStart w:id="21" w:name="page22"/>
    <w:bookmarkEnd w:id="21"/>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to be filed by the Company pursuant to Rule 433(d) under the Act shall have been filed with the Commission within the</w:t>
      </w:r>
    </w:p>
    <w:p>
      <w:pPr>
        <w:spacing w:after="0" w:line="215" w:lineRule="auto"/>
        <w:rPr>
          <w:sz w:val="20"/>
          <w:szCs w:val="20"/>
          <w:color w:val="auto"/>
        </w:rPr>
      </w:pPr>
      <w:r>
        <w:rPr>
          <w:rFonts w:ascii="Arial" w:cs="Arial" w:eastAsia="Arial" w:hAnsi="Arial"/>
          <w:sz w:val="19"/>
          <w:szCs w:val="19"/>
          <w:color w:val="auto"/>
        </w:rPr>
        <w:t>applicable time period prescribed for such filings by Rule 433; if the Company has elected to rely upon Rule 462(b) under the Act, the Rule 462(b) Registration Statement shall have become effective by 10:00 p.m., Washington, D.C. time, on</w:t>
      </w:r>
    </w:p>
    <w:p>
      <w:pPr>
        <w:spacing w:after="0" w:line="222" w:lineRule="auto"/>
        <w:rPr>
          <w:sz w:val="20"/>
          <w:szCs w:val="20"/>
          <w:color w:val="auto"/>
        </w:rPr>
      </w:pPr>
      <w:r>
        <w:rPr>
          <w:rFonts w:ascii="Arial" w:cs="Arial" w:eastAsia="Arial" w:hAnsi="Arial"/>
          <w:sz w:val="19"/>
          <w:szCs w:val="19"/>
          <w:color w:val="auto"/>
        </w:rPr>
        <w:t>the date of this Agreement; no stop order suspending the effectiveness of the Registration Statement or any part thereof</w:t>
      </w:r>
    </w:p>
    <w:p>
      <w:pPr>
        <w:spacing w:after="0" w:line="204" w:lineRule="auto"/>
        <w:rPr>
          <w:sz w:val="20"/>
          <w:szCs w:val="20"/>
          <w:color w:val="auto"/>
        </w:rPr>
      </w:pPr>
      <w:r>
        <w:rPr>
          <w:rFonts w:ascii="Arial" w:cs="Arial" w:eastAsia="Arial" w:hAnsi="Arial"/>
          <w:sz w:val="20"/>
          <w:szCs w:val="20"/>
          <w:color w:val="auto"/>
        </w:rPr>
        <w:t>shall have been issued and no proceeding for that purpose or pursuant to Section 8A of the Act shall have been initiated or threatened by the Commission; no stop order suspending or preventing the use of the Pricing Prospectus or</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Prospectus shall have been initiated or threatened by the Commission; and all requests for additional information on the part of the Commission shall have been complied with to your reasonable satisfaction;</w:t>
      </w:r>
    </w:p>
    <w:p>
      <w:pPr>
        <w:spacing w:after="0" w:line="37" w:lineRule="exact"/>
        <w:rPr>
          <w:sz w:val="20"/>
          <w:szCs w:val="20"/>
          <w:color w:val="auto"/>
        </w:rPr>
      </w:pPr>
    </w:p>
    <w:p>
      <w:pPr>
        <w:jc w:val="both"/>
        <w:ind w:firstLine="488"/>
        <w:spacing w:after="0" w:line="231" w:lineRule="auto"/>
        <w:tabs>
          <w:tab w:leader="none" w:pos="987" w:val="left"/>
        </w:tabs>
        <w:numPr>
          <w:ilvl w:val="0"/>
          <w:numId w:val="25"/>
        </w:numPr>
        <w:rPr>
          <w:rFonts w:ascii="Arial" w:cs="Arial" w:eastAsia="Arial" w:hAnsi="Arial"/>
          <w:sz w:val="20"/>
          <w:szCs w:val="20"/>
          <w:color w:val="auto"/>
        </w:rPr>
      </w:pPr>
      <w:r>
        <w:rPr>
          <w:rFonts w:ascii="Arial" w:cs="Arial" w:eastAsia="Arial" w:hAnsi="Arial"/>
          <w:sz w:val="20"/>
          <w:szCs w:val="20"/>
          <w:color w:val="auto"/>
        </w:rPr>
        <w:t>Ropes &amp; Gray LLP, counsel for the Underwriter, shall have furnished to you such written opinion or opinions, dated such Time of Delivery in form and substance satisfactory to you, and such counsel shall have received such papers and information as they may reasonably request to enable them to pass upon such matters;</w:t>
      </w:r>
    </w:p>
    <w:p>
      <w:pPr>
        <w:spacing w:after="0" w:line="37" w:lineRule="exact"/>
        <w:rPr>
          <w:rFonts w:ascii="Arial" w:cs="Arial" w:eastAsia="Arial" w:hAnsi="Arial"/>
          <w:sz w:val="20"/>
          <w:szCs w:val="20"/>
          <w:color w:val="auto"/>
        </w:rPr>
      </w:pPr>
    </w:p>
    <w:p>
      <w:pPr>
        <w:ind w:firstLine="488"/>
        <w:spacing w:after="0" w:line="243" w:lineRule="auto"/>
        <w:tabs>
          <w:tab w:leader="none" w:pos="986" w:val="left"/>
        </w:tabs>
        <w:numPr>
          <w:ilvl w:val="0"/>
          <w:numId w:val="25"/>
        </w:numPr>
        <w:rPr>
          <w:rFonts w:ascii="Arial" w:cs="Arial" w:eastAsia="Arial" w:hAnsi="Arial"/>
          <w:sz w:val="20"/>
          <w:szCs w:val="20"/>
          <w:color w:val="auto"/>
        </w:rPr>
      </w:pPr>
      <w:r>
        <w:rPr>
          <w:rFonts w:ascii="Arial" w:cs="Arial" w:eastAsia="Arial" w:hAnsi="Arial"/>
          <w:sz w:val="20"/>
          <w:szCs w:val="20"/>
          <w:color w:val="auto"/>
        </w:rPr>
        <w:t>Fenwick &amp; West LLP, counsel for the Company, shall have furnished to you their written opinion, dated such Time of Delivery, in form and substance satisfactory to you;</w:t>
      </w:r>
    </w:p>
    <w:p>
      <w:pPr>
        <w:spacing w:after="0" w:line="47" w:lineRule="exact"/>
        <w:rPr>
          <w:rFonts w:ascii="Arial" w:cs="Arial" w:eastAsia="Arial" w:hAnsi="Arial"/>
          <w:sz w:val="20"/>
          <w:szCs w:val="20"/>
          <w:color w:val="auto"/>
        </w:rPr>
      </w:pPr>
    </w:p>
    <w:p>
      <w:pPr>
        <w:ind w:firstLine="488"/>
        <w:spacing w:after="0" w:line="234" w:lineRule="auto"/>
        <w:tabs>
          <w:tab w:leader="none" w:pos="1076" w:val="left"/>
        </w:tabs>
        <w:numPr>
          <w:ilvl w:val="0"/>
          <w:numId w:val="25"/>
        </w:numPr>
        <w:rPr>
          <w:rFonts w:ascii="Arial" w:cs="Arial" w:eastAsia="Arial" w:hAnsi="Arial"/>
          <w:sz w:val="20"/>
          <w:szCs w:val="20"/>
          <w:color w:val="auto"/>
        </w:rPr>
      </w:pPr>
      <w:r>
        <w:rPr>
          <w:rFonts w:ascii="Arial" w:cs="Arial" w:eastAsia="Arial" w:hAnsi="Arial"/>
          <w:sz w:val="20"/>
          <w:szCs w:val="20"/>
          <w:color w:val="auto"/>
        </w:rPr>
        <w:t>Bond, Schoeneck &amp; King PLLC, Intellectual Property counsel for the Company, shall have furnished to you their written opinion, dated such Time of Delivery, in form and substance satisfactory to you;</w:t>
      </w:r>
    </w:p>
    <w:p>
      <w:pPr>
        <w:spacing w:after="0" w:line="51" w:lineRule="exact"/>
        <w:rPr>
          <w:rFonts w:ascii="Arial" w:cs="Arial" w:eastAsia="Arial" w:hAnsi="Arial"/>
          <w:sz w:val="20"/>
          <w:szCs w:val="20"/>
          <w:color w:val="auto"/>
        </w:rPr>
      </w:pPr>
    </w:p>
    <w:p>
      <w:pPr>
        <w:ind w:firstLine="488"/>
        <w:spacing w:after="0" w:line="243" w:lineRule="auto"/>
        <w:tabs>
          <w:tab w:leader="none" w:pos="1054" w:val="left"/>
        </w:tabs>
        <w:numPr>
          <w:ilvl w:val="0"/>
          <w:numId w:val="25"/>
        </w:numPr>
        <w:rPr>
          <w:rFonts w:ascii="Arial" w:cs="Arial" w:eastAsia="Arial" w:hAnsi="Arial"/>
          <w:sz w:val="20"/>
          <w:szCs w:val="20"/>
          <w:color w:val="auto"/>
        </w:rPr>
      </w:pPr>
      <w:r>
        <w:rPr>
          <w:rFonts w:ascii="Arial" w:cs="Arial" w:eastAsia="Arial" w:hAnsi="Arial"/>
          <w:sz w:val="20"/>
          <w:szCs w:val="20"/>
          <w:color w:val="auto"/>
        </w:rPr>
        <w:t>McDermott Will &amp; Emery LLP, Regulatory counsel for the Company, shall have furnished to you their written opinion, dated such Time of Delivery, in form and substance satisfactory to you;</w:t>
      </w:r>
    </w:p>
    <w:p>
      <w:pPr>
        <w:spacing w:after="0" w:line="33" w:lineRule="exact"/>
        <w:rPr>
          <w:rFonts w:ascii="Arial" w:cs="Arial" w:eastAsia="Arial" w:hAnsi="Arial"/>
          <w:sz w:val="20"/>
          <w:szCs w:val="20"/>
          <w:color w:val="auto"/>
        </w:rPr>
      </w:pPr>
    </w:p>
    <w:p>
      <w:pPr>
        <w:jc w:val="both"/>
        <w:ind w:firstLine="488"/>
        <w:spacing w:after="0" w:line="216" w:lineRule="auto"/>
        <w:tabs>
          <w:tab w:leader="none" w:pos="987" w:val="left"/>
        </w:tabs>
        <w:numPr>
          <w:ilvl w:val="0"/>
          <w:numId w:val="25"/>
        </w:numPr>
        <w:rPr>
          <w:rFonts w:ascii="Arial" w:cs="Arial" w:eastAsia="Arial" w:hAnsi="Arial"/>
          <w:sz w:val="20"/>
          <w:szCs w:val="20"/>
          <w:color w:val="auto"/>
        </w:rPr>
      </w:pPr>
      <w:r>
        <w:rPr>
          <w:rFonts w:ascii="Arial" w:cs="Arial" w:eastAsia="Arial" w:hAnsi="Arial"/>
          <w:sz w:val="20"/>
          <w:szCs w:val="20"/>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the Company shall have furnished to the Underwriter a certificate, dated the respective dates of delivery thereof and addressed to the Underwriter, of its principal financial officer with respect to certain financial data incorporated in or contained in the Pricing Disclosure Package and the Prospectus, providing “management comfort” with respect to such information, in form and substance reasonably satisfactory to the Underwriter;</w:t>
      </w:r>
    </w:p>
    <w:p>
      <w:pPr>
        <w:spacing w:after="0" w:line="49" w:lineRule="exact"/>
        <w:rPr>
          <w:rFonts w:ascii="Arial" w:cs="Arial" w:eastAsia="Arial" w:hAnsi="Arial"/>
          <w:sz w:val="20"/>
          <w:szCs w:val="20"/>
          <w:color w:val="auto"/>
        </w:rPr>
      </w:pPr>
    </w:p>
    <w:p>
      <w:pPr>
        <w:jc w:val="both"/>
        <w:ind w:firstLine="488"/>
        <w:spacing w:after="0" w:line="223" w:lineRule="auto"/>
        <w:tabs>
          <w:tab w:leader="none" w:pos="982" w:val="left"/>
        </w:tabs>
        <w:numPr>
          <w:ilvl w:val="0"/>
          <w:numId w:val="25"/>
        </w:numPr>
        <w:rPr>
          <w:rFonts w:ascii="Arial" w:cs="Arial" w:eastAsia="Arial" w:hAnsi="Arial"/>
          <w:sz w:val="20"/>
          <w:szCs w:val="20"/>
          <w:color w:val="auto"/>
        </w:rPr>
      </w:pPr>
      <w:r>
        <w:rPr>
          <w:rFonts w:ascii="Arial" w:cs="Arial" w:eastAsia="Arial" w:hAnsi="Arial"/>
          <w:sz w:val="20"/>
          <w:szCs w:val="20"/>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w:t>
      </w:r>
    </w:p>
    <w:p>
      <w:pPr>
        <w:spacing w:after="0" w:line="36" w:lineRule="exact"/>
        <w:rPr>
          <w:rFonts w:ascii="Arial" w:cs="Arial" w:eastAsia="Arial" w:hAnsi="Arial"/>
          <w:sz w:val="20"/>
          <w:szCs w:val="20"/>
          <w:color w:val="auto"/>
        </w:rPr>
      </w:pPr>
    </w:p>
    <w:p>
      <w:pPr>
        <w:jc w:val="both"/>
        <w:ind w:firstLine="488"/>
        <w:spacing w:after="0" w:line="211" w:lineRule="auto"/>
        <w:tabs>
          <w:tab w:leader="none" w:pos="1008" w:val="left"/>
        </w:tabs>
        <w:numPr>
          <w:ilvl w:val="0"/>
          <w:numId w:val="25"/>
        </w:numPr>
        <w:rPr>
          <w:rFonts w:ascii="Arial" w:cs="Arial" w:eastAsia="Arial" w:hAnsi="Arial"/>
          <w:sz w:val="20"/>
          <w:szCs w:val="20"/>
          <w:color w:val="auto"/>
        </w:rPr>
      </w:pPr>
      <w:r>
        <w:rPr>
          <w:rFonts w:ascii="Arial" w:cs="Arial" w:eastAsia="Arial" w:hAnsi="Arial"/>
          <w:sz w:val="20"/>
          <w:szCs w:val="20"/>
          <w:color w:val="auto"/>
        </w:rPr>
        <w:t>(i) Neither the Company nor any of its subsidiaries shall have sustained since the date of the latest audited financial statements of the Company and its subsidiaries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material change in the capital stock (other than as a result of (i) the vesting, conversion, settlement, exchange or exercise, if any, of equity awards or rights or the award or grant, if any, of equity awards or rights in the ordinary course of business in connection with or pursuant to the Company’s equity incentive and stock purchase plans that are described in the Pricing Prospectus and the Prospectus, pursuant to the Business Combination Merger Agreement or pursuant to any inducement awards in accordance with NASDAQ rules; (ii) the issuance, if any, of stock upon the exercise or redemption of warrants or the conversion or redemption of Company securities as described in the Pricing Prospectus and the Prospectus; (iii) the issuance of stock pursuant to the Business Combination Merger Agreement or Acquisition Merger Agreement; or (iv)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80"/>
          </w:cols>
          <w:pgMar w:left="980" w:top="1440" w:right="339" w:bottom="1440" w:gutter="0" w:footer="0" w:header="0"/>
        </w:sectPr>
      </w:pPr>
    </w:p>
    <w:bookmarkStart w:id="22" w:name="page23"/>
    <w:bookmarkEnd w:id="22"/>
    <w:p>
      <w:pPr>
        <w:spacing w:after="0" w:line="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issuance of the Shares hereunder) or long term debt of the Company or any of its subsidiaries or any change or effect, or</w:t>
      </w:r>
    </w:p>
    <w:p>
      <w:pPr>
        <w:spacing w:after="0" w:line="2" w:lineRule="exact"/>
        <w:rPr>
          <w:sz w:val="20"/>
          <w:szCs w:val="20"/>
          <w:color w:val="auto"/>
        </w:rPr>
      </w:pPr>
    </w:p>
    <w:p>
      <w:pPr>
        <w:ind w:left="660"/>
        <w:spacing w:after="0" w:line="204" w:lineRule="auto"/>
        <w:rPr>
          <w:sz w:val="20"/>
          <w:szCs w:val="20"/>
          <w:color w:val="auto"/>
        </w:rPr>
      </w:pPr>
      <w:r>
        <w:rPr>
          <w:rFonts w:ascii="Arial" w:cs="Arial" w:eastAsia="Arial" w:hAnsi="Arial"/>
          <w:sz w:val="20"/>
          <w:szCs w:val="20"/>
          <w:color w:val="auto"/>
        </w:rPr>
        <w:t>any development involving a prospective change or effect, in or affecting (x) the business, properties, general affairs, management, financial position, stockholders' equity or results of operations of the Company and its subsidiaries, taken</w:t>
      </w:r>
    </w:p>
    <w:p>
      <w:pPr>
        <w:ind w:left="660"/>
        <w:spacing w:after="0" w:line="223" w:lineRule="auto"/>
        <w:rPr>
          <w:sz w:val="20"/>
          <w:szCs w:val="20"/>
          <w:color w:val="auto"/>
        </w:rPr>
      </w:pPr>
      <w:r>
        <w:rPr>
          <w:rFonts w:ascii="Arial" w:cs="Arial" w:eastAsia="Arial" w:hAnsi="Arial"/>
          <w:sz w:val="19"/>
          <w:szCs w:val="19"/>
          <w:color w:val="auto"/>
        </w:rPr>
        <w:t>as a whole, except as set forth or contemplated in the Pricing Prospectus, or (y) the ability of the Company to perform its</w:t>
      </w:r>
    </w:p>
    <w:p>
      <w:pPr>
        <w:jc w:val="both"/>
        <w:ind w:left="660"/>
        <w:spacing w:after="0" w:line="204" w:lineRule="auto"/>
        <w:rPr>
          <w:sz w:val="20"/>
          <w:szCs w:val="20"/>
          <w:color w:val="auto"/>
        </w:rPr>
      </w:pPr>
      <w:r>
        <w:rPr>
          <w:rFonts w:ascii="Arial" w:cs="Arial" w:eastAsia="Arial" w:hAnsi="Arial"/>
          <w:sz w:val="20"/>
          <w:szCs w:val="20"/>
          <w:color w:val="auto"/>
        </w:rPr>
        <w:t>obligations under this Agreement, including the issuance and sale of the Shares, or to consummate the transactions contemplated in the Pricing Prospectus and the Prospectus, the effect of which, in any such case described in clause (i)</w:t>
      </w:r>
    </w:p>
    <w:p>
      <w:pPr>
        <w:ind w:left="660"/>
        <w:spacing w:after="0" w:line="211" w:lineRule="auto"/>
        <w:rPr>
          <w:sz w:val="20"/>
          <w:szCs w:val="20"/>
          <w:color w:val="auto"/>
        </w:rPr>
      </w:pPr>
      <w:r>
        <w:rPr>
          <w:rFonts w:ascii="Arial" w:cs="Arial" w:eastAsia="Arial" w:hAnsi="Arial"/>
          <w:sz w:val="20"/>
          <w:szCs w:val="20"/>
          <w:color w:val="auto"/>
        </w:rPr>
        <w:t>or (ii), is in your judgment so material and adverse as to make it impracticable or inadvisable to proceed with the public</w:t>
      </w:r>
    </w:p>
    <w:p>
      <w:pPr>
        <w:spacing w:after="0" w:line="1" w:lineRule="exact"/>
        <w:rPr>
          <w:sz w:val="20"/>
          <w:szCs w:val="20"/>
          <w:color w:val="auto"/>
        </w:rPr>
      </w:pPr>
    </w:p>
    <w:p>
      <w:pPr>
        <w:ind w:left="660"/>
        <w:spacing w:after="0" w:line="225" w:lineRule="auto"/>
        <w:rPr>
          <w:sz w:val="20"/>
          <w:szCs w:val="20"/>
          <w:color w:val="auto"/>
        </w:rPr>
      </w:pPr>
      <w:r>
        <w:rPr>
          <w:rFonts w:ascii="Arial" w:cs="Arial" w:eastAsia="Arial" w:hAnsi="Arial"/>
          <w:sz w:val="20"/>
          <w:szCs w:val="20"/>
          <w:color w:val="auto"/>
        </w:rPr>
        <w:t>offering or the delivery of the Shares on the terms and in the manner contemplated in the Pricing Prospectus and the Prospectus;</w:t>
      </w:r>
    </w:p>
    <w:p>
      <w:pPr>
        <w:spacing w:after="0" w:line="50" w:lineRule="exact"/>
        <w:rPr>
          <w:sz w:val="20"/>
          <w:szCs w:val="20"/>
          <w:color w:val="auto"/>
        </w:rPr>
      </w:pPr>
    </w:p>
    <w:p>
      <w:pPr>
        <w:ind w:left="1540" w:hanging="392"/>
        <w:spacing w:after="0"/>
        <w:tabs>
          <w:tab w:leader="none" w:pos="1540" w:val="left"/>
        </w:tabs>
        <w:numPr>
          <w:ilvl w:val="1"/>
          <w:numId w:val="26"/>
        </w:numPr>
        <w:rPr>
          <w:rFonts w:ascii="Arial" w:cs="Arial" w:eastAsia="Arial" w:hAnsi="Arial"/>
          <w:sz w:val="20"/>
          <w:szCs w:val="20"/>
          <w:color w:val="auto"/>
        </w:rPr>
      </w:pPr>
      <w:r>
        <w:rPr>
          <w:rFonts w:ascii="Arial" w:cs="Arial" w:eastAsia="Arial" w:hAnsi="Arial"/>
          <w:sz w:val="20"/>
          <w:szCs w:val="20"/>
          <w:color w:val="auto"/>
        </w:rPr>
        <w:t>[Reserved];</w:t>
      </w:r>
    </w:p>
    <w:p>
      <w:pPr>
        <w:spacing w:after="0" w:line="80" w:lineRule="exact"/>
        <w:rPr>
          <w:rFonts w:ascii="Arial" w:cs="Arial" w:eastAsia="Arial" w:hAnsi="Arial"/>
          <w:sz w:val="20"/>
          <w:szCs w:val="20"/>
          <w:color w:val="auto"/>
        </w:rPr>
      </w:pPr>
    </w:p>
    <w:p>
      <w:pPr>
        <w:jc w:val="both"/>
        <w:ind w:left="660" w:firstLine="488"/>
        <w:spacing w:after="0" w:line="211" w:lineRule="auto"/>
        <w:tabs>
          <w:tab w:leader="none" w:pos="1567" w:val="left"/>
        </w:tabs>
        <w:numPr>
          <w:ilvl w:val="1"/>
          <w:numId w:val="26"/>
        </w:numPr>
        <w:rPr>
          <w:rFonts w:ascii="Arial" w:cs="Arial" w:eastAsia="Arial" w:hAnsi="Arial"/>
          <w:sz w:val="20"/>
          <w:szCs w:val="20"/>
          <w:color w:val="auto"/>
        </w:rPr>
      </w:pPr>
      <w:r>
        <w:rPr>
          <w:rFonts w:ascii="Arial" w:cs="Arial" w:eastAsia="Arial" w:hAnsi="Arial"/>
          <w:sz w:val="20"/>
          <w:szCs w:val="20"/>
          <w:color w:val="auto"/>
        </w:rPr>
        <w:t>On or after the Applicable Time there shall not have occurred any of the following: (i) a suspension or material limitation in trading in securities generally on the New York Stock Exchange or on NASDAQ; (ii) a suspension or material limitation in trading in the Company’s securities on NASDAQ; (iii) a general moratorium on commercial banking activities declared by either Federal or New York or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57" w:lineRule="exact"/>
        <w:rPr>
          <w:rFonts w:ascii="Arial" w:cs="Arial" w:eastAsia="Arial" w:hAnsi="Arial"/>
          <w:sz w:val="20"/>
          <w:szCs w:val="20"/>
          <w:color w:val="auto"/>
        </w:rPr>
      </w:pPr>
    </w:p>
    <w:p>
      <w:pPr>
        <w:ind w:left="1660" w:hanging="512"/>
        <w:spacing w:after="0"/>
        <w:tabs>
          <w:tab w:leader="none" w:pos="1660"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The Shares at each Time of Delivery shall have been duly listed for quotation on NASDAQ;</w:t>
      </w:r>
    </w:p>
    <w:p>
      <w:pPr>
        <w:spacing w:after="0" w:line="80" w:lineRule="exact"/>
        <w:rPr>
          <w:rFonts w:ascii="Arial" w:cs="Arial" w:eastAsia="Arial" w:hAnsi="Arial"/>
          <w:sz w:val="20"/>
          <w:szCs w:val="20"/>
          <w:color w:val="auto"/>
        </w:rPr>
      </w:pPr>
    </w:p>
    <w:p>
      <w:pPr>
        <w:ind w:left="660" w:right="20" w:firstLine="488"/>
        <w:spacing w:after="0" w:line="234" w:lineRule="auto"/>
        <w:tabs>
          <w:tab w:leader="none" w:pos="1639"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The Company shall have complied with the provisions of Section 5(c) hereof with respect to the furnishing of prospectuses on the New York Business Day next succeeding the date of this Agreement;</w:t>
      </w:r>
    </w:p>
    <w:p>
      <w:pPr>
        <w:spacing w:after="0" w:line="51" w:lineRule="exact"/>
        <w:rPr>
          <w:rFonts w:ascii="Arial" w:cs="Arial" w:eastAsia="Arial" w:hAnsi="Arial"/>
          <w:sz w:val="20"/>
          <w:szCs w:val="20"/>
          <w:color w:val="auto"/>
        </w:rPr>
      </w:pPr>
    </w:p>
    <w:p>
      <w:pPr>
        <w:jc w:val="both"/>
        <w:ind w:left="660" w:firstLine="488"/>
        <w:spacing w:after="0" w:line="220" w:lineRule="auto"/>
        <w:tabs>
          <w:tab w:leader="none" w:pos="1761"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you may reasonably request; and</w:t>
      </w:r>
    </w:p>
    <w:p>
      <w:pPr>
        <w:spacing w:after="0" w:line="39" w:lineRule="exact"/>
        <w:rPr>
          <w:rFonts w:ascii="Arial" w:cs="Arial" w:eastAsia="Arial" w:hAnsi="Arial"/>
          <w:sz w:val="20"/>
          <w:szCs w:val="20"/>
          <w:color w:val="auto"/>
        </w:rPr>
      </w:pPr>
    </w:p>
    <w:p>
      <w:pPr>
        <w:jc w:val="both"/>
        <w:ind w:left="660" w:firstLine="488"/>
        <w:spacing w:after="0" w:line="231" w:lineRule="auto"/>
        <w:tabs>
          <w:tab w:leader="none" w:pos="1733"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The Company shall have obtained and delivered to the Underwriter executed copies of an agreement from each executive officer, director, and certain other stockholders of the Company listed on Schedule III hereto, substantially to the effect set forth in Annex I hereto in form and substance satisfactory to you;</w:t>
      </w:r>
    </w:p>
    <w:p>
      <w:pPr>
        <w:spacing w:after="0" w:line="37" w:lineRule="exact"/>
        <w:rPr>
          <w:rFonts w:ascii="Arial" w:cs="Arial" w:eastAsia="Arial" w:hAnsi="Arial"/>
          <w:sz w:val="20"/>
          <w:szCs w:val="20"/>
          <w:color w:val="auto"/>
        </w:rPr>
      </w:pPr>
    </w:p>
    <w:p>
      <w:pPr>
        <w:jc w:val="both"/>
        <w:ind w:firstLine="656"/>
        <w:spacing w:after="0" w:line="214" w:lineRule="auto"/>
        <w:tabs>
          <w:tab w:leader="none" w:pos="1206"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The Company will indemnify and hold harmless the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“roadshow” as defined in Rule 433(h) under the Act (a “roadshow”), or any Testing-the-Waters Communication, or arise out of or are based upon the omission or alleged omission to state therein a material fact required to be stated therein or necessary to make the statements therein not misleading, and will reimburse the Underwriter for any legal or other expenses reasonably incurred by such Underwriter in connection with investigating or defending any such action or claim as such expenses are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provided, however, that the Company shall not be liable in any such case to the extent that any such loss, claim, damage or</w:t>
      </w:r>
    </w:p>
    <w:p>
      <w:pPr>
        <w:spacing w:after="0" w:line="215" w:lineRule="auto"/>
        <w:rPr>
          <w:sz w:val="20"/>
          <w:szCs w:val="20"/>
          <w:color w:val="auto"/>
        </w:rPr>
      </w:pPr>
      <w:r>
        <w:rPr>
          <w:rFonts w:ascii="Arial" w:cs="Arial" w:eastAsia="Arial" w:hAnsi="Arial"/>
          <w:sz w:val="19"/>
          <w:szCs w:val="19"/>
          <w:color w:val="auto"/>
        </w:rPr>
        <w:t>liability arises out of or is based upon an untrue statement or alleged untrue statement or omission or alleged omission made in the Registration Statement, the Basic Prospectus, any Preliminary Prospectus, the Pricing Prospectus or the Prospectus, or any</w:t>
      </w:r>
    </w:p>
    <w:p>
      <w:pPr>
        <w:ind w:right="20"/>
        <w:spacing w:after="0" w:line="232" w:lineRule="auto"/>
        <w:rPr>
          <w:sz w:val="20"/>
          <w:szCs w:val="20"/>
          <w:color w:val="auto"/>
        </w:rPr>
      </w:pPr>
      <w:r>
        <w:rPr>
          <w:rFonts w:ascii="Arial" w:cs="Arial" w:eastAsia="Arial" w:hAnsi="Arial"/>
          <w:sz w:val="20"/>
          <w:szCs w:val="20"/>
          <w:color w:val="auto"/>
        </w:rPr>
        <w:t>amendment or supplement thereto, or any Testing-the-Waters Communication, in reliance upon and in conformity with the Underwriter Information.</w:t>
      </w:r>
    </w:p>
    <w:p>
      <w:pPr>
        <w:spacing w:after="0" w:line="37" w:lineRule="exact"/>
        <w:rPr>
          <w:sz w:val="20"/>
          <w:szCs w:val="20"/>
          <w:color w:val="auto"/>
        </w:rPr>
      </w:pPr>
    </w:p>
    <w:p>
      <w:pPr>
        <w:jc w:val="both"/>
        <w:ind w:firstLine="656"/>
        <w:spacing w:after="0" w:line="210" w:lineRule="auto"/>
        <w:tabs>
          <w:tab w:leader="none" w:pos="1178"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Underwriter will indemnify and hold harmless the Company, its directors, each of its officers who signed the Registration Statement, and each person, if any who controls the Company within the meaning of Section 15 of the Act or Section 20 of the Exchange Act (collectively, “Indemnified Persons”), against any losses, claims, damages or liabilities to which they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amendment or supplement thereto, or any roadshow or any Testing-the-Waters Communication, in reliance upon and in conformity with the Underwriter Information; and will reimburse the Company and its Indemnified Persons for any legal or other expenses reasonably incurred by the Company in connection with investigating or defending any such action or claim as such expenses are incurred. As used in this Agreement with respect to the Underwriter and an applicable document, “Underwriter Information” shall mean the written information furnished to the Company by the Underwriter expressly for use therein; it being understood and agreed upon that the only such information furnished by the Underwriter consists of the following information in the Prospectus furnished on behalf of the Underwriter: the concession and reallowance figures appearing in the 6th paragraph under the caption “Underwriting”, and the information contained in the 15th, 16th and 17th paragraph under the caption “Underwriting”.</w:t>
      </w:r>
    </w:p>
    <w:p>
      <w:pPr>
        <w:spacing w:after="0" w:line="51" w:lineRule="exact"/>
        <w:rPr>
          <w:rFonts w:ascii="Arial" w:cs="Arial" w:eastAsia="Arial" w:hAnsi="Arial"/>
          <w:sz w:val="20"/>
          <w:szCs w:val="20"/>
          <w:color w:val="auto"/>
        </w:rPr>
      </w:pPr>
    </w:p>
    <w:p>
      <w:pPr>
        <w:jc w:val="both"/>
        <w:ind w:firstLine="656"/>
        <w:spacing w:after="0" w:line="221" w:lineRule="auto"/>
        <w:tabs>
          <w:tab w:leader="none" w:pos="1123" w:val="left"/>
        </w:tabs>
        <w:numPr>
          <w:ilvl w:val="0"/>
          <w:numId w:val="28"/>
        </w:numPr>
        <w:rPr>
          <w:rFonts w:ascii="Arial" w:cs="Arial" w:eastAsia="Arial" w:hAnsi="Arial"/>
          <w:sz w:val="19"/>
          <w:szCs w:val="19"/>
          <w:color w:val="auto"/>
        </w:rPr>
      </w:pPr>
      <w:r>
        <w:rPr>
          <w:rFonts w:ascii="Arial" w:cs="Arial" w:eastAsia="Arial" w:hAnsi="Arial"/>
          <w:sz w:val="19"/>
          <w:szCs w:val="19"/>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behalf of any indemnified party. The indemnifying party shall not be liable for any settlement of any proceeding effected without</w:t>
      </w:r>
    </w:p>
    <w:p>
      <w:pPr>
        <w:spacing w:after="0" w:line="215" w:lineRule="auto"/>
        <w:rPr>
          <w:sz w:val="20"/>
          <w:szCs w:val="20"/>
          <w:color w:val="auto"/>
        </w:rPr>
      </w:pPr>
      <w:r>
        <w:rPr>
          <w:rFonts w:ascii="Arial" w:cs="Arial" w:eastAsia="Arial" w:hAnsi="Arial"/>
          <w:sz w:val="19"/>
          <w:szCs w:val="19"/>
          <w:color w:val="auto"/>
        </w:rPr>
        <w:t>its written consent, but if settled with such consent or if there be a final judgment for the plaintiff, the indemnifying party agrees to indemnify the indemnified party from and against any loss or liability by reason of such settlement or judgment. Notwithstanding</w:t>
      </w:r>
    </w:p>
    <w:p>
      <w:pPr>
        <w:spacing w:after="0" w:line="211" w:lineRule="auto"/>
        <w:rPr>
          <w:sz w:val="20"/>
          <w:szCs w:val="20"/>
          <w:color w:val="auto"/>
        </w:rPr>
      </w:pPr>
      <w:r>
        <w:rPr>
          <w:rFonts w:ascii="Arial" w:cs="Arial" w:eastAsia="Arial" w:hAnsi="Arial"/>
          <w:sz w:val="20"/>
          <w:szCs w:val="20"/>
          <w:color w:val="auto"/>
        </w:rPr>
        <w:t>the foregoing sentence, if at any time an indemnified party shall have requested an indemnifying party to reimburse the</w:t>
      </w:r>
    </w:p>
    <w:p>
      <w:pPr>
        <w:spacing w:after="0" w:line="215" w:lineRule="auto"/>
        <w:rPr>
          <w:sz w:val="20"/>
          <w:szCs w:val="20"/>
          <w:color w:val="auto"/>
        </w:rPr>
      </w:pPr>
      <w:r>
        <w:rPr>
          <w:rFonts w:ascii="Arial" w:cs="Arial" w:eastAsia="Arial" w:hAnsi="Arial"/>
          <w:sz w:val="19"/>
          <w:szCs w:val="19"/>
          <w:color w:val="auto"/>
        </w:rPr>
        <w:t>indemnified party for fees and expenses of counsel as contemplated by this Section 9, the indemnifying party agrees that it shall be liable for any settlement of any proceeding effected without its written consent if (i) such settlement is entered into more than</w:t>
      </w:r>
    </w:p>
    <w:p>
      <w:pPr>
        <w:spacing w:after="0" w:line="211" w:lineRule="auto"/>
        <w:rPr>
          <w:sz w:val="20"/>
          <w:szCs w:val="20"/>
          <w:color w:val="auto"/>
        </w:rPr>
      </w:pPr>
      <w:r>
        <w:rPr>
          <w:rFonts w:ascii="Arial" w:cs="Arial" w:eastAsia="Arial" w:hAnsi="Arial"/>
          <w:sz w:val="20"/>
          <w:szCs w:val="20"/>
          <w:color w:val="auto"/>
        </w:rPr>
        <w:t>45 days after receipt by such indemnifying party of the aforesaid request, (ii) such indemnifying party shall have received notice</w:t>
      </w:r>
    </w:p>
    <w:p>
      <w:pPr>
        <w:ind w:right="20"/>
        <w:spacing w:after="0" w:line="225" w:lineRule="auto"/>
        <w:rPr>
          <w:sz w:val="20"/>
          <w:szCs w:val="20"/>
          <w:color w:val="auto"/>
        </w:rPr>
      </w:pPr>
      <w:r>
        <w:rPr>
          <w:rFonts w:ascii="Arial" w:cs="Arial" w:eastAsia="Arial" w:hAnsi="Arial"/>
          <w:sz w:val="20"/>
          <w:szCs w:val="20"/>
          <w:color w:val="auto"/>
        </w:rPr>
        <w:t>of the terms of such settlement at least 30 days prior to such settlement being entered into, and (iii) such indemnifying party shall not have reimbursed the indemnified party in accordance with such request prior to the date of such settlement.</w:t>
      </w:r>
    </w:p>
    <w:p>
      <w:pPr>
        <w:spacing w:after="0" w:line="50" w:lineRule="exact"/>
        <w:rPr>
          <w:sz w:val="20"/>
          <w:szCs w:val="20"/>
          <w:color w:val="auto"/>
        </w:rPr>
      </w:pPr>
    </w:p>
    <w:p>
      <w:pPr>
        <w:jc w:val="both"/>
        <w:ind w:firstLine="656"/>
        <w:spacing w:after="0" w:line="208" w:lineRule="auto"/>
        <w:tabs>
          <w:tab w:leader="none" w:pos="1149"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 on the other shall be deemed to be in the same proportion as the total net proceeds from the offering (before deducting expenses) received by the Company bear to the total underwriting discounts and commissions received by the Underwriter,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 on the other and the parties' relative intent, knowledge, access to information and opportunity to correct or prevent such statement or omission. The Company and the Underwriter agree that it would not be just and equitable if contribution pursuant to this subsection (d) were determined by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allocation (even if the Underwriter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65" w:lineRule="exact"/>
        <w:rPr>
          <w:rFonts w:ascii="Arial" w:cs="Arial" w:eastAsia="Arial" w:hAnsi="Arial"/>
          <w:sz w:val="20"/>
          <w:szCs w:val="20"/>
          <w:color w:val="auto"/>
        </w:rPr>
      </w:pPr>
    </w:p>
    <w:p>
      <w:pPr>
        <w:jc w:val="both"/>
        <w:ind w:firstLine="656"/>
        <w:spacing w:after="0" w:line="220" w:lineRule="auto"/>
        <w:tabs>
          <w:tab w:leader="none" w:pos="117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obligations of the Company under this Section 9 shall be in addition to any liability which the Company may otherwise have and shall extend, upon the same terms and conditions, to each employee, officer and director of each Underwriter, each person, if any, who controls any Underwriter within the meaning of the Act and each broker-dealer or other affiliate of the Underwriter; and the obligations of the Underwriter under this Section 9 shall be in addition to any liability which the Underwriter may otherwise have and shall extend, upon the same terms and conditions,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officer and director of the Company and to each person, if any, who controls the Company within the meaning of the Act.</w:t>
      </w:r>
    </w:p>
    <w:p>
      <w:pPr>
        <w:spacing w:after="0" w:line="81" w:lineRule="exact"/>
        <w:rPr>
          <w:sz w:val="20"/>
          <w:szCs w:val="20"/>
          <w:color w:val="auto"/>
        </w:rPr>
      </w:pPr>
    </w:p>
    <w:p>
      <w:pPr>
        <w:ind w:left="1160" w:hanging="504"/>
        <w:spacing w:after="0"/>
        <w:tabs>
          <w:tab w:leader="none" w:pos="11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[Reserved]</w:t>
      </w:r>
    </w:p>
    <w:p>
      <w:pPr>
        <w:spacing w:after="0" w:line="67" w:lineRule="exact"/>
        <w:rPr>
          <w:rFonts w:ascii="Arial" w:cs="Arial" w:eastAsia="Arial" w:hAnsi="Arial"/>
          <w:sz w:val="20"/>
          <w:szCs w:val="20"/>
          <w:color w:val="auto"/>
        </w:rPr>
      </w:pPr>
    </w:p>
    <w:p>
      <w:pPr>
        <w:jc w:val="both"/>
        <w:ind w:firstLine="656"/>
        <w:spacing w:after="0" w:line="219" w:lineRule="auto"/>
        <w:tabs>
          <w:tab w:leader="none" w:pos="1142"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respective indemnities, rights of contribution, agreements, representations, warranties and other statements of the Company and the Underwriter, as set forth in this Agreement or made by or on behalf of them, respectively, pursuant to this Agreement, shall remain in full force and effect, regardless of any investigation (or any statement as to the results thereof) made by or on behalf of the Underwriter or any director, officer, employee, affiliate or controlling person of the Underwriter, or the Company, or any officer or director or controlling person of the Company, and shall survive delivery of and payment for the Shares.</w:t>
      </w:r>
    </w:p>
    <w:p>
      <w:pPr>
        <w:spacing w:after="0" w:line="36" w:lineRule="exact"/>
        <w:rPr>
          <w:rFonts w:ascii="Arial" w:cs="Arial" w:eastAsia="Arial" w:hAnsi="Arial"/>
          <w:sz w:val="20"/>
          <w:szCs w:val="20"/>
          <w:color w:val="auto"/>
        </w:rPr>
      </w:pPr>
    </w:p>
    <w:p>
      <w:pPr>
        <w:jc w:val="both"/>
        <w:ind w:firstLine="656"/>
        <w:spacing w:after="0" w:line="216" w:lineRule="auto"/>
        <w:tabs>
          <w:tab w:leader="none" w:pos="1231" w:val="left"/>
        </w:tabs>
        <w:numPr>
          <w:ilvl w:val="0"/>
          <w:numId w:val="30"/>
        </w:numPr>
        <w:rPr>
          <w:rFonts w:ascii="Arial" w:cs="Arial" w:eastAsia="Arial" w:hAnsi="Arial"/>
          <w:sz w:val="20"/>
          <w:szCs w:val="20"/>
          <w:color w:val="auto"/>
        </w:rPr>
      </w:pPr>
      <w:r>
        <w:rPr>
          <w:rFonts w:ascii="Arial" w:cs="Arial" w:eastAsia="Arial" w:hAnsi="Arial"/>
          <w:sz w:val="20"/>
          <w:szCs w:val="20"/>
          <w:color w:val="auto"/>
        </w:rPr>
        <w:t>If this Agreement shall be terminated pursuant to Section 10 hereof, the Company shall not then be under any liability to the Underwriter except as provided in Sections 7 and 9 hereof; but, if for any other reason, any Shares are not delivered by or on behalf of the Company as provided herein, the Company will reimburse the Underwriter for all documented out-of-pocket expenses approved in writing by the Company, including reasonable and documented fees and disbursements of counsel, reasonably incurred by the Underwriter in making preparations for the purchase, sale and delivery of the Shares not so delivered, but the Company shall then be under no further liability to the Underwriter except as provided in Sections 7 and 9 hereof.</w:t>
      </w:r>
    </w:p>
    <w:p>
      <w:pPr>
        <w:spacing w:after="0" w:line="49" w:lineRule="exact"/>
        <w:rPr>
          <w:rFonts w:ascii="Arial" w:cs="Arial" w:eastAsia="Arial" w:hAnsi="Arial"/>
          <w:sz w:val="20"/>
          <w:szCs w:val="20"/>
          <w:color w:val="auto"/>
        </w:rPr>
      </w:pPr>
    </w:p>
    <w:p>
      <w:pPr>
        <w:ind w:left="1160" w:hanging="504"/>
        <w:spacing w:after="0"/>
        <w:tabs>
          <w:tab w:leader="none" w:pos="11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[Reserved]</w:t>
      </w:r>
    </w:p>
    <w:p>
      <w:pPr>
        <w:spacing w:after="0" w:line="81"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All statements, requests, notices and agreements hereunder shall be in writing, and if to the Underwriter shall be delivered or sent by mail, telex or facsimile transmission to you at Jefferies LLC, 520 Madison Avenue, New York, New York</w:t>
      </w:r>
    </w:p>
    <w:p>
      <w:pPr>
        <w:spacing w:after="0" w:line="198" w:lineRule="auto"/>
        <w:rPr>
          <w:sz w:val="20"/>
          <w:szCs w:val="20"/>
          <w:color w:val="auto"/>
        </w:rPr>
      </w:pPr>
      <w:r>
        <w:rPr>
          <w:rFonts w:ascii="Arial" w:cs="Arial" w:eastAsia="Arial" w:hAnsi="Arial"/>
          <w:sz w:val="20"/>
          <w:szCs w:val="20"/>
          <w:color w:val="auto"/>
        </w:rPr>
        <w:t>10022, Attention: General Counsel; and if to the Company shall be delivered or sent by mail, telex or facsimile transmission to</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the address of the Company set forth in the Registration Statement, Attention: Secretary. Any such statements, requests, notices or agreements shall take effect upon receipt thereof.</w:t>
      </w:r>
    </w:p>
    <w:p>
      <w:pPr>
        <w:spacing w:after="0" w:line="50"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In accordance with the requirements of the USA Patriot Act (Title III of Pub. L. 107-56 (signed into law October 26, 2001)), the underwriters are required to obtain, verify and record information that identifies their respective clients, including the</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Company, which information may include the name and address of their respective clients, as well as other information that will allow the underwriter to properly identify their respective clients.</w:t>
      </w:r>
    </w:p>
    <w:p>
      <w:pPr>
        <w:spacing w:after="0" w:line="37" w:lineRule="exact"/>
        <w:rPr>
          <w:sz w:val="20"/>
          <w:szCs w:val="20"/>
          <w:color w:val="auto"/>
        </w:rPr>
      </w:pPr>
    </w:p>
    <w:p>
      <w:pPr>
        <w:jc w:val="both"/>
        <w:ind w:firstLine="656"/>
        <w:spacing w:after="0" w:line="219" w:lineRule="auto"/>
        <w:tabs>
          <w:tab w:leader="none" w:pos="11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This Agreement shall be binding upon, and inure solely to the benefit of, the Underwriter, the Company and, to the extent provided in Sections 8 and 10 hereof, the officers and directors of the Company and each person who controls the Company or the Underwriter, or any director, officer, employee, or affiliate of the Underwriter, and their respective heirs, executors, administrators, successors and assigns, and no other person shall acquire or have any right under or by virtue of this Agreement. No purchaser of any of the Shares from the Underwriter shall be deemed a successor or assign by reason merely of such purchase.</w:t>
      </w:r>
    </w:p>
    <w:p>
      <w:pPr>
        <w:spacing w:after="0" w:line="36" w:lineRule="exact"/>
        <w:rPr>
          <w:rFonts w:ascii="Arial" w:cs="Arial" w:eastAsia="Arial" w:hAnsi="Arial"/>
          <w:sz w:val="20"/>
          <w:szCs w:val="20"/>
          <w:color w:val="auto"/>
        </w:rPr>
      </w:pPr>
    </w:p>
    <w:p>
      <w:pPr>
        <w:ind w:firstLine="656"/>
        <w:spacing w:after="0" w:line="243" w:lineRule="auto"/>
        <w:tabs>
          <w:tab w:leader="none" w:pos="1152" w:val="left"/>
        </w:tabs>
        <w:numPr>
          <w:ilvl w:val="0"/>
          <w:numId w:val="31"/>
        </w:numPr>
        <w:rPr>
          <w:rFonts w:ascii="Arial" w:cs="Arial" w:eastAsia="Arial" w:hAnsi="Arial"/>
          <w:sz w:val="20"/>
          <w:szCs w:val="20"/>
          <w:color w:val="auto"/>
        </w:rPr>
      </w:pPr>
      <w:r>
        <w:rPr>
          <w:rFonts w:ascii="Arial" w:cs="Arial" w:eastAsia="Arial" w:hAnsi="Arial"/>
          <w:sz w:val="20"/>
          <w:szCs w:val="20"/>
          <w:color w:val="auto"/>
        </w:rPr>
        <w:t>Time shall be of the essence of this Agreement. As used herein, the term “business day” shall mean any day when the Commission’s office in Washington, D.C. is open for business.</w:t>
      </w:r>
    </w:p>
    <w:p>
      <w:pPr>
        <w:spacing w:after="0" w:line="47" w:lineRule="exact"/>
        <w:rPr>
          <w:rFonts w:ascii="Arial" w:cs="Arial" w:eastAsia="Arial" w:hAnsi="Arial"/>
          <w:sz w:val="20"/>
          <w:szCs w:val="20"/>
          <w:color w:val="auto"/>
        </w:rPr>
      </w:pPr>
    </w:p>
    <w:p>
      <w:pPr>
        <w:jc w:val="both"/>
        <w:ind w:firstLine="656"/>
        <w:spacing w:after="0" w:line="213" w:lineRule="auto"/>
        <w:tabs>
          <w:tab w:leader="none" w:pos="1142"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Company acknowledges and agrees that (i) the purchase and sale of the Shares pursuant to this Agreement is an arm's-length commercial transaction between the Company, on the one hand, and the Underwriter, on the other, (ii) in connection therewith and with the process leading to such transaction the Underwriter is acting solely as a principal and not the agent or fiduciary of the Company, (iii) the Underwriter has not assumed an advisory or fiduciary responsibility in favor of the Company with respect to the offering contemplated hereby or the process leading thereto (irrespective of whether the Underwriter has advised or is currently advising the Company on other matters) or any other obligation to the Company except the obligations expressly set forth in this Agreement, (iv) the Company has consulted its own legal and financial advisors to the extent it deemed appropriate, and (v) none of the activities of the Underwriter in connection with the transactions contemplated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constitutes a recommendation, investment advice, or solicitation of any action by the Underwriter with respect to any entity or</w:t>
      </w:r>
    </w:p>
    <w:p>
      <w:pPr>
        <w:spacing w:after="0" w:line="204" w:lineRule="auto"/>
        <w:rPr>
          <w:sz w:val="20"/>
          <w:szCs w:val="20"/>
          <w:color w:val="auto"/>
        </w:rPr>
      </w:pPr>
      <w:r>
        <w:rPr>
          <w:rFonts w:ascii="Arial" w:cs="Arial" w:eastAsia="Arial" w:hAnsi="Arial"/>
          <w:sz w:val="20"/>
          <w:szCs w:val="20"/>
          <w:color w:val="auto"/>
        </w:rPr>
        <w:t>natural person. The Company agrees that it will not claim that the Underwriter, or any of them, has rendered advisory services of any nature or respect, or owes a fiduciary or similar duty to the Company, in connection with such transaction or the process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leading thereto.</w:t>
      </w:r>
    </w:p>
    <w:p>
      <w:pPr>
        <w:spacing w:after="0" w:line="63" w:lineRule="exact"/>
        <w:rPr>
          <w:sz w:val="20"/>
          <w:szCs w:val="20"/>
          <w:color w:val="auto"/>
        </w:rPr>
      </w:pPr>
    </w:p>
    <w:p>
      <w:pPr>
        <w:ind w:firstLine="656"/>
        <w:spacing w:after="0" w:line="234" w:lineRule="auto"/>
        <w:tabs>
          <w:tab w:leader="none" w:pos="1314"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This Agreement supersedes all prior agreements and understandings (whether written or oral) between the Company and the Underwriter, or any of them, with respect to the subject matter hereof.</w:t>
      </w:r>
    </w:p>
    <w:p>
      <w:pPr>
        <w:spacing w:after="0" w:line="49" w:lineRule="exact"/>
        <w:rPr>
          <w:rFonts w:ascii="Arial" w:cs="Arial" w:eastAsia="Arial" w:hAnsi="Arial"/>
          <w:sz w:val="20"/>
          <w:szCs w:val="20"/>
          <w:color w:val="auto"/>
        </w:rPr>
      </w:pPr>
    </w:p>
    <w:p>
      <w:pPr>
        <w:jc w:val="both"/>
        <w:ind w:firstLine="656"/>
        <w:spacing w:after="0" w:line="217" w:lineRule="auto"/>
        <w:tabs>
          <w:tab w:leader="none" w:pos="1164"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This Agreement and any transaction contemplated by this Agreement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44" w:lineRule="exact"/>
        <w:rPr>
          <w:rFonts w:ascii="Arial" w:cs="Arial" w:eastAsia="Arial" w:hAnsi="Arial"/>
          <w:sz w:val="20"/>
          <w:szCs w:val="20"/>
          <w:b w:val="1"/>
          <w:bCs w:val="1"/>
          <w:color w:val="auto"/>
        </w:rPr>
      </w:pPr>
    </w:p>
    <w:p>
      <w:pPr>
        <w:jc w:val="both"/>
        <w:ind w:firstLine="656"/>
        <w:spacing w:after="0" w:line="227" w:lineRule="auto"/>
        <w:tabs>
          <w:tab w:leader="none" w:pos="1204"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Company and the Underwriter hereby irrevocably waives, to the fullest extent permitted by applicable law, any and all right to trial by jury in any legal proceeding arising out of or relating to this Agreement or the transactions contemplated hereby.</w:t>
      </w:r>
    </w:p>
    <w:p>
      <w:pPr>
        <w:spacing w:after="0" w:line="49" w:lineRule="exact"/>
        <w:rPr>
          <w:rFonts w:ascii="Arial" w:cs="Arial" w:eastAsia="Arial" w:hAnsi="Arial"/>
          <w:sz w:val="20"/>
          <w:szCs w:val="20"/>
          <w:color w:val="auto"/>
        </w:rPr>
      </w:pPr>
    </w:p>
    <w:p>
      <w:pPr>
        <w:jc w:val="both"/>
        <w:ind w:firstLine="656"/>
        <w:spacing w:after="0" w:line="216" w:lineRule="auto"/>
        <w:tabs>
          <w:tab w:leader="none" w:pos="1275"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Notwithstanding anything herein to the contrary, the Company is authorized to disclose to any persons the U.S. federal and state tax treatment and tax structure of the potential transaction and all materials of any kind (including tax opinions and other tax analyses) provided to the Company relating to that treatment and structure, without the Underwriter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40" w:lineRule="exact"/>
        <w:rPr>
          <w:rFonts w:ascii="Arial" w:cs="Arial" w:eastAsia="Arial" w:hAnsi="Arial"/>
          <w:sz w:val="20"/>
          <w:szCs w:val="20"/>
          <w:color w:val="auto"/>
        </w:rPr>
      </w:pPr>
    </w:p>
    <w:p>
      <w:pPr>
        <w:jc w:val="both"/>
        <w:ind w:firstLine="656"/>
        <w:spacing w:after="0" w:line="219" w:lineRule="auto"/>
        <w:tabs>
          <w:tab w:leader="none" w:pos="1157"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36" w:lineRule="exact"/>
        <w:rPr>
          <w:rFonts w:ascii="Arial" w:cs="Arial" w:eastAsia="Arial" w:hAnsi="Arial"/>
          <w:sz w:val="20"/>
          <w:szCs w:val="20"/>
          <w:color w:val="auto"/>
        </w:rPr>
      </w:pPr>
    </w:p>
    <w:p>
      <w:pPr>
        <w:ind w:left="1160" w:hanging="504"/>
        <w:spacing w:after="0"/>
        <w:tabs>
          <w:tab w:leader="none" w:pos="11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Recognition of the U.S. Special Resolution Regimes.</w:t>
      </w:r>
    </w:p>
    <w:p>
      <w:pPr>
        <w:spacing w:after="0" w:line="324" w:lineRule="exact"/>
        <w:rPr>
          <w:sz w:val="20"/>
          <w:szCs w:val="20"/>
          <w:color w:val="auto"/>
        </w:rPr>
      </w:pPr>
    </w:p>
    <w:p>
      <w:pPr>
        <w:jc w:val="both"/>
        <w:ind w:firstLine="656"/>
        <w:spacing w:after="0" w:line="220" w:lineRule="auto"/>
        <w:tabs>
          <w:tab w:leader="none" w:pos="1295"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 the event that the Underwriter that is a Covered Entity becomes subject to a proceeding under a U.S. Special Resolution Regime, the transfer from the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47" w:lineRule="exact"/>
        <w:rPr>
          <w:rFonts w:ascii="Arial" w:cs="Arial" w:eastAsia="Arial" w:hAnsi="Arial"/>
          <w:sz w:val="20"/>
          <w:szCs w:val="20"/>
          <w:color w:val="auto"/>
        </w:rPr>
      </w:pPr>
    </w:p>
    <w:p>
      <w:pPr>
        <w:jc w:val="both"/>
        <w:ind w:firstLine="656"/>
        <w:spacing w:after="0" w:line="223" w:lineRule="auto"/>
        <w:tabs>
          <w:tab w:leader="none" w:pos="1288"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 the event that the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ind w:left="1160" w:hanging="504"/>
        <w:spacing w:after="0"/>
        <w:tabs>
          <w:tab w:leader="none" w:pos="11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As used in this section:</w:t>
      </w:r>
    </w:p>
    <w:p>
      <w:pPr>
        <w:spacing w:after="0" w:line="189"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“BHC Act Affiliate” has the meaning assigned to the term “affiliate” in, and shall be interpreted in accordance with, 12 U.S.C. § 1841(k).</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“Covered Entity” means any of the following:</w:t>
      </w:r>
    </w:p>
    <w:p>
      <w:pPr>
        <w:spacing w:after="0" w:line="189" w:lineRule="exact"/>
        <w:rPr>
          <w:sz w:val="20"/>
          <w:szCs w:val="20"/>
          <w:color w:val="auto"/>
        </w:rPr>
      </w:pPr>
    </w:p>
    <w:p>
      <w:pPr>
        <w:ind w:left="880" w:hanging="224"/>
        <w:spacing w:after="0"/>
        <w:tabs>
          <w:tab w:leader="none" w:pos="8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175" w:lineRule="exact"/>
        <w:rPr>
          <w:rFonts w:ascii="Arial" w:cs="Arial" w:eastAsia="Arial" w:hAnsi="Arial"/>
          <w:sz w:val="20"/>
          <w:szCs w:val="20"/>
          <w:color w:val="auto"/>
        </w:rPr>
      </w:pPr>
    </w:p>
    <w:p>
      <w:pPr>
        <w:ind w:left="940" w:hanging="284"/>
        <w:spacing w:after="0"/>
        <w:tabs>
          <w:tab w:leader="none" w:pos="9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188" w:lineRule="exact"/>
        <w:rPr>
          <w:rFonts w:ascii="Arial" w:cs="Arial" w:eastAsia="Arial" w:hAnsi="Arial"/>
          <w:sz w:val="20"/>
          <w:szCs w:val="20"/>
          <w:color w:val="auto"/>
        </w:rPr>
      </w:pPr>
    </w:p>
    <w:p>
      <w:pPr>
        <w:ind w:left="980" w:hanging="324"/>
        <w:spacing w:after="0"/>
        <w:tabs>
          <w:tab w:leader="none" w:pos="9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189"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“Default Right” has the meaning assigned to that term in, and shall be interpreted in accordance with, 12 C.F.R. §§ 252.81, 47.2 or 382.1, as applicable.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“U.S. Special Resolution Regime” means each of (i) the Federal Deposit Insurance Act and the regulations promulgated</w:t>
      </w:r>
    </w:p>
    <w:p>
      <w:pPr>
        <w:spacing w:after="0" w:line="2"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00"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19"/>
          <w:szCs w:val="19"/>
          <w:color w:val="auto"/>
        </w:rPr>
        <w:t>If the foregoing is in accordance with your understanding, please sign and return to us counterparts hereof, and upon the</w:t>
      </w:r>
    </w:p>
    <w:p>
      <w:pPr>
        <w:spacing w:after="0" w:line="2"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acceptance hereof by you, this letter and such acceptance hereof shall constitute a binding agreement between the Underwriter and the Company.</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Very truly yours,</w:t>
      </w:r>
    </w:p>
    <w:p>
      <w:pPr>
        <w:spacing w:after="0" w:line="18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GeneDx Holdings Corp.: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80"/>
        <w:spacing w:after="0"/>
        <w:rPr>
          <w:sz w:val="20"/>
          <w:szCs w:val="20"/>
          <w:color w:val="auto"/>
        </w:rPr>
      </w:pPr>
      <w:r>
        <w:rPr>
          <w:rFonts w:ascii="Arial" w:cs="Arial" w:eastAsia="Arial" w:hAnsi="Arial"/>
          <w:sz w:val="20"/>
          <w:szCs w:val="20"/>
          <w:color w:val="auto"/>
        </w:rPr>
        <w:t>By:</w:t>
      </w:r>
    </w:p>
    <w:p>
      <w:pPr>
        <w:ind w:left="5460"/>
        <w:spacing w:after="0" w:line="211" w:lineRule="auto"/>
        <w:rPr>
          <w:sz w:val="20"/>
          <w:szCs w:val="20"/>
          <w:color w:val="auto"/>
        </w:rPr>
      </w:pPr>
      <w:r>
        <w:rPr>
          <w:rFonts w:ascii="Arial" w:cs="Arial" w:eastAsia="Arial" w:hAnsi="Arial"/>
          <w:sz w:val="20"/>
          <w:szCs w:val="20"/>
          <w:color w:val="auto"/>
        </w:rPr>
        <w:t>Name: Kevin Feeley</w:t>
      </w:r>
    </w:p>
    <w:p>
      <w:pPr>
        <w:ind w:left="5460"/>
        <w:spacing w:after="0"/>
        <w:rPr>
          <w:sz w:val="20"/>
          <w:szCs w:val="20"/>
          <w:color w:val="auto"/>
        </w:rPr>
      </w:pPr>
      <w:r>
        <w:rPr>
          <w:rFonts w:ascii="Arial" w:cs="Arial" w:eastAsia="Arial" w:hAnsi="Arial"/>
          <w:sz w:val="20"/>
          <w:szCs w:val="20"/>
          <w:color w:val="auto"/>
        </w:rPr>
        <w:t>Title: Chief Financial Officer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Accepted as of the date hereof:</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Jefferies LLC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11" w:lineRule="auto"/>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00" w:right="339" w:bottom="1440" w:gutter="0" w:footer="0" w:header="0"/>
        </w:sectPr>
      </w:pPr>
    </w:p>
    <w:bookmarkStart w:id="29" w:name="page30"/>
    <w:bookmarkEnd w:id="29"/>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880" w:type="dxa"/>
            <w:vAlign w:val="bottom"/>
            <w:gridSpan w:val="2"/>
          </w:tcPr>
          <w:p>
            <w:pPr>
              <w:ind w:left="1140"/>
              <w:spacing w:after="0"/>
              <w:rPr>
                <w:sz w:val="20"/>
                <w:szCs w:val="20"/>
                <w:color w:val="auto"/>
              </w:rPr>
            </w:pPr>
            <w:r>
              <w:rPr>
                <w:rFonts w:ascii="Arial" w:cs="Arial" w:eastAsia="Arial" w:hAnsi="Arial"/>
                <w:sz w:val="20"/>
                <w:szCs w:val="20"/>
                <w:b w:val="1"/>
                <w:bCs w:val="1"/>
                <w:color w:val="auto"/>
              </w:rPr>
              <w:t>SCHEDULE I</w:t>
            </w:r>
          </w:p>
        </w:tc>
        <w:tc>
          <w:tcPr>
            <w:tcW w:w="24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Maximum Number</w:t>
            </w: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20"/>
                <w:szCs w:val="20"/>
                <w:b w:val="1"/>
                <w:bCs w:val="1"/>
                <w:color w:val="auto"/>
                <w:w w:val="97"/>
              </w:rPr>
              <w:t>Number of</w:t>
            </w:r>
          </w:p>
        </w:tc>
        <w:tc>
          <w:tcPr>
            <w:tcW w:w="2460" w:type="dxa"/>
            <w:vAlign w:val="bottom"/>
          </w:tcPr>
          <w:p>
            <w:pPr>
              <w:jc w:val="center"/>
              <w:spacing w:after="0"/>
              <w:rPr>
                <w:sz w:val="20"/>
                <w:szCs w:val="20"/>
                <w:color w:val="auto"/>
              </w:rPr>
            </w:pPr>
            <w:r>
              <w:rPr>
                <w:rFonts w:ascii="Arial" w:cs="Arial" w:eastAsia="Arial" w:hAnsi="Arial"/>
                <w:sz w:val="20"/>
                <w:szCs w:val="20"/>
                <w:b w:val="1"/>
                <w:bCs w:val="1"/>
                <w:color w:val="auto"/>
                <w:w w:val="98"/>
              </w:rPr>
              <w:t>of Optional</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2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8"/>
              </w:rPr>
              <w:t>Firm Shares</w:t>
            </w:r>
          </w:p>
        </w:tc>
        <w:tc>
          <w:tcPr>
            <w:tcW w:w="246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8"/>
              </w:rPr>
              <w:t>Shares Which</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22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8"/>
              </w:rPr>
              <w:t>to be Purchased</w:t>
            </w:r>
          </w:p>
        </w:tc>
        <w:tc>
          <w:tcPr>
            <w:tcW w:w="2460" w:type="dxa"/>
            <w:vAlign w:val="bottom"/>
          </w:tcPr>
          <w:p>
            <w:pPr>
              <w:jc w:val="center"/>
              <w:spacing w:after="0" w:line="189" w:lineRule="exact"/>
              <w:rPr>
                <w:sz w:val="20"/>
                <w:szCs w:val="20"/>
                <w:color w:val="auto"/>
              </w:rPr>
            </w:pPr>
            <w:r>
              <w:rPr>
                <w:rFonts w:ascii="Arial" w:cs="Arial" w:eastAsia="Arial" w:hAnsi="Arial"/>
                <w:sz w:val="20"/>
                <w:szCs w:val="20"/>
                <w:b w:val="1"/>
                <w:bCs w:val="1"/>
                <w:color w:val="auto"/>
                <w:w w:val="97"/>
              </w:rPr>
              <w:t>May be</w:t>
            </w:r>
          </w:p>
        </w:tc>
        <w:tc>
          <w:tcPr>
            <w:tcW w:w="0" w:type="dxa"/>
            <w:vAlign w:val="bottom"/>
          </w:tcPr>
          <w:p>
            <w:pPr>
              <w:spacing w:after="0"/>
              <w:rPr>
                <w:sz w:val="1"/>
                <w:szCs w:val="1"/>
                <w:color w:val="auto"/>
              </w:rPr>
            </w:pPr>
          </w:p>
        </w:tc>
      </w:tr>
      <w:tr>
        <w:trPr>
          <w:trHeight w:val="273"/>
        </w:trPr>
        <w:tc>
          <w:tcPr>
            <w:tcW w:w="2580" w:type="dxa"/>
            <w:vAlign w:val="bottom"/>
          </w:tcPr>
          <w:p>
            <w:pPr>
              <w:spacing w:after="0"/>
              <w:rPr>
                <w:sz w:val="23"/>
                <w:szCs w:val="23"/>
                <w:color w:val="auto"/>
              </w:rPr>
            </w:pPr>
          </w:p>
        </w:tc>
        <w:tc>
          <w:tcPr>
            <w:tcW w:w="600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Underwriter</w:t>
            </w:r>
          </w:p>
        </w:tc>
        <w:tc>
          <w:tcPr>
            <w:tcW w:w="2460" w:type="dxa"/>
            <w:vAlign w:val="bottom"/>
          </w:tcPr>
          <w:p>
            <w:pPr>
              <w:jc w:val="center"/>
              <w:spacing w:after="0"/>
              <w:rPr>
                <w:sz w:val="20"/>
                <w:szCs w:val="20"/>
                <w:color w:val="auto"/>
              </w:rPr>
            </w:pPr>
            <w:r>
              <w:rPr>
                <w:rFonts w:ascii="Arial" w:cs="Arial" w:eastAsia="Arial" w:hAnsi="Arial"/>
                <w:sz w:val="20"/>
                <w:szCs w:val="20"/>
                <w:b w:val="1"/>
                <w:bCs w:val="1"/>
                <w:color w:val="auto"/>
                <w:w w:val="99"/>
              </w:rPr>
              <w:t>Purchased</w:t>
            </w:r>
          </w:p>
        </w:tc>
        <w:tc>
          <w:tcPr>
            <w:tcW w:w="0" w:type="dxa"/>
            <w:vAlign w:val="bottom"/>
          </w:tcPr>
          <w:p>
            <w:pPr>
              <w:spacing w:after="0"/>
              <w:rPr>
                <w:sz w:val="1"/>
                <w:szCs w:val="1"/>
                <w:color w:val="auto"/>
              </w:rPr>
            </w:pPr>
          </w:p>
        </w:tc>
      </w:tr>
      <w:tr>
        <w:trPr>
          <w:trHeight w:val="64"/>
        </w:trPr>
        <w:tc>
          <w:tcPr>
            <w:tcW w:w="2580" w:type="dxa"/>
            <w:vAlign w:val="bottom"/>
          </w:tcPr>
          <w:p>
            <w:pPr>
              <w:spacing w:after="0"/>
              <w:rPr>
                <w:sz w:val="5"/>
                <w:szCs w:val="5"/>
                <w:color w:val="auto"/>
              </w:rPr>
            </w:pPr>
          </w:p>
        </w:tc>
        <w:tc>
          <w:tcPr>
            <w:tcW w:w="6000" w:type="dxa"/>
            <w:vAlign w:val="bottom"/>
            <w:gridSpan w:val="3"/>
            <w:vMerge w:val="continue"/>
          </w:tcPr>
          <w:p>
            <w:pPr>
              <w:spacing w:after="0"/>
              <w:rPr>
                <w:sz w:val="5"/>
                <w:szCs w:val="5"/>
                <w:color w:val="auto"/>
              </w:rPr>
            </w:pPr>
          </w:p>
        </w:tc>
        <w:tc>
          <w:tcPr>
            <w:tcW w:w="2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80" w:type="dxa"/>
            <w:vAlign w:val="bottom"/>
            <w:vMerge w:val="restart"/>
          </w:tcPr>
          <w:p>
            <w:pPr>
              <w:spacing w:after="0"/>
              <w:rPr>
                <w:sz w:val="20"/>
                <w:szCs w:val="20"/>
                <w:color w:val="auto"/>
              </w:rPr>
            </w:pPr>
            <w:r>
              <w:rPr>
                <w:rFonts w:ascii="Arial" w:cs="Arial" w:eastAsia="Arial" w:hAnsi="Arial"/>
                <w:sz w:val="20"/>
                <w:szCs w:val="20"/>
                <w:color w:val="auto"/>
              </w:rPr>
              <w:t>Jefferies LLC</w:t>
            </w:r>
          </w:p>
        </w:tc>
        <w:tc>
          <w:tcPr>
            <w:tcW w:w="112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580" w:type="dxa"/>
            <w:vAlign w:val="bottom"/>
            <w:vMerge w:val="continue"/>
          </w:tcPr>
          <w:p>
            <w:pPr>
              <w:spacing w:after="0"/>
              <w:rPr>
                <w:sz w:val="24"/>
                <w:szCs w:val="24"/>
                <w:color w:val="auto"/>
              </w:rPr>
            </w:pPr>
          </w:p>
        </w:tc>
        <w:tc>
          <w:tcPr>
            <w:tcW w:w="6000" w:type="dxa"/>
            <w:vAlign w:val="bottom"/>
            <w:gridSpan w:val="3"/>
          </w:tcPr>
          <w:p>
            <w:pPr>
              <w:jc w:val="center"/>
              <w:ind w:left="3641"/>
              <w:spacing w:after="0"/>
              <w:rPr>
                <w:sz w:val="20"/>
                <w:szCs w:val="20"/>
                <w:color w:val="auto"/>
              </w:rPr>
            </w:pPr>
            <w:r>
              <w:rPr>
                <w:rFonts w:ascii="Arial" w:cs="Arial" w:eastAsia="Arial" w:hAnsi="Arial"/>
                <w:sz w:val="20"/>
                <w:szCs w:val="20"/>
                <w:color w:val="auto"/>
                <w:w w:val="98"/>
              </w:rPr>
              <w:t>328,751,429</w:t>
            </w:r>
          </w:p>
        </w:tc>
        <w:tc>
          <w:tcPr>
            <w:tcW w:w="2460" w:type="dxa"/>
            <w:vAlign w:val="bottom"/>
            <w:vMerge w:val="restart"/>
          </w:tcPr>
          <w:p>
            <w:pPr>
              <w:jc w:val="right"/>
              <w:ind w:right="701"/>
              <w:spacing w:after="0"/>
              <w:rPr>
                <w:sz w:val="20"/>
                <w:szCs w:val="20"/>
                <w:color w:val="auto"/>
              </w:rPr>
            </w:pPr>
            <w:r>
              <w:rPr>
                <w:rFonts w:ascii="Arial" w:cs="Arial" w:eastAsia="Arial" w:hAnsi="Arial"/>
                <w:sz w:val="20"/>
                <w:szCs w:val="20"/>
                <w:color w:val="auto"/>
              </w:rPr>
              <w:t>49,285,714</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500" w:top="1440" w:right="359" w:bottom="1440" w:gutter="0" w:footer="0" w:header="0"/>
        </w:sectPr>
      </w:pPr>
    </w:p>
    <w:bookmarkStart w:id="30" w:name="page31"/>
    <w:bookmarkEnd w:id="30"/>
    <w:p>
      <w:pPr>
        <w:spacing w:after="0" w:line="175" w:lineRule="exact"/>
        <w:rPr>
          <w:sz w:val="20"/>
          <w:szCs w:val="20"/>
          <w:color w:val="auto"/>
        </w:rPr>
      </w:pPr>
    </w:p>
    <w:p>
      <w:pPr>
        <w:ind w:left="4992"/>
        <w:spacing w:after="0"/>
        <w:rPr>
          <w:sz w:val="20"/>
          <w:szCs w:val="20"/>
          <w:color w:val="auto"/>
        </w:rPr>
      </w:pPr>
      <w:r>
        <w:rPr>
          <w:rFonts w:ascii="Arial" w:cs="Arial" w:eastAsia="Arial" w:hAnsi="Arial"/>
          <w:sz w:val="20"/>
          <w:szCs w:val="20"/>
          <w:b w:val="1"/>
          <w:bCs w:val="1"/>
          <w:color w:val="auto"/>
        </w:rPr>
        <w:t>SCHEDULE II</w:t>
      </w:r>
    </w:p>
    <w:p>
      <w:pPr>
        <w:spacing w:after="0" w:line="43" w:lineRule="exact"/>
        <w:rPr>
          <w:sz w:val="20"/>
          <w:szCs w:val="20"/>
          <w:color w:val="auto"/>
        </w:rPr>
      </w:pPr>
    </w:p>
    <w:p>
      <w:pPr>
        <w:ind w:left="212" w:right="2360" w:hanging="212"/>
        <w:spacing w:after="0" w:line="206" w:lineRule="auto"/>
        <w:tabs>
          <w:tab w:leader="none" w:pos="292"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Information other than the Pricing Prospectus that comprise the Pricing Disclosure Package: The initial public offering price per share for the Shares is $0.35</w:t>
      </w:r>
    </w:p>
    <w:p>
      <w:pPr>
        <w:ind w:left="212"/>
        <w:spacing w:after="0"/>
        <w:rPr>
          <w:rFonts w:ascii="Arial" w:cs="Arial" w:eastAsia="Arial" w:hAnsi="Arial"/>
          <w:sz w:val="20"/>
          <w:szCs w:val="20"/>
          <w:color w:val="auto"/>
        </w:rPr>
      </w:pPr>
      <w:r>
        <w:rPr>
          <w:rFonts w:ascii="Arial" w:cs="Arial" w:eastAsia="Arial" w:hAnsi="Arial"/>
          <w:sz w:val="20"/>
          <w:szCs w:val="20"/>
          <w:color w:val="auto"/>
        </w:rPr>
        <w:t>The number of Shares purchased by the Underwriter is 328,571,429.</w:t>
      </w:r>
    </w:p>
    <w:p>
      <w:pPr>
        <w:spacing w:after="0" w:line="174" w:lineRule="exact"/>
        <w:rPr>
          <w:rFonts w:ascii="Arial" w:cs="Arial" w:eastAsia="Arial" w:hAnsi="Arial"/>
          <w:sz w:val="20"/>
          <w:szCs w:val="20"/>
          <w:color w:val="auto"/>
        </w:rPr>
      </w:pPr>
    </w:p>
    <w:p>
      <w:pPr>
        <w:ind w:left="292" w:hanging="292"/>
        <w:spacing w:after="0"/>
        <w:tabs>
          <w:tab w:leader="none" w:pos="292" w:val="left"/>
        </w:tabs>
        <w:numPr>
          <w:ilvl w:val="0"/>
          <w:numId w:val="36"/>
        </w:numPr>
        <w:rPr>
          <w:rFonts w:ascii="Arial" w:cs="Arial" w:eastAsia="Arial" w:hAnsi="Arial"/>
          <w:sz w:val="20"/>
          <w:szCs w:val="20"/>
          <w:color w:val="auto"/>
        </w:rPr>
      </w:pPr>
      <w:r>
        <w:rPr>
          <w:rFonts w:ascii="Arial" w:cs="Arial" w:eastAsia="Arial" w:hAnsi="Arial"/>
          <w:sz w:val="20"/>
          <w:szCs w:val="20"/>
          <w:color w:val="auto"/>
        </w:rPr>
        <w:t>Written Testing-the-Waters Communications:</w:t>
      </w:r>
    </w:p>
    <w:p>
      <w:pPr>
        <w:ind w:left="652"/>
        <w:spacing w:after="0" w:line="225" w:lineRule="auto"/>
        <w:rPr>
          <w:sz w:val="20"/>
          <w:szCs w:val="20"/>
          <w:color w:val="auto"/>
        </w:rPr>
      </w:pPr>
      <w:r>
        <w:rPr>
          <w:rFonts w:ascii="Arial" w:cs="Arial" w:eastAsia="Arial" w:hAnsi="Arial"/>
          <w:sz w:val="20"/>
          <w:szCs w:val="20"/>
          <w:color w:val="auto"/>
        </w:rPr>
        <w:t>Reference is made to the materials used in the testing the waters presentations made to potential investors by the Company, to the extent such materials are deemed to be a “written communication” within the meaning of Rule 405 under the Act</w:t>
      </w:r>
    </w:p>
    <w:p>
      <w:pPr>
        <w:sectPr>
          <w:pgSz w:w="11900" w:h="16838" w:orient="portrait"/>
          <w:cols w:equalWidth="0" w:num="1">
            <w:col w:w="10712"/>
          </w:cols>
          <w:pgMar w:left="328" w:top="1440" w:right="859" w:bottom="1440" w:gutter="0" w:footer="0" w:header="0"/>
        </w:sectPr>
      </w:pPr>
    </w:p>
    <w:bookmarkStart w:id="31" w:name="page32"/>
    <w:bookmarkEnd w:id="31"/>
    <w:p>
      <w:pPr>
        <w:jc w:val="center"/>
        <w:ind w:right="-1120"/>
        <w:spacing w:after="0"/>
        <w:rPr>
          <w:sz w:val="20"/>
          <w:szCs w:val="20"/>
          <w:color w:val="auto"/>
        </w:rPr>
      </w:pPr>
      <w:r>
        <w:rPr>
          <w:rFonts w:ascii="Arial" w:cs="Arial" w:eastAsia="Arial" w:hAnsi="Arial"/>
          <w:sz w:val="20"/>
          <w:szCs w:val="20"/>
          <w:b w:val="1"/>
          <w:bCs w:val="1"/>
          <w:color w:val="auto"/>
        </w:rPr>
        <w:t>SCHEDULE III</w:t>
      </w:r>
    </w:p>
    <w:p>
      <w:pPr>
        <w:spacing w:after="0" w:line="189"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Lock-Up Persons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Jason Ryan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Eli Casdin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Dennis Charney</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Emily Leproust</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Keith Meister</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Mike Pellini</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Richard Pfenninger, Jr.</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Joshua Ruch</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Rachel Sherman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Katherine Stueland</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Officers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Kevin Feeley</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Kareem Saad</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Karen White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Shareholders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Corvex Management, L.P.</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Casdin Partners Master Fund L.P.</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Icahn School of Medicine at Mount Sinai</w:t>
      </w:r>
    </w:p>
    <w:p>
      <w:pPr>
        <w:sectPr>
          <w:pgSz w:w="11900" w:h="16838" w:orient="portrait"/>
          <w:cols w:equalWidth="0" w:num="1">
            <w:col w:w="10139"/>
          </w:cols>
          <w:pgMar w:left="320" w:top="1398" w:right="1440"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I</w:t>
      </w:r>
    </w:p>
    <w:p>
      <w:pPr>
        <w:spacing w:after="0" w:line="35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The undersigned understands that you, as underwriter (the “Underwriter”), propose to enter into an underwriting agreement</w:t>
      </w:r>
    </w:p>
    <w:p>
      <w:pPr>
        <w:spacing w:after="0" w:line="204" w:lineRule="auto"/>
        <w:rPr>
          <w:sz w:val="20"/>
          <w:szCs w:val="20"/>
          <w:color w:val="auto"/>
        </w:rPr>
      </w:pPr>
      <w:r>
        <w:rPr>
          <w:rFonts w:ascii="Arial" w:cs="Arial" w:eastAsia="Arial" w:hAnsi="Arial"/>
          <w:sz w:val="20"/>
          <w:szCs w:val="20"/>
          <w:color w:val="auto"/>
        </w:rPr>
        <w:t>(the “Underwriting Agreement”), with GeneDx Holdings Corp., a Delaware corporation (the “Company”), providing for a public offering (the “Public Offering”) of shares (the “Shares”) of the Class A common stock, par value $0.0001 per share, of the</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Company (the “Common Stock”) pursuant to a Registration Statement on Form S-3 (File No. 333-267112) (the “Registration Statement”) that has been filed with the Securities and Exchange Commission (the “SEC”).</w:t>
      </w:r>
    </w:p>
    <w:p>
      <w:pPr>
        <w:spacing w:after="0" w:line="131"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In consideration of the agreement by the Underwriter to offer and sell the Shares, and of other good and valuable consideration the receipt and sufficiency of which is hereby acknowledged, the undersigned agrees that, during the period</w:t>
      </w:r>
    </w:p>
    <w:p>
      <w:pPr>
        <w:spacing w:after="0" w:line="212" w:lineRule="auto"/>
        <w:rPr>
          <w:sz w:val="20"/>
          <w:szCs w:val="20"/>
          <w:color w:val="auto"/>
        </w:rPr>
      </w:pPr>
      <w:r>
        <w:rPr>
          <w:rFonts w:ascii="Arial" w:cs="Arial" w:eastAsia="Arial" w:hAnsi="Arial"/>
          <w:sz w:val="20"/>
          <w:szCs w:val="20"/>
          <w:color w:val="auto"/>
        </w:rPr>
        <w:t>beginning from the date of this Lock-Up Agreement and continuing to and including the date 60 days after the date of the final</w:t>
      </w:r>
    </w:p>
    <w:p>
      <w:pPr>
        <w:spacing w:after="0" w:line="1" w:lineRule="exact"/>
        <w:rPr>
          <w:sz w:val="20"/>
          <w:szCs w:val="20"/>
          <w:color w:val="auto"/>
        </w:rPr>
      </w:pPr>
    </w:p>
    <w:p>
      <w:pPr>
        <w:ind w:right="20"/>
        <w:spacing w:after="0" w:line="204" w:lineRule="auto"/>
        <w:rPr>
          <w:sz w:val="20"/>
          <w:szCs w:val="20"/>
          <w:color w:val="auto"/>
        </w:rPr>
      </w:pPr>
      <w:r>
        <w:rPr>
          <w:rFonts w:ascii="Arial" w:cs="Arial" w:eastAsia="Arial" w:hAnsi="Arial"/>
          <w:sz w:val="20"/>
          <w:szCs w:val="20"/>
          <w:color w:val="auto"/>
        </w:rPr>
        <w:t>prospectus relating to the Public Offering (the “Prospectus”) (such period, the “Lock-Up Period”) (provided, that if (a) any other lock-up agreement signed by a stockholder of the Company (“Other Lock-Up Party”) in connection with the Public Offering</w:t>
      </w:r>
    </w:p>
    <w:p>
      <w:pPr>
        <w:spacing w:after="0" w:line="211" w:lineRule="auto"/>
        <w:rPr>
          <w:sz w:val="20"/>
          <w:szCs w:val="20"/>
          <w:color w:val="auto"/>
        </w:rPr>
      </w:pPr>
      <w:r>
        <w:rPr>
          <w:rFonts w:ascii="Arial" w:cs="Arial" w:eastAsia="Arial" w:hAnsi="Arial"/>
          <w:sz w:val="20"/>
          <w:szCs w:val="20"/>
          <w:color w:val="auto"/>
        </w:rPr>
        <w:t>includes a lock-up period of less than 60 days or otherwise has more favorable terms to such stockholder than the terms set</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forth herein, the terms hereof shall be automatically amended to reflect such more favorable terms, and (b) any Other Lock-Up Party is released from any or all of the lock-up restrictions under any such other lock-up agreement, the undersigned shall</w:t>
      </w:r>
    </w:p>
    <w:p>
      <w:pPr>
        <w:spacing w:after="0" w:line="211" w:lineRule="auto"/>
        <w:rPr>
          <w:sz w:val="20"/>
          <w:szCs w:val="20"/>
          <w:color w:val="auto"/>
        </w:rPr>
      </w:pPr>
      <w:r>
        <w:rPr>
          <w:rFonts w:ascii="Arial" w:cs="Arial" w:eastAsia="Arial" w:hAnsi="Arial"/>
          <w:sz w:val="20"/>
          <w:szCs w:val="20"/>
          <w:color w:val="auto"/>
        </w:rPr>
        <w:t>automatically and contemporaneously be released from the lock-up restrictions hereunder, and in each case you shall provide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prompt notice thereof to the undersigned), the undersigned shall not, and shall not cause or direct any of its affiliates to, (i) offer, sell, contract to sell, pledge, grant any option, right or warrant to purchase, purchase any option or contract to sell, lend or</w:t>
      </w:r>
    </w:p>
    <w:p>
      <w:pPr>
        <w:spacing w:after="0" w:line="211" w:lineRule="auto"/>
        <w:rPr>
          <w:sz w:val="20"/>
          <w:szCs w:val="20"/>
          <w:color w:val="auto"/>
        </w:rPr>
      </w:pPr>
      <w:r>
        <w:rPr>
          <w:rFonts w:ascii="Arial" w:cs="Arial" w:eastAsia="Arial" w:hAnsi="Arial"/>
          <w:sz w:val="20"/>
          <w:szCs w:val="20"/>
          <w:color w:val="auto"/>
        </w:rPr>
        <w:t>otherwise transfer or dispose of any shares of Common Stock, or any options or warrants to purchase any shares of Common</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Stock, or any securities convertible into, exchangeable for or that represent the right to receive shares of Common Stock (such shares of Common Stock, options, rights, warrants or other securities, collectively, “Lock-Up Securities”), including without</w:t>
      </w:r>
    </w:p>
    <w:p>
      <w:pPr>
        <w:spacing w:after="0" w:line="223" w:lineRule="auto"/>
        <w:rPr>
          <w:sz w:val="20"/>
          <w:szCs w:val="20"/>
          <w:color w:val="auto"/>
        </w:rPr>
      </w:pPr>
      <w:r>
        <w:rPr>
          <w:rFonts w:ascii="Arial" w:cs="Arial" w:eastAsia="Arial" w:hAnsi="Arial"/>
          <w:sz w:val="19"/>
          <w:szCs w:val="19"/>
          <w:color w:val="auto"/>
        </w:rPr>
        <w:t>limitation any such Lock-Up Securities now owned or hereafter acquired by the undersigned, (ii) engage in any hedging or other</w:t>
      </w:r>
    </w:p>
    <w:p>
      <w:pPr>
        <w:jc w:val="both"/>
        <w:spacing w:after="0" w:line="204" w:lineRule="auto"/>
        <w:rPr>
          <w:sz w:val="20"/>
          <w:szCs w:val="20"/>
          <w:color w:val="auto"/>
        </w:rPr>
      </w:pPr>
      <w:r>
        <w:rPr>
          <w:rFonts w:ascii="Arial" w:cs="Arial" w:eastAsia="Arial" w:hAnsi="Arial"/>
          <w:sz w:val="20"/>
          <w:szCs w:val="20"/>
          <w:color w:val="auto"/>
        </w:rPr>
        <w:t>transaction or arrangement (including, without limitation, any short sale or the purchase or sale of, or entry into, any put or call option, or combination thereof, forward, swap or any other derivative transaction or instrument, however described or defined)</w:t>
      </w:r>
    </w:p>
    <w:p>
      <w:pPr>
        <w:spacing w:after="0" w:line="211" w:lineRule="auto"/>
        <w:rPr>
          <w:sz w:val="20"/>
          <w:szCs w:val="20"/>
          <w:color w:val="auto"/>
        </w:rPr>
      </w:pPr>
      <w:r>
        <w:rPr>
          <w:rFonts w:ascii="Arial" w:cs="Arial" w:eastAsia="Arial" w:hAnsi="Arial"/>
          <w:sz w:val="20"/>
          <w:szCs w:val="20"/>
          <w:color w:val="auto"/>
        </w:rPr>
        <w:t>which is designed to or which reasonably could be expected to lead to or result in a sale, loan, pledge or other disposition</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(whether by the undersigned or someone other than the undersigned), or transfer of any of the economic consequences of ownership, in whole or in part, directly or indirectly, of any Lock-Up Securities, whether any such transaction or arrangement (or</w:t>
      </w:r>
    </w:p>
    <w:p>
      <w:pPr>
        <w:spacing w:after="0" w:line="222" w:lineRule="auto"/>
        <w:rPr>
          <w:sz w:val="20"/>
          <w:szCs w:val="20"/>
          <w:color w:val="auto"/>
        </w:rPr>
      </w:pPr>
      <w:r>
        <w:rPr>
          <w:rFonts w:ascii="Arial" w:cs="Arial" w:eastAsia="Arial" w:hAnsi="Arial"/>
          <w:sz w:val="19"/>
          <w:szCs w:val="19"/>
          <w:color w:val="auto"/>
        </w:rPr>
        <w:t>instrument provided for thereunder) would be settled by delivery of Common Stock or other securities, in cash or otherwise (any</w:t>
      </w:r>
    </w:p>
    <w:p>
      <w:pPr>
        <w:spacing w:after="0" w:line="204" w:lineRule="auto"/>
        <w:rPr>
          <w:sz w:val="20"/>
          <w:szCs w:val="20"/>
          <w:color w:val="auto"/>
        </w:rPr>
      </w:pPr>
      <w:r>
        <w:rPr>
          <w:rFonts w:ascii="Arial" w:cs="Arial" w:eastAsia="Arial" w:hAnsi="Arial"/>
          <w:sz w:val="20"/>
          <w:szCs w:val="20"/>
          <w:color w:val="auto"/>
        </w:rPr>
        <w:t>such sale, loan, pledge or other disposition, or transfer of economic consequences, a “Transfer”), (iii) make any demand for or exercise any right with respect to the registration of any Lock-Up Securities or (iv) otherwise publicly announce any intention to</w:t>
      </w:r>
    </w:p>
    <w:p>
      <w:pPr>
        <w:spacing w:after="0" w:line="211" w:lineRule="auto"/>
        <w:rPr>
          <w:sz w:val="20"/>
          <w:szCs w:val="20"/>
          <w:color w:val="auto"/>
        </w:rPr>
      </w:pPr>
      <w:r>
        <w:rPr>
          <w:rFonts w:ascii="Arial" w:cs="Arial" w:eastAsia="Arial" w:hAnsi="Arial"/>
          <w:sz w:val="20"/>
          <w:szCs w:val="20"/>
          <w:color w:val="auto"/>
        </w:rPr>
        <w:t>engage in or cause any action, activity, transaction or arrangement described in clause (i), (ii) or (iii) above. The undersigned</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represents and warrants that the undersigned is not, and has not caused or directed any of its affiliates to be or become, currently a party to any agreement or arrangement that provides for, is designed to or reasonably could be expected to lead to or</w:t>
      </w:r>
    </w:p>
    <w:p>
      <w:pPr>
        <w:spacing w:after="0"/>
        <w:rPr>
          <w:sz w:val="20"/>
          <w:szCs w:val="20"/>
          <w:color w:val="auto"/>
        </w:rPr>
      </w:pPr>
      <w:r>
        <w:rPr>
          <w:rFonts w:ascii="Arial" w:cs="Arial" w:eastAsia="Arial" w:hAnsi="Arial"/>
          <w:sz w:val="20"/>
          <w:szCs w:val="20"/>
          <w:color w:val="auto"/>
        </w:rPr>
        <w:t>result in any Transfer during the Lock-Up Period.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the foregoing, the undersigned may:</w:t>
      </w:r>
    </w:p>
    <w:p>
      <w:pPr>
        <w:spacing w:after="0" w:line="162" w:lineRule="exact"/>
        <w:rPr>
          <w:sz w:val="20"/>
          <w:szCs w:val="20"/>
          <w:color w:val="auto"/>
        </w:rPr>
      </w:pPr>
    </w:p>
    <w:p>
      <w:pPr>
        <w:jc w:val="both"/>
        <w:ind w:left="980" w:hanging="324"/>
        <w:spacing w:after="0" w:line="245" w:lineRule="auto"/>
        <w:tabs>
          <w:tab w:leader="none" w:pos="979"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transfer the undersigned’s Lock-Up Securities (i) as one or more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gifts or charitable contributions, or for </w:t>
      </w:r>
      <w:r>
        <w:rPr>
          <w:rFonts w:ascii="Arial" w:cs="Arial" w:eastAsia="Arial" w:hAnsi="Arial"/>
          <w:sz w:val="19"/>
          <w:szCs w:val="19"/>
          <w:i w:val="1"/>
          <w:iCs w:val="1"/>
          <w:color w:val="auto"/>
        </w:rPr>
        <w:t xml:space="preserve">bona fide </w:t>
      </w:r>
      <w:r>
        <w:rPr>
          <w:rFonts w:ascii="Arial" w:cs="Arial" w:eastAsia="Arial" w:hAnsi="Arial"/>
          <w:sz w:val="19"/>
          <w:szCs w:val="19"/>
          <w:color w:val="auto"/>
        </w:rPr>
        <w:t>estate planning purposes, (ii) upon death by will, testamentary document or intestate succession, (iii) if the</w:t>
      </w:r>
      <w:r>
        <w:rPr>
          <w:rFonts w:ascii="Arial" w:cs="Arial" w:eastAsia="Arial" w:hAnsi="Arial"/>
          <w:sz w:val="19"/>
          <w:szCs w:val="19"/>
          <w:i w:val="1"/>
          <w:iCs w:val="1"/>
          <w:color w:val="auto"/>
        </w:rPr>
        <w:t xml:space="preserve"> </w:t>
      </w:r>
      <w:r>
        <w:rPr>
          <w:rFonts w:ascii="Arial" w:cs="Arial" w:eastAsia="Arial" w:hAnsi="Arial"/>
          <w:sz w:val="19"/>
          <w:szCs w:val="19"/>
          <w:color w:val="auto"/>
        </w:rPr>
        <w:t>undersigned is a natural person, to any member of the undersigned’s immediate family (for purposes of this 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Arial" w:cs="Arial" w:eastAsia="Arial" w:hAnsi="Arial"/>
          <w:sz w:val="20"/>
          <w:szCs w:val="20"/>
          <w:color w:val="auto"/>
        </w:rPr>
        <w:t>Agreement, “immediate family” shall mean any relationship by blood, current or former marriage, domestic</w:t>
      </w:r>
    </w:p>
    <w:p>
      <w:pPr>
        <w:spacing w:after="0" w:line="204" w:lineRule="auto"/>
        <w:rPr>
          <w:sz w:val="20"/>
          <w:szCs w:val="20"/>
          <w:color w:val="auto"/>
        </w:rPr>
      </w:pPr>
      <w:r>
        <w:rPr>
          <w:rFonts w:ascii="Arial" w:cs="Arial" w:eastAsia="Arial" w:hAnsi="Arial"/>
          <w:sz w:val="20"/>
          <w:szCs w:val="20"/>
          <w:color w:val="auto"/>
        </w:rPr>
        <w:t>partnership or adoption, not more remote than first cousin) or to any trust for the direct or indirect benefit of the undersigned or the immediate family of the undersigned or, if the undersigned is a trust, to a trustor or beneficiary of</w:t>
      </w:r>
    </w:p>
    <w:p>
      <w:pPr>
        <w:spacing w:after="0" w:line="211" w:lineRule="auto"/>
        <w:rPr>
          <w:sz w:val="20"/>
          <w:szCs w:val="20"/>
          <w:color w:val="auto"/>
        </w:rPr>
      </w:pPr>
      <w:r>
        <w:rPr>
          <w:rFonts w:ascii="Arial" w:cs="Arial" w:eastAsia="Arial" w:hAnsi="Arial"/>
          <w:sz w:val="20"/>
          <w:szCs w:val="20"/>
          <w:color w:val="auto"/>
        </w:rPr>
        <w:t>the trust or the estate of a beneficiary of such trust, (iv) to a partnership, limited liability company or other entity of</w:t>
      </w:r>
    </w:p>
    <w:p>
      <w:pPr>
        <w:spacing w:after="0" w:line="1" w:lineRule="exact"/>
        <w:rPr>
          <w:sz w:val="20"/>
          <w:szCs w:val="20"/>
          <w:color w:val="auto"/>
        </w:rPr>
      </w:pPr>
    </w:p>
    <w:p>
      <w:pPr>
        <w:ind w:right="20"/>
        <w:spacing w:after="0" w:line="204" w:lineRule="auto"/>
        <w:rPr>
          <w:sz w:val="20"/>
          <w:szCs w:val="20"/>
          <w:color w:val="auto"/>
        </w:rPr>
      </w:pPr>
      <w:r>
        <w:rPr>
          <w:rFonts w:ascii="Arial" w:cs="Arial" w:eastAsia="Arial" w:hAnsi="Arial"/>
          <w:sz w:val="20"/>
          <w:szCs w:val="20"/>
          <w:color w:val="auto"/>
        </w:rPr>
        <w:t>which the undersigned and the immediate family of the undersigned are the legal and beneficial owner of all of the outstanding equity securities or similar interests, (v) to a nominee or custodian of a person or entity to whom a</w:t>
      </w:r>
    </w:p>
    <w:p>
      <w:pPr>
        <w:spacing w:after="0" w:line="211" w:lineRule="auto"/>
        <w:rPr>
          <w:sz w:val="20"/>
          <w:szCs w:val="20"/>
          <w:color w:val="auto"/>
        </w:rPr>
      </w:pPr>
      <w:r>
        <w:rPr>
          <w:rFonts w:ascii="Arial" w:cs="Arial" w:eastAsia="Arial" w:hAnsi="Arial"/>
          <w:sz w:val="20"/>
          <w:szCs w:val="20"/>
          <w:color w:val="auto"/>
        </w:rPr>
        <w:t>disposition or transfer would be permissible under clauses (a)(i) through (iv) above, (vi) if the undersigned is a</w:t>
      </w:r>
    </w:p>
    <w:p>
      <w:pPr>
        <w:spacing w:after="0" w:line="1" w:lineRule="exact"/>
        <w:rPr>
          <w:sz w:val="20"/>
          <w:szCs w:val="20"/>
          <w:color w:val="auto"/>
        </w:rPr>
      </w:pPr>
    </w:p>
    <w:p>
      <w:pPr>
        <w:ind w:right="20"/>
        <w:spacing w:after="0" w:line="215" w:lineRule="auto"/>
        <w:rPr>
          <w:sz w:val="20"/>
          <w:szCs w:val="20"/>
          <w:color w:val="auto"/>
        </w:rPr>
      </w:pPr>
      <w:r>
        <w:rPr>
          <w:rFonts w:ascii="Arial" w:cs="Arial" w:eastAsia="Arial" w:hAnsi="Arial"/>
          <w:sz w:val="19"/>
          <w:szCs w:val="19"/>
          <w:color w:val="auto"/>
        </w:rPr>
        <w:t>corporation, partnership, limited liability company or other business entity, (A) to another corporation, partnership, limited liability company or other business entity that is an affiliate (as defined in Rule 405 under the Securities Act of</w:t>
      </w:r>
    </w:p>
    <w:p>
      <w:pPr>
        <w:spacing w:after="0" w:line="211" w:lineRule="auto"/>
        <w:rPr>
          <w:sz w:val="20"/>
          <w:szCs w:val="20"/>
          <w:color w:val="auto"/>
        </w:rPr>
      </w:pPr>
      <w:r>
        <w:rPr>
          <w:rFonts w:ascii="Arial" w:cs="Arial" w:eastAsia="Arial" w:hAnsi="Arial"/>
          <w:sz w:val="20"/>
          <w:szCs w:val="20"/>
          <w:color w:val="auto"/>
        </w:rPr>
        <w:t>1933, as amended) of the undersigned, or to any investment fund or other entity which fund or entity is controlled or</w:t>
      </w:r>
    </w:p>
    <w:p>
      <w:pPr>
        <w:spacing w:after="0" w:line="215" w:lineRule="auto"/>
        <w:rPr>
          <w:sz w:val="20"/>
          <w:szCs w:val="20"/>
          <w:color w:val="auto"/>
        </w:rPr>
      </w:pPr>
      <w:r>
        <w:rPr>
          <w:rFonts w:ascii="Arial" w:cs="Arial" w:eastAsia="Arial" w:hAnsi="Arial"/>
          <w:sz w:val="19"/>
          <w:szCs w:val="19"/>
          <w:color w:val="auto"/>
        </w:rPr>
        <w:t>managed by the undersigned or affiliates of the undersigned, or (B) as part of a distribution by the undersigned to its stockholders, partners, members or other equityholders or to the estate of any such stockholders, partners, members</w:t>
      </w:r>
    </w:p>
    <w:p>
      <w:pPr>
        <w:spacing w:after="0" w:line="211" w:lineRule="auto"/>
        <w:rPr>
          <w:sz w:val="20"/>
          <w:szCs w:val="20"/>
          <w:color w:val="auto"/>
        </w:rPr>
      </w:pPr>
      <w:r>
        <w:rPr>
          <w:rFonts w:ascii="Arial" w:cs="Arial" w:eastAsia="Arial" w:hAnsi="Arial"/>
          <w:sz w:val="20"/>
          <w:szCs w:val="20"/>
          <w:color w:val="auto"/>
        </w:rPr>
        <w:t>or other equityholders, (vii) by operation of law, such as pursuant to a qualified domestic order, divorce settlement,</w:t>
      </w:r>
    </w:p>
    <w:p>
      <w:pPr>
        <w:spacing w:after="0" w:line="204" w:lineRule="auto"/>
        <w:rPr>
          <w:sz w:val="20"/>
          <w:szCs w:val="20"/>
          <w:color w:val="auto"/>
        </w:rPr>
      </w:pPr>
      <w:r>
        <w:rPr>
          <w:rFonts w:ascii="Arial" w:cs="Arial" w:eastAsia="Arial" w:hAnsi="Arial"/>
          <w:sz w:val="20"/>
          <w:szCs w:val="20"/>
          <w:color w:val="auto"/>
        </w:rPr>
        <w:t>divorce decree or separation agreement, (viii) to the Company from an employee of the Company upon death, disability or termination of employment, in each case, of such employee, (ix) in connection with a sale of the</w:t>
      </w:r>
    </w:p>
    <w:p>
      <w:pPr>
        <w:spacing w:after="0" w:line="211" w:lineRule="auto"/>
        <w:rPr>
          <w:sz w:val="20"/>
          <w:szCs w:val="20"/>
          <w:color w:val="auto"/>
        </w:rPr>
      </w:pPr>
      <w:r>
        <w:rPr>
          <w:rFonts w:ascii="Arial" w:cs="Arial" w:eastAsia="Arial" w:hAnsi="Arial"/>
          <w:sz w:val="20"/>
          <w:szCs w:val="20"/>
          <w:color w:val="auto"/>
        </w:rPr>
        <w:t>undersigned’s Lock-Up Securities acquired (A) from the Underwriter in the Public Offering or (B) in open market</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transactions after the closing date of the Public Offering, (x) in connection with the vesting, conversion, settlement, exchange or exercise of restricted stock units, options, warrants or other rights to purchase or receive shares of</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Common Stock (including, in each case, a transfer to the Company by way of “net” or “cashless” exercise or a sale in the market to cover the payment of tax withholdings or remittance payments due in connection with such vesting,</w:t>
      </w:r>
    </w:p>
    <w:p>
      <w:pPr>
        <w:spacing w:after="0" w:line="211" w:lineRule="auto"/>
        <w:rPr>
          <w:sz w:val="20"/>
          <w:szCs w:val="20"/>
          <w:color w:val="auto"/>
        </w:rPr>
      </w:pPr>
      <w:r>
        <w:rPr>
          <w:rFonts w:ascii="Arial" w:cs="Arial" w:eastAsia="Arial" w:hAnsi="Arial"/>
          <w:sz w:val="20"/>
          <w:szCs w:val="20"/>
          <w:color w:val="auto"/>
        </w:rPr>
        <w:t>conversion, settlement, exchange or exercise), or in connection with the exercise or redemption of warrants or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conversion or redemption of convertible securities, in all such cases pursuant to equity awards or rights granted under a stock incentive plan, other equity award plan or stock purchase plan or inducement awards, or pursuant to</w:t>
      </w:r>
    </w:p>
    <w:p>
      <w:pPr>
        <w:spacing w:after="0" w:line="211" w:lineRule="auto"/>
        <w:rPr>
          <w:sz w:val="20"/>
          <w:szCs w:val="20"/>
          <w:color w:val="auto"/>
        </w:rPr>
      </w:pPr>
      <w:r>
        <w:rPr>
          <w:rFonts w:ascii="Arial" w:cs="Arial" w:eastAsia="Arial" w:hAnsi="Arial"/>
          <w:sz w:val="20"/>
          <w:szCs w:val="20"/>
          <w:color w:val="auto"/>
        </w:rPr>
        <w:t>the terms of warrants or convertible securities, each as described in the Registration Statement, the preliminary</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prospectus relating to the Shares included in the Registration Statement immediately prior to the time the Underwriting Agreement is executed and the Prospectus, provided that any Lock-Up Securities received upon such</w:t>
      </w:r>
    </w:p>
    <w:p>
      <w:pPr>
        <w:spacing w:after="0" w:line="211" w:lineRule="auto"/>
        <w:rPr>
          <w:sz w:val="20"/>
          <w:szCs w:val="20"/>
          <w:color w:val="auto"/>
        </w:rPr>
      </w:pPr>
      <w:r>
        <w:rPr>
          <w:rFonts w:ascii="Arial" w:cs="Arial" w:eastAsia="Arial" w:hAnsi="Arial"/>
          <w:sz w:val="20"/>
          <w:szCs w:val="20"/>
          <w:color w:val="auto"/>
        </w:rPr>
        <w:t>vesting, conversion, settlement, exchange, exercise or redemption, and after giving effect to such transfers to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Company or sale to cover transactions, shall be subject to the terms of this Lock-Up Agreement, (xi) in connection with Shares held by investment funds and accounts advised by the undersigned, pledge and/or lend or hypothecate</w:t>
      </w:r>
    </w:p>
    <w:p>
      <w:pPr>
        <w:spacing w:after="0" w:line="223" w:lineRule="auto"/>
        <w:rPr>
          <w:sz w:val="20"/>
          <w:szCs w:val="20"/>
          <w:color w:val="auto"/>
        </w:rPr>
      </w:pPr>
      <w:r>
        <w:rPr>
          <w:rFonts w:ascii="Arial" w:cs="Arial" w:eastAsia="Arial" w:hAnsi="Arial"/>
          <w:sz w:val="19"/>
          <w:szCs w:val="19"/>
          <w:color w:val="auto"/>
        </w:rPr>
        <w:t>such Shares pursuant to standard margin and pledge agreements entered into by such investment funds or accounts</w:t>
      </w:r>
    </w:p>
    <w:p>
      <w:pPr>
        <w:spacing w:after="0" w:line="204" w:lineRule="auto"/>
        <w:rPr>
          <w:sz w:val="20"/>
          <w:szCs w:val="20"/>
          <w:color w:val="auto"/>
        </w:rPr>
      </w:pPr>
      <w:r>
        <w:rPr>
          <w:rFonts w:ascii="Arial" w:cs="Arial" w:eastAsia="Arial" w:hAnsi="Arial"/>
          <w:sz w:val="20"/>
          <w:szCs w:val="20"/>
          <w:color w:val="auto"/>
        </w:rPr>
        <w:t>with its brokers in the ordinary course of their business, or (xii) with the prior written consent of the Underwriter; provided that (A) in the case of clauses (a)(i), (ii), (iii), (iv), (v) and (vi) above, such transfer or distribution shall not</w:t>
      </w:r>
    </w:p>
    <w:p>
      <w:pPr>
        <w:spacing w:after="0" w:line="211" w:lineRule="auto"/>
        <w:rPr>
          <w:sz w:val="20"/>
          <w:szCs w:val="20"/>
          <w:color w:val="auto"/>
        </w:rPr>
      </w:pPr>
      <w:r>
        <w:rPr>
          <w:rFonts w:ascii="Arial" w:cs="Arial" w:eastAsia="Arial" w:hAnsi="Arial"/>
          <w:sz w:val="20"/>
          <w:szCs w:val="20"/>
          <w:color w:val="auto"/>
        </w:rPr>
        <w:t>involve a disposition for value, (B) in the case of clauses (a)(i), (ii), (iii), (iv), (v), (vi) and (vii) above, it shall be a</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condition to the transfer or distribution that the donee, devisee, transferee or distributee, as the case may be, shall sign and deliver a lock-up agreement in the form of this Lock-Up Agreement, (C) in the case of clauses (a)(i), (ii) and</w:t>
      </w:r>
    </w:p>
    <w:p>
      <w:pPr>
        <w:spacing w:after="0" w:line="211" w:lineRule="auto"/>
        <w:rPr>
          <w:sz w:val="20"/>
          <w:szCs w:val="20"/>
          <w:color w:val="auto"/>
        </w:rPr>
      </w:pPr>
      <w:r>
        <w:rPr>
          <w:rFonts w:ascii="Arial" w:cs="Arial" w:eastAsia="Arial" w:hAnsi="Arial"/>
          <w:sz w:val="20"/>
          <w:szCs w:val="20"/>
          <w:color w:val="auto"/>
        </w:rPr>
        <w:t>(iii), above, no filing by any party (including, without limitation, any donor, donee, devisee, transferor, transferee,</w:t>
      </w:r>
    </w:p>
    <w:p>
      <w:pPr>
        <w:spacing w:after="0" w:line="204" w:lineRule="auto"/>
        <w:rPr>
          <w:sz w:val="20"/>
          <w:szCs w:val="20"/>
          <w:color w:val="auto"/>
        </w:rPr>
      </w:pPr>
      <w:r>
        <w:rPr>
          <w:rFonts w:ascii="Arial" w:cs="Arial" w:eastAsia="Arial" w:hAnsi="Arial"/>
          <w:sz w:val="20"/>
          <w:szCs w:val="20"/>
          <w:color w:val="auto"/>
        </w:rPr>
        <w:t>distributor or distributee) under the Securities Exchange Act of 1934, as amended (the “Exchange Act), or other public filing, report or announcement reporting a reduction in beneficial ownership of Lock-Up Securities shall be</w:t>
      </w:r>
    </w:p>
    <w:p>
      <w:pPr>
        <w:spacing w:after="0" w:line="211" w:lineRule="auto"/>
        <w:rPr>
          <w:sz w:val="20"/>
          <w:szCs w:val="20"/>
          <w:color w:val="auto"/>
        </w:rPr>
      </w:pPr>
      <w:r>
        <w:rPr>
          <w:rFonts w:ascii="Arial" w:cs="Arial" w:eastAsia="Arial" w:hAnsi="Arial"/>
          <w:sz w:val="20"/>
          <w:szCs w:val="20"/>
          <w:color w:val="auto"/>
        </w:rPr>
        <w:t>required or shall be voluntarily made in connection with such transfer or distribution, and (D) in the case of clauses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(a)(iv), (v), (vi), (vii), (viii), (ix) and (x) above, no filing under the Exchange Act or other public filing, report or announcement shall be voluntarily made, and if any such filing, report or announcement shall be legally required</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during the Lock-Up Period, such filing, report or announcement shall clearly indicate in the footnotes thereto (A) the circumstances of such transfer or distribution and (B) in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260"/>
          </w:cols>
          <w:pgMar w:left="1300" w:top="1391" w:right="339" w:bottom="1440" w:gutter="0" w:footer="0" w:header="0"/>
        </w:sectPr>
      </w:pPr>
    </w:p>
    <w:bookmarkStart w:id="34" w:name="page35"/>
    <w:bookmarkEnd w:id="34"/>
    <w:p>
      <w:pPr>
        <w:ind w:left="980"/>
        <w:spacing w:after="0" w:line="243" w:lineRule="auto"/>
        <w:rPr>
          <w:sz w:val="20"/>
          <w:szCs w:val="20"/>
          <w:color w:val="auto"/>
        </w:rPr>
      </w:pPr>
      <w:r>
        <w:rPr>
          <w:rFonts w:ascii="Arial" w:cs="Arial" w:eastAsia="Arial" w:hAnsi="Arial"/>
          <w:sz w:val="20"/>
          <w:szCs w:val="20"/>
          <w:color w:val="auto"/>
        </w:rPr>
        <w:t>of a transfer or distribution pursuant to clause (a)(vii) above, that the donee, devisee, transferee or distributee has agreed to be bound by a lock-up agreement in the form of this Lock-Up Agreement;</w:t>
      </w:r>
    </w:p>
    <w:p>
      <w:pPr>
        <w:spacing w:after="0" w:line="128" w:lineRule="exact"/>
        <w:rPr>
          <w:sz w:val="20"/>
          <w:szCs w:val="20"/>
          <w:color w:val="auto"/>
        </w:rPr>
      </w:pPr>
    </w:p>
    <w:p>
      <w:pPr>
        <w:jc w:val="both"/>
        <w:ind w:left="980" w:hanging="324"/>
        <w:spacing w:after="0" w:line="216" w:lineRule="auto"/>
        <w:tabs>
          <w:tab w:leader="none" w:pos="979" w:val="left"/>
        </w:tabs>
        <w:numPr>
          <w:ilvl w:val="0"/>
          <w:numId w:val="38"/>
        </w:numPr>
        <w:rPr>
          <w:rFonts w:ascii="Arial" w:cs="Arial" w:eastAsia="Arial" w:hAnsi="Arial"/>
          <w:sz w:val="20"/>
          <w:szCs w:val="20"/>
          <w:color w:val="auto"/>
        </w:rPr>
      </w:pPr>
      <w:r>
        <w:rPr>
          <w:rFonts w:ascii="Arial" w:cs="Arial" w:eastAsia="Arial" w:hAnsi="Arial"/>
          <w:sz w:val="20"/>
          <w:szCs w:val="20"/>
          <w:color w:val="auto"/>
        </w:rPr>
        <w:t>enter into a written plan meeting the requirements of Rule 10b5-1 under the Exchange Act relating to the transfer, sale or other disposition of the undersigned’s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required or shall be voluntarily made regarding the establishment of such plan during the Lock-Up Period; and</w:t>
      </w:r>
    </w:p>
    <w:p>
      <w:pPr>
        <w:spacing w:after="0" w:line="148" w:lineRule="exact"/>
        <w:rPr>
          <w:rFonts w:ascii="Arial" w:cs="Arial" w:eastAsia="Arial" w:hAnsi="Arial"/>
          <w:sz w:val="20"/>
          <w:szCs w:val="20"/>
          <w:color w:val="auto"/>
        </w:rPr>
      </w:pPr>
    </w:p>
    <w:p>
      <w:pPr>
        <w:jc w:val="both"/>
        <w:ind w:left="980" w:hanging="324"/>
        <w:spacing w:after="0" w:line="213" w:lineRule="auto"/>
        <w:tabs>
          <w:tab w:leader="none" w:pos="968" w:val="left"/>
        </w:tabs>
        <w:numPr>
          <w:ilvl w:val="0"/>
          <w:numId w:val="38"/>
        </w:numPr>
        <w:rPr>
          <w:rFonts w:ascii="Arial" w:cs="Arial" w:eastAsia="Arial" w:hAnsi="Arial"/>
          <w:sz w:val="20"/>
          <w:szCs w:val="20"/>
          <w:color w:val="auto"/>
        </w:rPr>
      </w:pPr>
      <w:r>
        <w:rPr>
          <w:rFonts w:ascii="Arial" w:cs="Arial" w:eastAsia="Arial" w:hAnsi="Arial"/>
          <w:sz w:val="20"/>
          <w:szCs w:val="20"/>
          <w:color w:val="auto"/>
        </w:rPr>
        <w:t>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undersigned’s Lock-Up Securities shall remain subject to the provisions of this Lock-Up Agreement.</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Nothing in this Lock-Up Agreement shall preclude sales or transfers of Lock-Up Securities pursuant to a written plan for trading</w:t>
      </w:r>
    </w:p>
    <w:p>
      <w:pPr>
        <w:ind w:right="20"/>
        <w:spacing w:after="0" w:line="215" w:lineRule="auto"/>
        <w:rPr>
          <w:sz w:val="20"/>
          <w:szCs w:val="20"/>
          <w:color w:val="auto"/>
        </w:rPr>
      </w:pPr>
      <w:r>
        <w:rPr>
          <w:rFonts w:ascii="Arial" w:cs="Arial" w:eastAsia="Arial" w:hAnsi="Arial"/>
          <w:sz w:val="19"/>
          <w:szCs w:val="19"/>
          <w:color w:val="auto"/>
        </w:rPr>
        <w:t>securities that is designed to satisfy the requirements of Rule 10b5-1 under the Exchange Act (a “10b5-1 Plan”) in effect as of the date of the Prospectus and disclosed to the Underwriter, provided that any filing under Section 16 of the Exchange Act made</w:t>
      </w:r>
    </w:p>
    <w:p>
      <w:pPr>
        <w:spacing w:after="0" w:line="232" w:lineRule="auto"/>
        <w:rPr>
          <w:sz w:val="20"/>
          <w:szCs w:val="20"/>
          <w:color w:val="auto"/>
        </w:rPr>
      </w:pPr>
      <w:r>
        <w:rPr>
          <w:rFonts w:ascii="Arial" w:cs="Arial" w:eastAsia="Arial" w:hAnsi="Arial"/>
          <w:sz w:val="20"/>
          <w:szCs w:val="20"/>
          <w:color w:val="auto"/>
        </w:rPr>
        <w:t>in connection with such sales shall clearly indicate in the footnotes thereto that such disposition of Lock-Up Securities was pursuant to a 10b5-1 Plan.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the undersigned is not a natural person, the undersigned represents and warrants that no single natural person, entity</w:t>
      </w:r>
    </w:p>
    <w:p>
      <w:pPr>
        <w:jc w:val="both"/>
        <w:spacing w:after="0" w:line="204" w:lineRule="auto"/>
        <w:rPr>
          <w:sz w:val="20"/>
          <w:szCs w:val="20"/>
          <w:color w:val="auto"/>
        </w:rPr>
      </w:pPr>
      <w:r>
        <w:rPr>
          <w:rFonts w:ascii="Arial" w:cs="Arial" w:eastAsia="Arial" w:hAnsi="Arial"/>
          <w:sz w:val="20"/>
          <w:szCs w:val="20"/>
          <w:color w:val="auto"/>
        </w:rPr>
        <w:t>or “group” (within the meaning of Section 13(d)(3) of the Exchange Act), other than a natural person, entity or “group” (as described above) that has executed a Lock-Up Agreement in substantially the same form as this Lock-Up Agreement,</w:t>
      </w:r>
    </w:p>
    <w:p>
      <w:pPr>
        <w:spacing w:after="0" w:line="1"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beneficially owns, directly or indirectly, 50% or more of the common equity interests, or 50% or more of the voting power, in the undersigned.</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undersigned now has, and, except as contemplated by clauses (a) and (c) of the third paragraph of this Lock-Up</w:t>
      </w:r>
    </w:p>
    <w:p>
      <w:pPr>
        <w:spacing w:after="0" w:line="204" w:lineRule="auto"/>
        <w:rPr>
          <w:sz w:val="20"/>
          <w:szCs w:val="20"/>
          <w:color w:val="auto"/>
        </w:rPr>
      </w:pPr>
      <w:r>
        <w:rPr>
          <w:rFonts w:ascii="Arial" w:cs="Arial" w:eastAsia="Arial" w:hAnsi="Arial"/>
          <w:sz w:val="20"/>
          <w:szCs w:val="20"/>
          <w:color w:val="auto"/>
        </w:rPr>
        <w:t>Agreement, for the duration of this Lock-Up Agreement will have, good and marketable title to the undersigned’s Lock-Up Securities, free and clear of all liens, encumbrances and claims whatsoever. The undersigned also agrees and consents to the</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entry of stop transfer instructions with the Company’s transfer agent and registrar against the transfer of the undersigned’s Lock-Up Securities except in compliance with the foregoing restrictions.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undersigned acknowledges and agrees that the Underwriter has not made any recommendation or provided any</w:t>
      </w:r>
    </w:p>
    <w:p>
      <w:pPr>
        <w:spacing w:after="0" w:line="204" w:lineRule="auto"/>
        <w:rPr>
          <w:sz w:val="20"/>
          <w:szCs w:val="20"/>
          <w:color w:val="auto"/>
        </w:rPr>
      </w:pPr>
      <w:r>
        <w:rPr>
          <w:rFonts w:ascii="Arial" w:cs="Arial" w:eastAsia="Arial" w:hAnsi="Arial"/>
          <w:sz w:val="20"/>
          <w:szCs w:val="20"/>
          <w:color w:val="auto"/>
        </w:rPr>
        <w:t>investment or other advice to the undersigned with respect to this Lock-Up Agreement or the subject matter hereof, and the undersigned has consulted its own legal, accounting, financial, regulatory, tax and other advisors with respect to this Lock-Up</w:t>
      </w:r>
    </w:p>
    <w:p>
      <w:pPr>
        <w:spacing w:after="0" w:line="211" w:lineRule="auto"/>
        <w:rPr>
          <w:sz w:val="20"/>
          <w:szCs w:val="20"/>
          <w:color w:val="auto"/>
        </w:rPr>
      </w:pPr>
      <w:r>
        <w:rPr>
          <w:rFonts w:ascii="Arial" w:cs="Arial" w:eastAsia="Arial" w:hAnsi="Arial"/>
          <w:sz w:val="20"/>
          <w:szCs w:val="20"/>
          <w:color w:val="auto"/>
        </w:rPr>
        <w:t>Agreement and the subject matter hereof to the extent the undersigned has deemed appropriate. The undersigned further</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acknowledges and agrees that, although the Underwriter may have provided or hereafter provide to the undersigned in connection with the Public Offering a Form CRS and/or certain other disclosures as contemplated by Regulation Best Interest,</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the Underwriter has not made and is not making a recommendation to the undersigned to enter into this Lock-Up Agreement or to transfer, sell or dispose of, or to refrain from transferring, selling or disposing of, any shares of Common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00"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color w:val="auto"/>
        </w:rPr>
        <w:t>nothing set forth in such disclosures or herein is intended to suggest that the Underwriter is making such a recommendation.</w:t>
      </w:r>
    </w:p>
    <w:p>
      <w:pPr>
        <w:spacing w:after="0" w:line="162" w:lineRule="exact"/>
        <w:rPr>
          <w:sz w:val="20"/>
          <w:szCs w:val="20"/>
          <w:color w:val="auto"/>
        </w:rPr>
      </w:pPr>
    </w:p>
    <w:p>
      <w:pPr>
        <w:ind w:firstLine="351"/>
        <w:spacing w:after="0" w:line="220" w:lineRule="auto"/>
        <w:rPr>
          <w:sz w:val="20"/>
          <w:szCs w:val="20"/>
          <w:color w:val="auto"/>
        </w:rPr>
      </w:pPr>
      <w:r>
        <w:rPr>
          <w:rFonts w:ascii="Arial" w:cs="Arial" w:eastAsia="Arial" w:hAnsi="Arial"/>
          <w:sz w:val="20"/>
          <w:szCs w:val="20"/>
          <w:color w:val="auto"/>
        </w:rPr>
        <w:t>This Lock-Up Agreement shall automatically terminate and the undersigned shall be released from all of his, her or its obligations hereunder upon the earlier of (i) the date on which the Registration Statement filed with the SEC with respect to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Public Offering is withdrawn, (ii) the date on which for any reason the Underwriting Agreement is terminated (other than the provisions thereof that survive termination) prior to payment for and delivery of the Shares to be sold thereunder (other than</w:t>
      </w:r>
    </w:p>
    <w:p>
      <w:pPr>
        <w:spacing w:after="0" w:line="211" w:lineRule="auto"/>
        <w:rPr>
          <w:sz w:val="20"/>
          <w:szCs w:val="20"/>
          <w:color w:val="auto"/>
        </w:rPr>
      </w:pPr>
      <w:r>
        <w:rPr>
          <w:rFonts w:ascii="Arial" w:cs="Arial" w:eastAsia="Arial" w:hAnsi="Arial"/>
          <w:sz w:val="20"/>
          <w:szCs w:val="20"/>
          <w:color w:val="auto"/>
        </w:rPr>
        <w:t>pursuant to the Underwriter’s option thereunder to purchase additional Shares), (iii) the date on which the Company notifies the</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Underwriter, in writing and prior to the execution of the Underwriting Agreement, that it does not intend to proceed with the Public Offering and (iv) February 13, 2023, in the event that the Underwriting Agreement has not been executed by such date.</w:t>
      </w:r>
    </w:p>
    <w:p>
      <w:pPr>
        <w:spacing w:after="0" w:line="131" w:lineRule="exact"/>
        <w:rPr>
          <w:sz w:val="20"/>
          <w:szCs w:val="20"/>
          <w:color w:val="auto"/>
        </w:rPr>
      </w:pPr>
    </w:p>
    <w:p>
      <w:pPr>
        <w:ind w:right="80" w:firstLine="216"/>
        <w:spacing w:after="0" w:line="232" w:lineRule="auto"/>
        <w:rPr>
          <w:sz w:val="20"/>
          <w:szCs w:val="20"/>
          <w:color w:val="auto"/>
        </w:rPr>
      </w:pPr>
      <w:r>
        <w:rPr>
          <w:rFonts w:ascii="Arial" w:cs="Arial" w:eastAsia="Arial" w:hAnsi="Arial"/>
          <w:sz w:val="19"/>
          <w:szCs w:val="19"/>
          <w:color w:val="auto"/>
        </w:rPr>
        <w:t>The undersigned understands that the Company and the Underwriter are relying upon this Lock-Up Agreement in proceeding toward consummation of the Public Offering. The undersigned further understands that this Lock-Up Agreement is irrevocable</w:t>
      </w:r>
    </w:p>
    <w:p>
      <w:pPr>
        <w:spacing w:after="0" w:line="1" w:lineRule="exact"/>
        <w:rPr>
          <w:sz w:val="20"/>
          <w:szCs w:val="20"/>
          <w:color w:val="auto"/>
        </w:rPr>
      </w:pPr>
    </w:p>
    <w:p>
      <w:pPr>
        <w:ind w:right="220"/>
        <w:spacing w:after="0" w:line="215" w:lineRule="auto"/>
        <w:rPr>
          <w:sz w:val="20"/>
          <w:szCs w:val="20"/>
          <w:color w:val="auto"/>
        </w:rPr>
      </w:pPr>
      <w:r>
        <w:rPr>
          <w:rFonts w:ascii="Arial" w:cs="Arial" w:eastAsia="Arial" w:hAnsi="Arial"/>
          <w:sz w:val="19"/>
          <w:szCs w:val="19"/>
          <w:color w:val="auto"/>
        </w:rPr>
        <w:t>and shall be binding upon the undersigned’s heirs, legal representatives, successors and assigns. The undersigned hereby represents and warrants that the undersigned has full power and authority to enter into this Lock-Up Agreement. This Lock-Up</w:t>
      </w:r>
    </w:p>
    <w:p>
      <w:pPr>
        <w:spacing w:after="0" w:line="211" w:lineRule="auto"/>
        <w:rPr>
          <w:sz w:val="20"/>
          <w:szCs w:val="20"/>
          <w:color w:val="auto"/>
        </w:rPr>
      </w:pPr>
      <w:r>
        <w:rPr>
          <w:rFonts w:ascii="Arial" w:cs="Arial" w:eastAsia="Arial" w:hAnsi="Arial"/>
          <w:sz w:val="20"/>
          <w:szCs w:val="20"/>
          <w:color w:val="auto"/>
        </w:rPr>
        <w:t>Agreement shall be governed by, and construed in accordance with, the laws of the State of New York, without regard to</w:t>
      </w:r>
    </w:p>
    <w:p>
      <w:pPr>
        <w:ind w:right="120"/>
        <w:spacing w:after="0" w:line="215" w:lineRule="auto"/>
        <w:rPr>
          <w:sz w:val="20"/>
          <w:szCs w:val="20"/>
          <w:color w:val="auto"/>
        </w:rPr>
      </w:pPr>
      <w:r>
        <w:rPr>
          <w:rFonts w:ascii="Arial" w:cs="Arial" w:eastAsia="Arial" w:hAnsi="Arial"/>
          <w:sz w:val="19"/>
          <w:szCs w:val="19"/>
          <w:color w:val="auto"/>
        </w:rPr>
        <w:t>principles of conflict of laws that would result in the application of any law other than the laws of the State of New York. This Lock-Up Agreement may be delivered via facsimile, electronic mail (including pdf or any electronic signature complying with the</w:t>
      </w:r>
    </w:p>
    <w:p>
      <w:pPr>
        <w:ind w:right="380"/>
        <w:spacing w:after="0" w:line="249" w:lineRule="auto"/>
        <w:rPr>
          <w:sz w:val="20"/>
          <w:szCs w:val="20"/>
          <w:color w:val="auto"/>
        </w:rPr>
      </w:pPr>
      <w:r>
        <w:rPr>
          <w:rFonts w:ascii="Arial" w:cs="Arial" w:eastAsia="Arial" w:hAnsi="Arial"/>
          <w:sz w:val="19"/>
          <w:szCs w:val="19"/>
          <w:color w:val="auto"/>
        </w:rPr>
        <w:t>U.S. federal ESIGN Act of 2000, e.g., www.docusign.com or www.echosign.com)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0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1022985</wp:posOffset>
            </wp:positionV>
            <wp:extent cx="5186045" cy="805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860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January 30, 2023</w:t>
      </w:r>
    </w:p>
    <w:p>
      <w:pPr>
        <w:spacing w:after="0" w:line="211" w:lineRule="auto"/>
        <w:rPr>
          <w:sz w:val="20"/>
          <w:szCs w:val="20"/>
          <w:color w:val="auto"/>
        </w:rPr>
      </w:pPr>
      <w:r>
        <w:rPr>
          <w:rFonts w:ascii="Times New Roman" w:cs="Times New Roman" w:eastAsia="Times New Roman" w:hAnsi="Times New Roman"/>
          <w:sz w:val="20"/>
          <w:szCs w:val="20"/>
          <w:color w:val="auto"/>
        </w:rPr>
        <w:t>GeneDx Holdings Corp.</w:t>
      </w:r>
    </w:p>
    <w:p>
      <w:pPr>
        <w:spacing w:after="0" w:line="211" w:lineRule="auto"/>
        <w:rPr>
          <w:sz w:val="20"/>
          <w:szCs w:val="20"/>
          <w:color w:val="auto"/>
        </w:rPr>
      </w:pPr>
      <w:r>
        <w:rPr>
          <w:rFonts w:ascii="Times New Roman" w:cs="Times New Roman" w:eastAsia="Times New Roman" w:hAnsi="Times New Roman"/>
          <w:sz w:val="20"/>
          <w:szCs w:val="20"/>
          <w:color w:val="auto"/>
        </w:rPr>
        <w:t>333 Ludlow Street</w:t>
      </w:r>
    </w:p>
    <w:p>
      <w:pPr>
        <w:spacing w:after="0" w:line="197" w:lineRule="auto"/>
        <w:rPr>
          <w:sz w:val="20"/>
          <w:szCs w:val="20"/>
          <w:color w:val="auto"/>
        </w:rPr>
      </w:pPr>
      <w:r>
        <w:rPr>
          <w:rFonts w:ascii="Times New Roman" w:cs="Times New Roman" w:eastAsia="Times New Roman" w:hAnsi="Times New Roman"/>
          <w:sz w:val="20"/>
          <w:szCs w:val="20"/>
          <w:color w:val="auto"/>
        </w:rPr>
        <w:t>North Tower, 8th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Stamford, Connecticut 06902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We deliver this opinion with respect to certain matters in connection with the offerings by GeneDx Holdings Corp.,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of an aggregate of up to 477,857,143 shares (the “</w:t>
      </w:r>
      <w:r>
        <w:rPr>
          <w:rFonts w:ascii="Times New Roman" w:cs="Times New Roman" w:eastAsia="Times New Roman" w:hAnsi="Times New Roman"/>
          <w:sz w:val="19"/>
          <w:szCs w:val="19"/>
          <w:b w:val="1"/>
          <w:bCs w:val="1"/>
          <w:i w:val="1"/>
          <w:iCs w:val="1"/>
          <w:color w:val="auto"/>
        </w:rPr>
        <w:t>Shares</w:t>
      </w:r>
      <w:r>
        <w:rPr>
          <w:rFonts w:ascii="Times New Roman" w:cs="Times New Roman" w:eastAsia="Times New Roman" w:hAnsi="Times New Roman"/>
          <w:sz w:val="19"/>
          <w:szCs w:val="19"/>
          <w:color w:val="auto"/>
        </w:rPr>
        <w:t>”) of the Company’s Class A common stock, $0.0001</w:t>
      </w:r>
    </w:p>
    <w:p>
      <w:pPr>
        <w:spacing w:after="0" w:line="222" w:lineRule="auto"/>
        <w:rPr>
          <w:sz w:val="20"/>
          <w:szCs w:val="20"/>
          <w:color w:val="auto"/>
        </w:rPr>
      </w:pPr>
      <w:r>
        <w:rPr>
          <w:rFonts w:ascii="Times New Roman" w:cs="Times New Roman" w:eastAsia="Times New Roman" w:hAnsi="Times New Roman"/>
          <w:sz w:val="19"/>
          <w:szCs w:val="19"/>
          <w:color w:val="auto"/>
        </w:rPr>
        <w:t>par value per share (the “</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consisting of (i) up to 377,857,143 Shares (the “</w:t>
      </w:r>
      <w:r>
        <w:rPr>
          <w:rFonts w:ascii="Times New Roman" w:cs="Times New Roman" w:eastAsia="Times New Roman" w:hAnsi="Times New Roman"/>
          <w:sz w:val="19"/>
          <w:szCs w:val="19"/>
          <w:b w:val="1"/>
          <w:bCs w:val="1"/>
          <w:i w:val="1"/>
          <w:iCs w:val="1"/>
          <w:color w:val="auto"/>
        </w:rPr>
        <w:t>Underwritten Offering Shares</w:t>
      </w:r>
      <w:r>
        <w:rPr>
          <w:rFonts w:ascii="Times New Roman" w:cs="Times New Roman" w:eastAsia="Times New Roman" w:hAnsi="Times New Roman"/>
          <w:sz w:val="19"/>
          <w:szCs w:val="19"/>
          <w:color w:val="auto"/>
        </w:rPr>
        <w:t>”), including up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49,285,714 Shares of Common Stock subject to an underwriters’ option to purchase additional shares, to be issued pursuant to that certain Underwriting Agreement, dated as of January 26, 2023 (the “</w:t>
      </w:r>
      <w:r>
        <w:rPr>
          <w:rFonts w:ascii="Times New Roman" w:cs="Times New Roman" w:eastAsia="Times New Roman" w:hAnsi="Times New Roman"/>
          <w:sz w:val="20"/>
          <w:szCs w:val="20"/>
          <w:b w:val="1"/>
          <w:bCs w:val="1"/>
          <w:i w:val="1"/>
          <w:iCs w:val="1"/>
          <w:color w:val="auto"/>
        </w:rPr>
        <w:t>Underwriting Agreement</w:t>
      </w:r>
      <w:r>
        <w:rPr>
          <w:rFonts w:ascii="Times New Roman" w:cs="Times New Roman" w:eastAsia="Times New Roman" w:hAnsi="Times New Roman"/>
          <w:sz w:val="20"/>
          <w:szCs w:val="20"/>
          <w:color w:val="auto"/>
        </w:rPr>
        <w:t>”), by and between the Company and Jefferies LLC</w:t>
      </w:r>
    </w:p>
    <w:p>
      <w:pPr>
        <w:spacing w:after="0" w:line="223" w:lineRule="auto"/>
        <w:rPr>
          <w:sz w:val="20"/>
          <w:szCs w:val="20"/>
          <w:color w:val="auto"/>
        </w:rPr>
      </w:pPr>
      <w:r>
        <w:rPr>
          <w:rFonts w:ascii="Times New Roman" w:cs="Times New Roman" w:eastAsia="Times New Roman" w:hAnsi="Times New Roman"/>
          <w:sz w:val="19"/>
          <w:szCs w:val="19"/>
          <w:color w:val="auto"/>
        </w:rPr>
        <w:t>relating to an underwritten public offering (the “</w:t>
      </w:r>
      <w:r>
        <w:rPr>
          <w:rFonts w:ascii="Times New Roman" w:cs="Times New Roman" w:eastAsia="Times New Roman" w:hAnsi="Times New Roman"/>
          <w:sz w:val="19"/>
          <w:szCs w:val="19"/>
          <w:b w:val="1"/>
          <w:bCs w:val="1"/>
          <w:i w:val="1"/>
          <w:iCs w:val="1"/>
          <w:color w:val="auto"/>
        </w:rPr>
        <w:t>Underwritten Offering</w:t>
      </w:r>
      <w:r>
        <w:rPr>
          <w:rFonts w:ascii="Times New Roman" w:cs="Times New Roman" w:eastAsia="Times New Roman" w:hAnsi="Times New Roman"/>
          <w:sz w:val="19"/>
          <w:szCs w:val="19"/>
          <w:color w:val="auto"/>
        </w:rPr>
        <w:t>”) and (ii) up to 100,000,000 Shares (the “</w:t>
      </w:r>
      <w:r>
        <w:rPr>
          <w:rFonts w:ascii="Times New Roman" w:cs="Times New Roman" w:eastAsia="Times New Roman" w:hAnsi="Times New Roman"/>
          <w:sz w:val="19"/>
          <w:szCs w:val="19"/>
          <w:b w:val="1"/>
          <w:bCs w:val="1"/>
          <w:i w:val="1"/>
          <w:iCs w:val="1"/>
          <w:color w:val="auto"/>
        </w:rPr>
        <w:t>Direct Offering Shares</w:t>
      </w:r>
      <w:r>
        <w:rPr>
          <w:rFonts w:ascii="Times New Roman" w:cs="Times New Roman" w:eastAsia="Times New Roman" w:hAnsi="Times New Roman"/>
          <w:sz w:val="19"/>
          <w:szCs w:val="19"/>
          <w:color w:val="auto"/>
        </w:rPr>
        <w:t>”) to</w:t>
      </w:r>
    </w:p>
    <w:p>
      <w:pPr>
        <w:spacing w:after="0" w:line="215" w:lineRule="auto"/>
        <w:rPr>
          <w:sz w:val="20"/>
          <w:szCs w:val="20"/>
          <w:color w:val="auto"/>
        </w:rPr>
      </w:pPr>
      <w:r>
        <w:rPr>
          <w:rFonts w:ascii="Times New Roman" w:cs="Times New Roman" w:eastAsia="Times New Roman" w:hAnsi="Times New Roman"/>
          <w:sz w:val="19"/>
          <w:szCs w:val="19"/>
          <w:color w:val="auto"/>
        </w:rPr>
        <w:t>be issued pursuant to those certain Subscription Agreements (the “</w:t>
      </w:r>
      <w:r>
        <w:rPr>
          <w:rFonts w:ascii="Times New Roman" w:cs="Times New Roman" w:eastAsia="Times New Roman" w:hAnsi="Times New Roman"/>
          <w:sz w:val="19"/>
          <w:szCs w:val="19"/>
          <w:b w:val="1"/>
          <w:bCs w:val="1"/>
          <w:i w:val="1"/>
          <w:iCs w:val="1"/>
          <w:color w:val="auto"/>
        </w:rPr>
        <w:t>Subscription Agreements</w:t>
      </w:r>
      <w:r>
        <w:rPr>
          <w:rFonts w:ascii="Times New Roman" w:cs="Times New Roman" w:eastAsia="Times New Roman" w:hAnsi="Times New Roman"/>
          <w:sz w:val="19"/>
          <w:szCs w:val="19"/>
          <w:color w:val="auto"/>
        </w:rPr>
        <w:t>”), dated as of January 26, 2023, by and between the Company and the respective institutional investors party thereto (the “</w:t>
      </w:r>
      <w:r>
        <w:rPr>
          <w:rFonts w:ascii="Times New Roman" w:cs="Times New Roman" w:eastAsia="Times New Roman" w:hAnsi="Times New Roman"/>
          <w:sz w:val="19"/>
          <w:szCs w:val="19"/>
          <w:b w:val="1"/>
          <w:bCs w:val="1"/>
          <w:i w:val="1"/>
          <w:iCs w:val="1"/>
          <w:color w:val="auto"/>
        </w:rPr>
        <w:t>Investors</w:t>
      </w:r>
      <w:r>
        <w:rPr>
          <w:rFonts w:ascii="Times New Roman" w:cs="Times New Roman" w:eastAsia="Times New Roman" w:hAnsi="Times New Roman"/>
          <w:sz w:val="19"/>
          <w:szCs w:val="19"/>
          <w:color w:val="auto"/>
        </w:rPr>
        <w:t>”) relating to a registered direct offering (the “</w:t>
      </w:r>
      <w:r>
        <w:rPr>
          <w:rFonts w:ascii="Times New Roman" w:cs="Times New Roman" w:eastAsia="Times New Roman" w:hAnsi="Times New Roman"/>
          <w:sz w:val="19"/>
          <w:szCs w:val="19"/>
          <w:b w:val="1"/>
          <w:bCs w:val="1"/>
          <w:i w:val="1"/>
          <w:iCs w:val="1"/>
          <w:color w:val="auto"/>
        </w:rPr>
        <w:t>Direct</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Offering</w:t>
      </w:r>
      <w:r>
        <w:rPr>
          <w:rFonts w:ascii="Times New Roman" w:cs="Times New Roman" w:eastAsia="Times New Roman" w:hAnsi="Times New Roman"/>
          <w:sz w:val="20"/>
          <w:szCs w:val="20"/>
          <w:color w:val="auto"/>
        </w:rPr>
        <w:t>” and, together with the Underwritten Offering, the “</w:t>
      </w:r>
      <w:r>
        <w:rPr>
          <w:rFonts w:ascii="Times New Roman" w:cs="Times New Roman" w:eastAsia="Times New Roman" w:hAnsi="Times New Roman"/>
          <w:sz w:val="20"/>
          <w:szCs w:val="20"/>
          <w:b w:val="1"/>
          <w:bCs w:val="1"/>
          <w:i w:val="1"/>
          <w:iCs w:val="1"/>
          <w:color w:val="auto"/>
        </w:rPr>
        <w:t>Offerings</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The Underwritten Offering Shares were registered pursuant to (i) the registration statement on Form S-3 (File No. 333-267112) filed by the Company with the Securities and Exchange Commission (the “</w:t>
      </w:r>
      <w:r>
        <w:rPr>
          <w:rFonts w:ascii="Times New Roman" w:cs="Times New Roman" w:eastAsia="Times New Roman" w:hAnsi="Times New Roman"/>
          <w:sz w:val="19"/>
          <w:szCs w:val="19"/>
          <w:b w:val="1"/>
          <w:bCs w:val="1"/>
          <w:i w:val="1"/>
          <w:iCs w:val="1"/>
          <w:color w:val="auto"/>
        </w:rPr>
        <w:t>Commission</w:t>
      </w:r>
      <w:r>
        <w:rPr>
          <w:rFonts w:ascii="Times New Roman" w:cs="Times New Roman" w:eastAsia="Times New Roman" w:hAnsi="Times New Roman"/>
          <w:sz w:val="19"/>
          <w:szCs w:val="19"/>
          <w:color w:val="auto"/>
        </w:rPr>
        <w:t>”) on August 26, 2022 (the “</w:t>
      </w:r>
      <w:r>
        <w:rPr>
          <w:rFonts w:ascii="Times New Roman" w:cs="Times New Roman" w:eastAsia="Times New Roman" w:hAnsi="Times New Roman"/>
          <w:sz w:val="19"/>
          <w:szCs w:val="19"/>
          <w:b w:val="1"/>
          <w:bCs w:val="1"/>
          <w:i w:val="1"/>
          <w:iCs w:val="1"/>
          <w:color w:val="auto"/>
        </w:rPr>
        <w:t>Registration Statement</w:t>
      </w:r>
      <w:r>
        <w:rPr>
          <w:rFonts w:ascii="Times New Roman" w:cs="Times New Roman" w:eastAsia="Times New Roman" w:hAnsi="Times New Roman"/>
          <w:sz w:val="19"/>
          <w:szCs w:val="19"/>
          <w:color w:val="auto"/>
        </w:rPr>
        <w:t>”), (ii)</w:t>
      </w:r>
    </w:p>
    <w:p>
      <w:pPr>
        <w:spacing w:after="0" w:line="211" w:lineRule="auto"/>
        <w:rPr>
          <w:sz w:val="20"/>
          <w:szCs w:val="20"/>
          <w:color w:val="auto"/>
        </w:rPr>
      </w:pPr>
      <w:r>
        <w:rPr>
          <w:rFonts w:ascii="Times New Roman" w:cs="Times New Roman" w:eastAsia="Times New Roman" w:hAnsi="Times New Roman"/>
          <w:sz w:val="20"/>
          <w:szCs w:val="20"/>
          <w:color w:val="auto"/>
        </w:rPr>
        <w:t>the base prospectus dated September 7, 2022 relating to the Company’s securities, which forms a part of, and is substantially in the form</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included in, the Registration Statement (the “</w:t>
      </w:r>
      <w:r>
        <w:rPr>
          <w:rFonts w:ascii="Times New Roman" w:cs="Times New Roman" w:eastAsia="Times New Roman" w:hAnsi="Times New Roman"/>
          <w:sz w:val="20"/>
          <w:szCs w:val="20"/>
          <w:b w:val="1"/>
          <w:bCs w:val="1"/>
          <w:i w:val="1"/>
          <w:iCs w:val="1"/>
          <w:color w:val="auto"/>
        </w:rPr>
        <w:t>Base Prospectus</w:t>
      </w:r>
      <w:r>
        <w:rPr>
          <w:rFonts w:ascii="Times New Roman" w:cs="Times New Roman" w:eastAsia="Times New Roman" w:hAnsi="Times New Roman"/>
          <w:sz w:val="20"/>
          <w:szCs w:val="20"/>
          <w:color w:val="auto"/>
        </w:rPr>
        <w:t>”), (iii) the preliminary prospectus supplement relating to the Underwritten Offering, dated January 26, 2023, filed by the Company with the Commission pursuant to Rule 424(b) of the Securities Act of 1933, as</w:t>
      </w:r>
    </w:p>
    <w:p>
      <w:pPr>
        <w:spacing w:after="0" w:line="211" w:lineRule="auto"/>
        <w:rPr>
          <w:sz w:val="20"/>
          <w:szCs w:val="20"/>
          <w:color w:val="auto"/>
        </w:rPr>
      </w:pPr>
      <w:r>
        <w:rPr>
          <w:rFonts w:ascii="Times New Roman" w:cs="Times New Roman" w:eastAsia="Times New Roman" w:hAnsi="Times New Roman"/>
          <w:sz w:val="20"/>
          <w:szCs w:val="20"/>
          <w:color w:val="auto"/>
        </w:rPr>
        <w:t>amended (the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on January 26, 2023 (the “</w:t>
      </w:r>
      <w:r>
        <w:rPr>
          <w:rFonts w:ascii="Times New Roman" w:cs="Times New Roman" w:eastAsia="Times New Roman" w:hAnsi="Times New Roman"/>
          <w:sz w:val="20"/>
          <w:szCs w:val="20"/>
          <w:b w:val="1"/>
          <w:bCs w:val="1"/>
          <w:i w:val="1"/>
          <w:iCs w:val="1"/>
          <w:color w:val="auto"/>
        </w:rPr>
        <w:t>Underwritten Offering Preliminary Prospectus Supplement</w:t>
      </w:r>
      <w:r>
        <w:rPr>
          <w:rFonts w:ascii="Times New Roman" w:cs="Times New Roman" w:eastAsia="Times New Roman" w:hAnsi="Times New Roman"/>
          <w:sz w:val="20"/>
          <w:szCs w:val="20"/>
          <w:color w:val="auto"/>
        </w:rPr>
        <w:t>” and, together with the Base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Prospectus, the “</w:t>
      </w:r>
      <w:r>
        <w:rPr>
          <w:rFonts w:ascii="Times New Roman" w:cs="Times New Roman" w:eastAsia="Times New Roman" w:hAnsi="Times New Roman"/>
          <w:sz w:val="20"/>
          <w:szCs w:val="20"/>
          <w:b w:val="1"/>
          <w:bCs w:val="1"/>
          <w:i w:val="1"/>
          <w:iCs w:val="1"/>
          <w:color w:val="auto"/>
        </w:rPr>
        <w:t>Underwritten Offering Preliminary Prospectus</w:t>
      </w:r>
      <w:r>
        <w:rPr>
          <w:rFonts w:ascii="Times New Roman" w:cs="Times New Roman" w:eastAsia="Times New Roman" w:hAnsi="Times New Roman"/>
          <w:sz w:val="20"/>
          <w:szCs w:val="20"/>
          <w:color w:val="auto"/>
        </w:rPr>
        <w:t>”), (iv) the final prospectus supplement relating to the Underwritten Offering dated January 26, 2023, filed by the Company with the Commission on January 30, 2023 pursuant to Rule 424(b) of the Act (the</w:t>
      </w:r>
    </w:p>
    <w:p>
      <w:pPr>
        <w:spacing w:after="0" w:line="22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Underwritten Offering Final Prospectus Supplement</w:t>
      </w:r>
      <w:r>
        <w:rPr>
          <w:rFonts w:ascii="Times New Roman" w:cs="Times New Roman" w:eastAsia="Times New Roman" w:hAnsi="Times New Roman"/>
          <w:sz w:val="19"/>
          <w:szCs w:val="19"/>
          <w:color w:val="auto"/>
        </w:rPr>
        <w:t>” and, together with the Base Prospectus, “</w:t>
      </w:r>
      <w:r>
        <w:rPr>
          <w:rFonts w:ascii="Times New Roman" w:cs="Times New Roman" w:eastAsia="Times New Roman" w:hAnsi="Times New Roman"/>
          <w:sz w:val="19"/>
          <w:szCs w:val="19"/>
          <w:b w:val="1"/>
          <w:bCs w:val="1"/>
          <w:i w:val="1"/>
          <w:iCs w:val="1"/>
          <w:color w:val="auto"/>
        </w:rPr>
        <w:t>Underwritten Offering Final Prospectus</w:t>
      </w:r>
      <w:r>
        <w:rPr>
          <w:rFonts w:ascii="Times New Roman" w:cs="Times New Roman" w:eastAsia="Times New Roman" w:hAnsi="Times New Roman"/>
          <w:sz w:val="19"/>
          <w:szCs w:val="19"/>
          <w:color w:val="auto"/>
        </w:rPr>
        <w:t>”</w:t>
      </w:r>
    </w:p>
    <w:p>
      <w:pPr>
        <w:spacing w:after="0" w:line="215" w:lineRule="auto"/>
        <w:rPr>
          <w:sz w:val="20"/>
          <w:szCs w:val="20"/>
          <w:color w:val="auto"/>
        </w:rPr>
      </w:pPr>
      <w:r>
        <w:rPr>
          <w:rFonts w:ascii="Times New Roman" w:cs="Times New Roman" w:eastAsia="Times New Roman" w:hAnsi="Times New Roman"/>
          <w:sz w:val="19"/>
          <w:szCs w:val="19"/>
          <w:color w:val="auto"/>
        </w:rPr>
        <w:t>and, together with the Underwritten Offering Preliminary Prospectus, the “</w:t>
      </w:r>
      <w:r>
        <w:rPr>
          <w:rFonts w:ascii="Times New Roman" w:cs="Times New Roman" w:eastAsia="Times New Roman" w:hAnsi="Times New Roman"/>
          <w:sz w:val="19"/>
          <w:szCs w:val="19"/>
          <w:b w:val="1"/>
          <w:bCs w:val="1"/>
          <w:i w:val="1"/>
          <w:iCs w:val="1"/>
          <w:color w:val="auto"/>
        </w:rPr>
        <w:t>Underwritten Offering Prospectus</w:t>
      </w:r>
      <w:r>
        <w:rPr>
          <w:rFonts w:ascii="Times New Roman" w:cs="Times New Roman" w:eastAsia="Times New Roman" w:hAnsi="Times New Roman"/>
          <w:sz w:val="19"/>
          <w:szCs w:val="19"/>
          <w:color w:val="auto"/>
        </w:rPr>
        <w:t>”). The Direct Offering Shares were registered pursuant to (i) the Registration Statement, (ii) the Base Prospectus and (iii) the final prospectus supplement relating to the</w:t>
      </w:r>
    </w:p>
    <w:p>
      <w:pPr>
        <w:spacing w:after="0" w:line="211" w:lineRule="auto"/>
        <w:rPr>
          <w:sz w:val="20"/>
          <w:szCs w:val="20"/>
          <w:color w:val="auto"/>
        </w:rPr>
      </w:pPr>
      <w:r>
        <w:rPr>
          <w:rFonts w:ascii="Times New Roman" w:cs="Times New Roman" w:eastAsia="Times New Roman" w:hAnsi="Times New Roman"/>
          <w:sz w:val="20"/>
          <w:szCs w:val="20"/>
          <w:color w:val="auto"/>
        </w:rPr>
        <w:t>Direct Offering dated January 26, 2023, filed by the Company with the Commission on January 30, 2023 pursuant to Rule 424(b) of the Act</w:t>
      </w:r>
    </w:p>
    <w:p>
      <w:pPr>
        <w:spacing w:after="0" w:line="204"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Direct Offering Prospectus Supplement</w:t>
      </w:r>
      <w:r>
        <w:rPr>
          <w:rFonts w:ascii="Times New Roman" w:cs="Times New Roman" w:eastAsia="Times New Roman" w:hAnsi="Times New Roman"/>
          <w:sz w:val="20"/>
          <w:szCs w:val="20"/>
          <w:color w:val="auto"/>
        </w:rPr>
        <w:t>” and, together with the Base Prospectus, “</w:t>
      </w:r>
      <w:r>
        <w:rPr>
          <w:rFonts w:ascii="Times New Roman" w:cs="Times New Roman" w:eastAsia="Times New Roman" w:hAnsi="Times New Roman"/>
          <w:sz w:val="20"/>
          <w:szCs w:val="20"/>
          <w:b w:val="1"/>
          <w:bCs w:val="1"/>
          <w:i w:val="1"/>
          <w:iCs w:val="1"/>
          <w:color w:val="auto"/>
        </w:rPr>
        <w:t>Direct Offering Prospectus</w:t>
      </w:r>
      <w:r>
        <w:rPr>
          <w:rFonts w:ascii="Times New Roman" w:cs="Times New Roman" w:eastAsia="Times New Roman" w:hAnsi="Times New Roman"/>
          <w:sz w:val="20"/>
          <w:szCs w:val="20"/>
          <w:color w:val="auto"/>
        </w:rPr>
        <w:t>”). The Underwritten Offering Shares are to be sold by the Company as described in the Registration Statement, the Underwritten Offering Prospectus and the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Underwriting Agreement and the Direct Offering Shares are to be sold by the Company as described in the Registration Statement, the Direct Offering Prospectus and the Subscription Agreements.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to matters of fact relevant to the opinions rendered herein, we have examined such documents, certificates and other instruments</w:t>
      </w:r>
    </w:p>
    <w:p>
      <w:pPr>
        <w:spacing w:after="0" w:line="204" w:lineRule="auto"/>
        <w:rPr>
          <w:sz w:val="20"/>
          <w:szCs w:val="20"/>
          <w:color w:val="auto"/>
        </w:rPr>
      </w:pPr>
      <w:r>
        <w:rPr>
          <w:rFonts w:ascii="Times New Roman" w:cs="Times New Roman" w:eastAsia="Times New Roman" w:hAnsi="Times New Roman"/>
          <w:sz w:val="20"/>
          <w:szCs w:val="20"/>
          <w:color w:val="auto"/>
        </w:rPr>
        <w:t>which we have deemed necessary or advisable, including a certificate addressed to use and dated the date hereof executed by the Company (the “</w:t>
      </w:r>
      <w:r>
        <w:rPr>
          <w:rFonts w:ascii="Times New Roman" w:cs="Times New Roman" w:eastAsia="Times New Roman" w:hAnsi="Times New Roman"/>
          <w:sz w:val="20"/>
          <w:szCs w:val="20"/>
          <w:b w:val="1"/>
          <w:bCs w:val="1"/>
          <w:i w:val="1"/>
          <w:iCs w:val="1"/>
          <w:color w:val="auto"/>
        </w:rPr>
        <w:t>Management Certificate</w:t>
      </w:r>
      <w:r>
        <w:rPr>
          <w:rFonts w:ascii="Times New Roman" w:cs="Times New Roman" w:eastAsia="Times New Roman" w:hAnsi="Times New Roman"/>
          <w:sz w:val="20"/>
          <w:szCs w:val="20"/>
          <w:color w:val="auto"/>
        </w:rPr>
        <w:t>”). In giving our opinion, we have also relied upon a good standing certificate regarding the Company issued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by the Delaware Secretary of State dated January 30, 2023. We have not undertaken any independent investigation to verify the accuracy of any such information, representations or warranties or to determine</w:t>
      </w:r>
    </w:p>
    <w:p>
      <w:pPr>
        <w:sectPr>
          <w:pgSz w:w="11900" w:h="16838" w:orient="portrait"/>
          <w:cols w:equalWidth="0" w:num="1">
            <w:col w:w="11240"/>
          </w:cols>
          <w:pgMar w:left="320" w:top="10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the existence or absence of any fact, and no inference as to our knowledge of the existence or absence of any fact should be drawn from our</w:t>
      </w:r>
    </w:p>
    <w:p>
      <w:pPr>
        <w:spacing w:after="0" w:line="221" w:lineRule="auto"/>
        <w:rPr>
          <w:sz w:val="20"/>
          <w:szCs w:val="20"/>
          <w:color w:val="auto"/>
        </w:rPr>
      </w:pPr>
      <w:r>
        <w:rPr>
          <w:rFonts w:ascii="Times New Roman" w:cs="Times New Roman" w:eastAsia="Times New Roman" w:hAnsi="Times New Roman"/>
          <w:sz w:val="20"/>
          <w:szCs w:val="20"/>
          <w:color w:val="auto"/>
        </w:rPr>
        <w:t>representation of the Company or the rendering of the opinion set forth below. We have not considered parol evidence in connection with any of the agreements or instruments reviewed by us in connection with this letter.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connection with our opinion expressed below, we have examined originals or copies of the Company’s current Certificate of</w:t>
      </w:r>
    </w:p>
    <w:p>
      <w:pPr>
        <w:spacing w:after="0" w:line="204" w:lineRule="auto"/>
        <w:rPr>
          <w:sz w:val="20"/>
          <w:szCs w:val="20"/>
          <w:color w:val="auto"/>
        </w:rPr>
      </w:pPr>
      <w:r>
        <w:rPr>
          <w:rFonts w:ascii="Times New Roman" w:cs="Times New Roman" w:eastAsia="Times New Roman" w:hAnsi="Times New Roman"/>
          <w:sz w:val="20"/>
          <w:szCs w:val="20"/>
          <w:color w:val="auto"/>
        </w:rPr>
        <w:t>Incorporation and Bylaws, as amended (the “</w:t>
      </w:r>
      <w:r>
        <w:rPr>
          <w:rFonts w:ascii="Times New Roman" w:cs="Times New Roman" w:eastAsia="Times New Roman" w:hAnsi="Times New Roman"/>
          <w:sz w:val="20"/>
          <w:szCs w:val="20"/>
          <w:b w:val="1"/>
          <w:bCs w:val="1"/>
          <w:i w:val="1"/>
          <w:iCs w:val="1"/>
          <w:color w:val="auto"/>
        </w:rPr>
        <w:t>Charter Documents</w:t>
      </w:r>
      <w:r>
        <w:rPr>
          <w:rFonts w:ascii="Times New Roman" w:cs="Times New Roman" w:eastAsia="Times New Roman" w:hAnsi="Times New Roman"/>
          <w:sz w:val="20"/>
          <w:szCs w:val="20"/>
          <w:color w:val="auto"/>
        </w:rPr>
        <w:t>”), certain corporate proceedings of the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and committees thereof and stockholders relating to the Underwriting Agreement, the Subscription Agreements, the Registration</w:t>
      </w:r>
    </w:p>
    <w:p>
      <w:pPr>
        <w:spacing w:after="0" w:line="211" w:lineRule="auto"/>
        <w:rPr>
          <w:sz w:val="20"/>
          <w:szCs w:val="20"/>
          <w:color w:val="auto"/>
        </w:rPr>
      </w:pPr>
      <w:r>
        <w:rPr>
          <w:rFonts w:ascii="Times New Roman" w:cs="Times New Roman" w:eastAsia="Times New Roman" w:hAnsi="Times New Roman"/>
          <w:sz w:val="20"/>
          <w:szCs w:val="20"/>
          <w:color w:val="auto"/>
        </w:rPr>
        <w:t>Statement and the Charter Documents, and such other agreements, documents, certificates and statements of the Company, its transfer agent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public or government officials, as we have deemed advisable, and have examined such questions of law as we have considered necessary. In our examination of documents for purposes of this letter, we have assumed, and express no opinion as to, the genuineness and authenticity</w:t>
      </w:r>
    </w:p>
    <w:p>
      <w:pPr>
        <w:spacing w:after="0" w:line="211" w:lineRule="auto"/>
        <w:rPr>
          <w:sz w:val="20"/>
          <w:szCs w:val="20"/>
          <w:color w:val="auto"/>
        </w:rPr>
      </w:pPr>
      <w:r>
        <w:rPr>
          <w:rFonts w:ascii="Times New Roman" w:cs="Times New Roman" w:eastAsia="Times New Roman" w:hAnsi="Times New Roman"/>
          <w:sz w:val="20"/>
          <w:szCs w:val="20"/>
          <w:color w:val="auto"/>
        </w:rPr>
        <w:t>of all signatures on original documents, the authenticity and completeness of all documents submitted to us as originals, that each document</w:t>
      </w:r>
    </w:p>
    <w:p>
      <w:pPr>
        <w:spacing w:after="0" w:line="204" w:lineRule="auto"/>
        <w:rPr>
          <w:sz w:val="20"/>
          <w:szCs w:val="20"/>
          <w:color w:val="auto"/>
        </w:rPr>
      </w:pPr>
      <w:r>
        <w:rPr>
          <w:rFonts w:ascii="Times New Roman" w:cs="Times New Roman" w:eastAsia="Times New Roman" w:hAnsi="Times New Roman"/>
          <w:sz w:val="20"/>
          <w:szCs w:val="20"/>
          <w:color w:val="auto"/>
        </w:rPr>
        <w:t>is what it purports to be, the conformity to originals of all documents submitted to us as copies or facsimile copies, the absence of any termination, modification or waiver of or amendment to any document reviewed by us (other than has been disclosed to us), the legal</w:t>
      </w:r>
    </w:p>
    <w:p>
      <w:pPr>
        <w:spacing w:after="0" w:line="211" w:lineRule="auto"/>
        <w:rPr>
          <w:sz w:val="20"/>
          <w:szCs w:val="20"/>
          <w:color w:val="auto"/>
        </w:rPr>
      </w:pPr>
      <w:r>
        <w:rPr>
          <w:rFonts w:ascii="Times New Roman" w:cs="Times New Roman" w:eastAsia="Times New Roman" w:hAnsi="Times New Roman"/>
          <w:sz w:val="20"/>
          <w:szCs w:val="20"/>
          <w:color w:val="auto"/>
        </w:rPr>
        <w:t>competence or capacity of all persons or entities (other than the Company) executing the same and (other than the Company) the due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authorization, execution and delivery of all documents by each party thereto. We have also assumed the conformity of the documents filed with the Commission via the Electronic Data Gathering, Analysis and Retrieval System (“</w:t>
      </w:r>
      <w:r>
        <w:rPr>
          <w:rFonts w:ascii="Times New Roman" w:cs="Times New Roman" w:eastAsia="Times New Roman" w:hAnsi="Times New Roman"/>
          <w:sz w:val="19"/>
          <w:szCs w:val="19"/>
          <w:b w:val="1"/>
          <w:bCs w:val="1"/>
          <w:i w:val="1"/>
          <w:iCs w:val="1"/>
          <w:color w:val="auto"/>
        </w:rPr>
        <w:t>EDGAR</w:t>
      </w:r>
      <w:r>
        <w:rPr>
          <w:rFonts w:ascii="Times New Roman" w:cs="Times New Roman" w:eastAsia="Times New Roman" w:hAnsi="Times New Roman"/>
          <w:sz w:val="19"/>
          <w:szCs w:val="19"/>
          <w:color w:val="auto"/>
        </w:rPr>
        <w:t>”), except for required EDGAR formatting</w:t>
      </w:r>
    </w:p>
    <w:p>
      <w:pPr>
        <w:spacing w:after="0"/>
        <w:rPr>
          <w:sz w:val="20"/>
          <w:szCs w:val="20"/>
          <w:color w:val="auto"/>
        </w:rPr>
      </w:pPr>
      <w:r>
        <w:rPr>
          <w:rFonts w:ascii="Times New Roman" w:cs="Times New Roman" w:eastAsia="Times New Roman" w:hAnsi="Times New Roman"/>
          <w:sz w:val="20"/>
          <w:szCs w:val="20"/>
          <w:color w:val="auto"/>
        </w:rPr>
        <w:t>changes, to physical copies submitted for our examination.</w:t>
      </w:r>
    </w:p>
    <w:p>
      <w:pPr>
        <w:spacing w:after="0" w:line="194"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The opinions in this letter are limited to the existing General Corporation Law of the State of Delaware now in effect. We express no opinion with respect to any other laws.</w:t>
      </w:r>
    </w:p>
    <w:p>
      <w:pPr>
        <w:spacing w:after="0" w:line="18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In connection with our opinions expressed below, we have assumed that, (i) at or prior to the time of the issuance and delivery of any of the Shares, there will not have occurred any change in the law or the facts affecting the validity of the Shares, (ii) at the time of the offer,</w:t>
      </w:r>
    </w:p>
    <w:p>
      <w:pPr>
        <w:spacing w:after="0" w:line="211" w:lineRule="auto"/>
        <w:rPr>
          <w:sz w:val="20"/>
          <w:szCs w:val="20"/>
          <w:color w:val="auto"/>
        </w:rPr>
      </w:pPr>
      <w:r>
        <w:rPr>
          <w:rFonts w:ascii="Times New Roman" w:cs="Times New Roman" w:eastAsia="Times New Roman" w:hAnsi="Times New Roman"/>
          <w:sz w:val="20"/>
          <w:szCs w:val="20"/>
          <w:color w:val="auto"/>
        </w:rPr>
        <w:t>issuance and sale of any Shares, no stop order suspending the Registration Statement’s effectiveness will have been issued and remain in</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effect, (iii) no future amendments will be made to the Charter Documents or changes will be made to actions of the Board, the committees thereof or the Company’s stockholders that would be in conflict with or inconsistent with the Company’s right and ability to issue the Shares,</w:t>
      </w:r>
    </w:p>
    <w:p>
      <w:pPr>
        <w:jc w:val="both"/>
        <w:ind w:firstLine="8"/>
        <w:spacing w:after="0" w:line="228" w:lineRule="auto"/>
        <w:tabs>
          <w:tab w:leader="none" w:pos="351"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each offer, issuance and sale of any Shares, the Company will have a sufficient number of authorized and unissued and unreserved shares of Common Stock (after taking into account all other outstanding securities of the Company which may require the Company to issue shares of Common Stock) to be able to issue all such Shares, and (v) the purchasers of the Shares will timely pay in full to the Company all amounts they have agreed to pay to purchase such Shares, as approved by the Board or a duly authorized committee thereof.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Based upon the foregoing, we are of the opinion that:</w:t>
      </w:r>
    </w:p>
    <w:p>
      <w:pPr>
        <w:spacing w:after="0" w:line="202" w:lineRule="exact"/>
        <w:rPr>
          <w:sz w:val="20"/>
          <w:szCs w:val="20"/>
          <w:color w:val="auto"/>
        </w:rPr>
      </w:pPr>
    </w:p>
    <w:p>
      <w:pPr>
        <w:jc w:val="both"/>
        <w:ind w:left="1300" w:hanging="320"/>
        <w:spacing w:after="0" w:line="222" w:lineRule="auto"/>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Underwritten Offering Shares to be issued and sold by the Company, when issued, sold and delivered (A) in accordance with the terms of the Underwriting Agreement, and (ii) the Registration Statement and the Underwritten Offering Prospectus and (B) in accordance with the resolutions adopted by the Board or a committee thereof referenced above, will be validly issued, fully paid and nonassessable; and</w:t>
      </w:r>
    </w:p>
    <w:p>
      <w:pPr>
        <w:spacing w:after="0" w:line="188" w:lineRule="exact"/>
        <w:rPr>
          <w:rFonts w:ascii="Times New Roman" w:cs="Times New Roman" w:eastAsia="Times New Roman" w:hAnsi="Times New Roman"/>
          <w:sz w:val="20"/>
          <w:szCs w:val="20"/>
          <w:color w:val="auto"/>
        </w:rPr>
      </w:pPr>
    </w:p>
    <w:p>
      <w:pPr>
        <w:jc w:val="both"/>
        <w:ind w:left="1300" w:hanging="320"/>
        <w:spacing w:after="0" w:line="222" w:lineRule="auto"/>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Offering Shares to be issued and sold by the Company, when issued, sold and delivered (A) in accordance with the terms of the Subscription Agreements, and (ii) the Registration Statement and the Direct Offering Prospectus and (B) in accordance with the resolutions adopted by the Board or a committee thereof referenced above, will be validly issued, fully paid and nonassessable.</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We consent to the use of this opinion as an exhibit to the Company’s Current Report on Form 8-K to be filed with the Commission and further consent to all references to us, if any, in the Registration Statement, the Underwritten Offering Prospectus, the Direct Offering</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Prospectus and any amendments or supplements thereto. We do not thereby admit that we are within the category of persons whose consent is required under Section 7 of the Act or the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20"/>
          <w:szCs w:val="20"/>
          <w:color w:val="auto"/>
        </w:rPr>
        <w:t>This opinion is intended solely for your use in connection with issuance and sale of the Shares subject to the Registration Statement</w:t>
      </w:r>
    </w:p>
    <w:p>
      <w:pPr>
        <w:spacing w:after="0" w:line="215" w:lineRule="auto"/>
        <w:rPr>
          <w:sz w:val="20"/>
          <w:szCs w:val="20"/>
          <w:color w:val="auto"/>
        </w:rPr>
      </w:pPr>
      <w:r>
        <w:rPr>
          <w:rFonts w:ascii="Times New Roman" w:cs="Times New Roman" w:eastAsia="Times New Roman" w:hAnsi="Times New Roman"/>
          <w:sz w:val="19"/>
          <w:szCs w:val="19"/>
          <w:color w:val="auto"/>
        </w:rPr>
        <w:t>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w:t>
      </w:r>
    </w:p>
    <w:p>
      <w:pPr>
        <w:spacing w:after="0" w:line="222" w:lineRule="auto"/>
        <w:rPr>
          <w:sz w:val="20"/>
          <w:szCs w:val="20"/>
          <w:color w:val="auto"/>
        </w:rPr>
      </w:pPr>
      <w:r>
        <w:rPr>
          <w:rFonts w:ascii="Times New Roman" w:cs="Times New Roman" w:eastAsia="Times New Roman" w:hAnsi="Times New Roman"/>
          <w:sz w:val="19"/>
          <w:szCs w:val="19"/>
          <w:color w:val="auto"/>
        </w:rPr>
        <w:t>this letter first written above, and does not address any potential change in facts or law that may occur after the date of this opinion letter. We</w:t>
      </w:r>
    </w:p>
    <w:p>
      <w:pPr>
        <w:spacing w:after="0" w:line="221" w:lineRule="auto"/>
        <w:rPr>
          <w:sz w:val="20"/>
          <w:szCs w:val="20"/>
          <w:color w:val="auto"/>
        </w:rPr>
      </w:pPr>
      <w:r>
        <w:rPr>
          <w:rFonts w:ascii="Times New Roman" w:cs="Times New Roman" w:eastAsia="Times New Roman" w:hAnsi="Times New Roman"/>
          <w:sz w:val="20"/>
          <w:szCs w:val="20"/>
          <w:color w:val="auto"/>
        </w:rPr>
        <w:t>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17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/s/ Fenwick &amp; West LLP</w:t>
      </w:r>
    </w:p>
    <w:p>
      <w:pPr>
        <w:spacing w:after="0" w:line="18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FENWICK &amp; WEST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SUBSCRIPTION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GeneDx Holdings Corp.</w:t>
      </w:r>
    </w:p>
    <w:p>
      <w:pPr>
        <w:spacing w:after="0" w:line="185" w:lineRule="auto"/>
        <w:rPr>
          <w:sz w:val="20"/>
          <w:szCs w:val="20"/>
          <w:color w:val="auto"/>
        </w:rPr>
      </w:pPr>
      <w:r>
        <w:rPr>
          <w:rFonts w:ascii="Times New Roman" w:cs="Times New Roman" w:eastAsia="Times New Roman" w:hAnsi="Times New Roman"/>
          <w:sz w:val="17"/>
          <w:szCs w:val="17"/>
          <w:color w:val="auto"/>
        </w:rPr>
        <w:t>333 Ludlow Street, North Tower, 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 06902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hereby confirms its agreement with you as follows:</w:t>
      </w:r>
    </w:p>
    <w:p>
      <w:pPr>
        <w:spacing w:after="0" w:line="185" w:lineRule="exact"/>
        <w:rPr>
          <w:sz w:val="20"/>
          <w:szCs w:val="20"/>
          <w:color w:val="auto"/>
        </w:rPr>
      </w:pPr>
    </w:p>
    <w:p>
      <w:pPr>
        <w:ind w:firstLine="656"/>
        <w:spacing w:after="0" w:line="239" w:lineRule="auto"/>
        <w:tabs>
          <w:tab w:leader="none" w:pos="129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the date set forth below between GeneDx Holdings Corp.,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Investor.</w:t>
      </w:r>
    </w:p>
    <w:p>
      <w:pPr>
        <w:spacing w:after="0" w:line="168" w:lineRule="exact"/>
        <w:rPr>
          <w:rFonts w:ascii="Times New Roman" w:cs="Times New Roman" w:eastAsia="Times New Roman" w:hAnsi="Times New Roman"/>
          <w:sz w:val="18"/>
          <w:szCs w:val="18"/>
          <w:b w:val="1"/>
          <w:bCs w:val="1"/>
          <w:color w:val="auto"/>
        </w:rPr>
      </w:pPr>
    </w:p>
    <w:p>
      <w:pPr>
        <w:jc w:val="both"/>
        <w:ind w:right="20" w:firstLine="656"/>
        <w:spacing w:after="0" w:line="227" w:lineRule="auto"/>
        <w:tabs>
          <w:tab w:leader="none" w:pos="129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authorized the sale and issuance to certain investors of up to an aggregate of 100,000,000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its Class A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purchase price of the Shares will be $0.35 per share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 Purchase Price</w:t>
      </w:r>
      <w:r>
        <w:rPr>
          <w:rFonts w:ascii="Times New Roman" w:cs="Times New Roman" w:eastAsia="Times New Roman" w:hAnsi="Times New Roman"/>
          <w:sz w:val="18"/>
          <w:szCs w:val="18"/>
          <w:color w:val="auto"/>
        </w:rPr>
        <w:t>”).</w:t>
      </w:r>
    </w:p>
    <w:p>
      <w:pPr>
        <w:spacing w:after="0" w:line="168" w:lineRule="exact"/>
        <w:rPr>
          <w:rFonts w:ascii="Times New Roman" w:cs="Times New Roman" w:eastAsia="Times New Roman" w:hAnsi="Times New Roman"/>
          <w:sz w:val="18"/>
          <w:szCs w:val="18"/>
          <w:b w:val="1"/>
          <w:bCs w:val="1"/>
          <w:color w:val="auto"/>
        </w:rPr>
      </w:pPr>
    </w:p>
    <w:p>
      <w:pPr>
        <w:jc w:val="both"/>
        <w:ind w:firstLine="656"/>
        <w:spacing w:after="0" w:line="218" w:lineRule="auto"/>
        <w:tabs>
          <w:tab w:leader="none" w:pos="129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offering and sale of the Shares (this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is being made pursuant to (1) an effective registration statement on Form S-3 (File No. 333-267112) (including the prospectus contained therein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and (2) a prospectus supplement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containing certain supplemental information regarding the Shares and terms of this Offering that will be filed with the Commission and delivered to the Investor (or made available to the Investor by the filing by the Company of an electronic version thereof with the Commission).</w:t>
      </w:r>
    </w:p>
    <w:p>
      <w:pPr>
        <w:spacing w:after="0" w:line="171" w:lineRule="exact"/>
        <w:rPr>
          <w:rFonts w:ascii="Times New Roman" w:cs="Times New Roman" w:eastAsia="Times New Roman" w:hAnsi="Times New Roman"/>
          <w:sz w:val="18"/>
          <w:szCs w:val="18"/>
          <w:b w:val="1"/>
          <w:bCs w:val="1"/>
          <w:color w:val="auto"/>
        </w:rPr>
      </w:pPr>
    </w:p>
    <w:p>
      <w:pPr>
        <w:jc w:val="both"/>
        <w:ind w:firstLine="656"/>
        <w:spacing w:after="0" w:line="224" w:lineRule="auto"/>
        <w:tabs>
          <w:tab w:leader="none" w:pos="129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and the Investor agree that the Investor will purchase from the Company and the Company will issue and sell to the Investor the Shares set forth below at the aggregate purchase price set forth below. The Shares shall be purchased pursuant to the Terms and Conditions for Purchase of Shares attached hereto as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and incorporated herein by reference as if fully set forth herein. The Investor acknowledges that the offering under this Agreement is not being underwritten.</w:t>
      </w:r>
    </w:p>
    <w:p>
      <w:pPr>
        <w:spacing w:after="0" w:line="158" w:lineRule="exact"/>
        <w:rPr>
          <w:rFonts w:ascii="Times New Roman" w:cs="Times New Roman" w:eastAsia="Times New Roman" w:hAnsi="Times New Roman"/>
          <w:sz w:val="18"/>
          <w:szCs w:val="18"/>
          <w:b w:val="1"/>
          <w:bCs w:val="1"/>
          <w:color w:val="auto"/>
        </w:rPr>
      </w:pPr>
    </w:p>
    <w:p>
      <w:pPr>
        <w:jc w:val="both"/>
        <w:ind w:firstLine="656"/>
        <w:spacing w:after="0" w:line="220" w:lineRule="auto"/>
        <w:tabs>
          <w:tab w:leader="none" w:pos="129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Investor acknowledges that (i) there is no minimum offering amount and (ii) the Investor’s obligations under this Agreement, including the obligation to purchase Shares, are expressly not conditioned on the purchase by any or all of the Other Investors (as defined in Annex I hereto) of the Shares that they have agreed to purchase from the Company or the sale by the Company of any specified aggregate number of Shares. Notwithstanding the foregoing, the Investor’s obligation to consummate the purchase hereunder is contingent upon the substantially concurrent consummation of the concurrent registered public offering referred to in Annex I, which shall have occurred immediately prior to the Initial Closing (as defined in Section 3.1 of Annex I hereto).</w:t>
      </w:r>
    </w:p>
    <w:p>
      <w:pPr>
        <w:spacing w:after="0" w:line="157" w:lineRule="exact"/>
        <w:rPr>
          <w:rFonts w:ascii="Times New Roman" w:cs="Times New Roman" w:eastAsia="Times New Roman" w:hAnsi="Times New Roman"/>
          <w:sz w:val="18"/>
          <w:szCs w:val="18"/>
          <w:b w:val="1"/>
          <w:bCs w:val="1"/>
          <w:color w:val="auto"/>
        </w:rPr>
      </w:pPr>
    </w:p>
    <w:p>
      <w:pPr>
        <w:jc w:val="both"/>
        <w:ind w:firstLine="656"/>
        <w:spacing w:after="0" w:line="217" w:lineRule="auto"/>
        <w:tabs>
          <w:tab w:leader="none" w:pos="129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settlement of the Shares purchased by the Investor shall be by delivery in book entry form (or, if requested by the Investor in writing in advance of the applicable Closing (as defined in Annex I hereto), in certificated form, duly executed on behalf of the Company and countersigned by Continental Stock Transfer &amp; Trust Company,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xml:space="preserve">”), free and clear of any liens or other restrictions whatsoever (other than those arising under (i) state or federal securities laws and (ii) the lock-up terms set forth in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in respect of the Shares), in the name of the Investor (or its nominee in accordance with its delivery instructions) or to a custodian designated by the Investor, as applicable, with a copy of the records of the Transfer Agent showing the Investor as the owner of the applicable Shares on and as of the Initial Closing Date or the Second Closing Date (each, as defined in Annex I hereto), as applicable.</w:t>
      </w:r>
    </w:p>
    <w:p>
      <w:pPr>
        <w:spacing w:after="0" w:line="161"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7"/>
          <w:szCs w:val="17"/>
          <w:color w:val="auto"/>
        </w:rPr>
        <w:t>AFTER THE EXECUTION OF THIS AGREEMENT BY THE INVESTOR AND THE COMPANY, THE INVESTOR SHALL AT THE APPLICABLE CLOSING REMIT BY WIRE TRANSFER THE AMOUNT OF FUNDS EQUAL TO THE AGGREGATE PURCHASE PRICE FOR THE</w:t>
      </w:r>
    </w:p>
    <w:p>
      <w:pPr>
        <w:spacing w:after="0"/>
        <w:rPr>
          <w:sz w:val="20"/>
          <w:szCs w:val="20"/>
          <w:color w:val="auto"/>
        </w:rPr>
      </w:pPr>
      <w:r>
        <w:rPr>
          <w:rFonts w:ascii="Times New Roman" w:cs="Times New Roman" w:eastAsia="Times New Roman" w:hAnsi="Times New Roman"/>
          <w:sz w:val="18"/>
          <w:szCs w:val="18"/>
          <w:color w:val="auto"/>
        </w:rPr>
        <w:t>SECURITIES BEING PURCHASED BY THE INVESTOR AT SUCH CLOSING TO THE FOLLOWING ACCOUNT: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Bank:</w:t>
      </w:r>
    </w:p>
    <w:p>
      <w:pPr>
        <w:ind w:left="1300"/>
        <w:spacing w:after="0" w:line="219" w:lineRule="auto"/>
        <w:rPr>
          <w:sz w:val="20"/>
          <w:szCs w:val="20"/>
          <w:color w:val="auto"/>
        </w:rPr>
      </w:pPr>
      <w:r>
        <w:rPr>
          <w:rFonts w:ascii="Times New Roman" w:cs="Times New Roman" w:eastAsia="Times New Roman" w:hAnsi="Times New Roman"/>
          <w:sz w:val="18"/>
          <w:szCs w:val="18"/>
          <w:color w:val="auto"/>
        </w:rPr>
        <w:t>Routing#:</w:t>
      </w:r>
    </w:p>
    <w:p>
      <w:pPr>
        <w:ind w:left="1300"/>
        <w:spacing w:after="0" w:line="203" w:lineRule="auto"/>
        <w:rPr>
          <w:sz w:val="20"/>
          <w:szCs w:val="20"/>
          <w:color w:val="auto"/>
        </w:rPr>
      </w:pPr>
      <w:r>
        <w:rPr>
          <w:rFonts w:ascii="Times New Roman" w:cs="Times New Roman" w:eastAsia="Times New Roman" w:hAnsi="Times New Roman"/>
          <w:sz w:val="18"/>
          <w:szCs w:val="18"/>
          <w:color w:val="auto"/>
        </w:rPr>
        <w:t>Acct#: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Acct Name: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THE INVESTOR’S RESPONSIBILITY TO MAKE THE NECESSARY WIRE TRANSFER IN A TIMELY MANNER. IF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INVESTOR DOES NOT DELIVER THE AGGREGATE PURCHASE PRICE FOR THE SECURITIES, THE SECURITIES MAY NOT BE DELIVERED AT THE APPLICABLE CLOSING TO THE INVESTOR OR THE INVESTOR MAY BE EXCLUDED FROM SUCH CLOSING ALTOGETHER.</w:t>
      </w:r>
    </w:p>
    <w:p>
      <w:pPr>
        <w:spacing w:after="0" w:line="172" w:lineRule="exact"/>
        <w:rPr>
          <w:sz w:val="20"/>
          <w:szCs w:val="20"/>
          <w:color w:val="auto"/>
        </w:rPr>
      </w:pPr>
    </w:p>
    <w:p>
      <w:pPr>
        <w:jc w:val="both"/>
        <w:ind w:firstLine="656"/>
        <w:spacing w:after="0" w:line="220" w:lineRule="auto"/>
        <w:tabs>
          <w:tab w:leader="none" w:pos="1296"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Investor represents that, (a) it is not a FINRA member or an Associated Person (as such term is defined under the FINRA Membership and Registration Rules Section 1011) as of the applicable Closing, and (b) prior to the satisfaction of the Shareholder Approval Condition (as defined in Annex I hereto), neither the Investor nor any group of Investors (as identified in a public filing made with the Commission) of which the Investor is a part in connection with this Offering of the Shares, acquired, or obtained the right to acquire, 20% or more of the Common Stock (or securities convertible into or exercisable for Common Stock) or the voting power of the Company on a post-transaction basis.</w:t>
      </w:r>
    </w:p>
    <w:p>
      <w:pPr>
        <w:sectPr>
          <w:pgSz w:w="11900" w:h="16838" w:orient="portrait"/>
          <w:cols w:equalWidth="0" w:num="1">
            <w:col w:w="11240"/>
          </w:cols>
          <w:pgMar w:left="320" w:top="104" w:right="339" w:bottom="1440" w:gutter="0" w:footer="0" w:header="0"/>
        </w:sectPr>
      </w:pPr>
    </w:p>
    <w:bookmarkStart w:id="40" w:name="page41"/>
    <w:bookmarkEnd w:id="40"/>
    <w:p>
      <w:pPr>
        <w:spacing w:after="0" w:line="200" w:lineRule="exact"/>
        <w:rPr>
          <w:sz w:val="20"/>
          <w:szCs w:val="20"/>
          <w:color w:val="auto"/>
        </w:rPr>
      </w:pPr>
    </w:p>
    <w:p>
      <w:pPr>
        <w:spacing w:after="0" w:line="223" w:lineRule="exact"/>
        <w:rPr>
          <w:sz w:val="20"/>
          <w:szCs w:val="20"/>
          <w:color w:val="auto"/>
        </w:rPr>
      </w:pPr>
    </w:p>
    <w:p>
      <w:pPr>
        <w:jc w:val="both"/>
        <w:ind w:firstLine="656"/>
        <w:spacing w:after="0" w:line="220" w:lineRule="auto"/>
        <w:tabs>
          <w:tab w:leader="none" w:pos="1296"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Investor represents that it has received (or otherwise had made available to it by the filing by the Company of an electronic version thereof with the Commission) the Base Prospectus, which is a part of the Company’s Registration Statement and the documents incorporated by reference therein (collectively, the “</w:t>
      </w:r>
      <w:r>
        <w:rPr>
          <w:rFonts w:ascii="Times New Roman" w:cs="Times New Roman" w:eastAsia="Times New Roman" w:hAnsi="Times New Roman"/>
          <w:sz w:val="18"/>
          <w:szCs w:val="18"/>
          <w:b w:val="1"/>
          <w:bCs w:val="1"/>
          <w:color w:val="auto"/>
        </w:rPr>
        <w:t>Disclosure Package</w:t>
      </w:r>
      <w:r>
        <w:rPr>
          <w:rFonts w:ascii="Times New Roman" w:cs="Times New Roman" w:eastAsia="Times New Roman" w:hAnsi="Times New Roman"/>
          <w:sz w:val="18"/>
          <w:szCs w:val="18"/>
          <w:color w:val="auto"/>
        </w:rPr>
        <w:t>”), prior to or in connection with the receipt of this Agreement. The Investor acknowledges that, prior to the delivery of this Agreement to the Company, the Investor will receive certain additional information regarding this Offering, including pricing information (the “</w:t>
      </w:r>
      <w:r>
        <w:rPr>
          <w:rFonts w:ascii="Times New Roman" w:cs="Times New Roman" w:eastAsia="Times New Roman" w:hAnsi="Times New Roman"/>
          <w:sz w:val="18"/>
          <w:szCs w:val="18"/>
          <w:b w:val="1"/>
          <w:bCs w:val="1"/>
          <w:color w:val="auto"/>
        </w:rPr>
        <w:t>Offering Information</w:t>
      </w:r>
      <w:r>
        <w:rPr>
          <w:rFonts w:ascii="Times New Roman" w:cs="Times New Roman" w:eastAsia="Times New Roman" w:hAnsi="Times New Roman"/>
          <w:sz w:val="18"/>
          <w:szCs w:val="18"/>
          <w:color w:val="auto"/>
        </w:rPr>
        <w:t>”). Such information may be provided to the Investor by any means permitted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including the Prospectus Supplement and oral communications.</w:t>
      </w:r>
    </w:p>
    <w:p>
      <w:pPr>
        <w:spacing w:after="0" w:line="157" w:lineRule="exact"/>
        <w:rPr>
          <w:rFonts w:ascii="Times New Roman" w:cs="Times New Roman" w:eastAsia="Times New Roman" w:hAnsi="Times New Roman"/>
          <w:sz w:val="18"/>
          <w:szCs w:val="18"/>
          <w:b w:val="1"/>
          <w:bCs w:val="1"/>
          <w:color w:val="auto"/>
        </w:rPr>
      </w:pPr>
    </w:p>
    <w:p>
      <w:pPr>
        <w:jc w:val="both"/>
        <w:ind w:firstLine="656"/>
        <w:spacing w:after="0" w:line="220" w:lineRule="auto"/>
        <w:tabs>
          <w:tab w:leader="none" w:pos="1296"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offer by the Investor to buy Shares will be accepted and no part of the Purchase Price will be delivered to the Company until the Investor has received the Offering Information and the Company has accepted such offer by countersigning a copy of this Agreement, and any such offer may be withdrawn or revoked by the Investor, without obligation or commitment of any kind, at any time prior to the Company sending (orally, in writing or by electronic mail) notice of its acceptance of such offer. An indication of interest will involve no obligation or commitment of any kind until the Investor has been delivered the Offering Information and this Agreement is accepted and countersigned by or on behalf of the Company.</w:t>
      </w:r>
    </w:p>
    <w:p>
      <w:pPr>
        <w:spacing w:after="0" w:line="171" w:lineRule="exact"/>
        <w:rPr>
          <w:rFonts w:ascii="Times New Roman" w:cs="Times New Roman" w:eastAsia="Times New Roman" w:hAnsi="Times New Roman"/>
          <w:sz w:val="18"/>
          <w:szCs w:val="18"/>
          <w:b w:val="1"/>
          <w:bCs w:val="1"/>
          <w:color w:val="auto"/>
        </w:rPr>
      </w:pPr>
    </w:p>
    <w:p>
      <w:pPr>
        <w:jc w:val="both"/>
        <w:ind w:firstLine="656"/>
        <w:spacing w:after="0" w:line="212" w:lineRule="auto"/>
        <w:tabs>
          <w:tab w:leader="none" w:pos="129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Investor agrees to be bound by the lock-up terms set forth in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in respect of the Shares, which is incorporated herein by reference as if fully set forth herein. Following the expiration of the lock-up terms set forth in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in respect of the Shares, the Company shall use its commercially reasonable efforts to remove any Stop Transfer Instructions (as defined in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thereon and issue to such holder by electronic delivery at the applicable balance account at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if (i) in connection with a sale, assignment or other transfer, such holder provides the Company with an opinion of counsel and other customary paperwork, in a form reasonably acceptable to the Company, to the effect that such sale, assignment or transfer of the Shares may be made without registration under the applicable requirements of the Act and such holder agrees to sell, assign or otherwise transfer such securities in accordance with such valid exemption from the registration requirements of the Act, or (ii) the Shares can be sold, assigned or transferred without restriction or current public information requirements pursuant to Rule 144 under the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including without limitation, any volume and manner of sale restrictions which may be applicable to affiliates under Rule 144 and any requirement for the Company to be in compliance with the current public information required under Rule 144(c) or Rule 144(i), as applicable, and in each case, the holder provides the Company with customary paperwork including an undertaking to effect that any sales or other transfers will occur in accordance with Rule 144. The Company shall be responsible for the fees of the Transfer Agent and all DTC fees associated with such issuance and the Investor shall be responsible for all other fees and expenses (including, without limitation, any applicable broker fees, fees and disbursements of their legal counsel and any applicable transfer taxes).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Number of Shares to be sold at Initial Closing: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to be sold at Second Closing: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Per Share: $0.35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Purchase Price payable at the Initial Closing: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Purchase Price payable at the Second Closing:</w:t>
      </w:r>
    </w:p>
    <w:p>
      <w:pPr>
        <w:spacing w:after="0" w:line="198"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color w:val="auto"/>
        </w:rPr>
        <w:t>Please confirm that the foregoing correctly sets forth the agreement between us by signing in the space provided below for that purpose.</w:t>
      </w:r>
    </w:p>
    <w:p>
      <w:pPr>
        <w:spacing w:after="0" w:line="25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88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1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00" w:lineRule="exact"/>
        <w:rPr>
          <w:sz w:val="20"/>
          <w:szCs w:val="20"/>
          <w:color w:val="auto"/>
        </w:rPr>
      </w:pPr>
    </w:p>
    <w:p>
      <w:pPr>
        <w:spacing w:after="0" w:line="2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88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88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88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565785</wp:posOffset>
            </wp:positionV>
            <wp:extent cx="2888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291465</wp:posOffset>
            </wp:positionV>
            <wp:extent cx="28886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8861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17145</wp:posOffset>
            </wp:positionV>
            <wp:extent cx="2888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886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This day of January [●], 2023</w:t>
      </w: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GENEDX HOLDINGS CORP.</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17145</wp:posOffset>
            </wp:positionV>
            <wp:extent cx="31286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17145</wp:posOffset>
            </wp:positionV>
            <wp:extent cx="31286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17145</wp:posOffset>
            </wp:positionV>
            <wp:extent cx="31286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ectPr>
          <w:pgSz w:w="11900" w:h="16838" w:orient="portrait"/>
          <w:cols w:equalWidth="0" w:num="1">
            <w:col w:w="10440"/>
          </w:cols>
          <w:pgMar w:left="320" w:top="1404" w:right="11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I</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FOR PURCHASE OF SECURITIES</w:t>
      </w:r>
    </w:p>
    <w:p>
      <w:pPr>
        <w:spacing w:after="0" w:line="198" w:lineRule="exact"/>
        <w:rPr>
          <w:sz w:val="20"/>
          <w:szCs w:val="20"/>
          <w:color w:val="auto"/>
        </w:rPr>
      </w:pPr>
    </w:p>
    <w:p>
      <w:pPr>
        <w:ind w:firstLine="656"/>
        <w:spacing w:after="0" w:line="239" w:lineRule="auto"/>
        <w:tabs>
          <w:tab w:leader="none" w:pos="843"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Authorization and Sale of the Shares. </w:t>
      </w:r>
      <w:r>
        <w:rPr>
          <w:rFonts w:ascii="Times New Roman" w:cs="Times New Roman" w:eastAsia="Times New Roman" w:hAnsi="Times New Roman"/>
          <w:sz w:val="18"/>
          <w:szCs w:val="18"/>
          <w:color w:val="auto"/>
        </w:rPr>
        <w:t>Subject to the terms and conditions of this Agreement, including the satisfaction of the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Condition (as defined below), the Company has authorized the sale of the Shares.</w:t>
      </w:r>
    </w:p>
    <w:p>
      <w:pPr>
        <w:spacing w:after="0" w:line="154"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to Sell and Purchase the Shares.</w:t>
      </w:r>
    </w:p>
    <w:p>
      <w:pPr>
        <w:spacing w:after="0" w:line="198"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At each of the Initial Closing and the Second Closing (each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Company will sell to the Investor,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Investor will purchase from the Company, upon the terms and conditions set forth herein, the applicable number of Shares set forth on the last page of the Agreement to which these Terms and Conditions for Purchase of Shares are attached as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Signature Page</w:t>
      </w:r>
      <w:r>
        <w:rPr>
          <w:rFonts w:ascii="Times New Roman" w:cs="Times New Roman" w:eastAsia="Times New Roman" w:hAnsi="Times New Roman"/>
          <w:sz w:val="18"/>
          <w:szCs w:val="18"/>
          <w:color w:val="auto"/>
        </w:rPr>
        <w:t>”) for the aggregate purchase price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 set forth on the Signature Page.</w:t>
      </w:r>
    </w:p>
    <w:p>
      <w:pPr>
        <w:spacing w:after="0" w:line="16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The Company may enter into substantially this same form of Subscription Agreement with certain other investors (the “</w:t>
      </w:r>
      <w:r>
        <w:rPr>
          <w:rFonts w:ascii="Times New Roman" w:cs="Times New Roman" w:eastAsia="Times New Roman" w:hAnsi="Times New Roman"/>
          <w:sz w:val="18"/>
          <w:szCs w:val="18"/>
          <w:b w:val="1"/>
          <w:bCs w:val="1"/>
          <w:color w:val="auto"/>
        </w:rPr>
        <w:t>Other Investors</w:t>
      </w:r>
      <w:r>
        <w:rPr>
          <w:rFonts w:ascii="Times New Roman" w:cs="Times New Roman" w:eastAsia="Times New Roman" w:hAnsi="Times New Roman"/>
          <w:sz w:val="18"/>
          <w:szCs w:val="18"/>
          <w:color w:val="auto"/>
        </w:rPr>
        <w:t>”) except for Section 10 of the Agreement, which will apply only to the Investor and any Other Investors that are affiliates of the Investor, and</w:t>
      </w:r>
    </w:p>
    <w:p>
      <w:pPr>
        <w:jc w:val="both"/>
        <w:spacing w:after="0" w:line="226" w:lineRule="auto"/>
        <w:rPr>
          <w:sz w:val="20"/>
          <w:szCs w:val="20"/>
          <w:color w:val="auto"/>
        </w:rPr>
      </w:pPr>
      <w:r>
        <w:rPr>
          <w:rFonts w:ascii="Times New Roman" w:cs="Times New Roman" w:eastAsia="Times New Roman" w:hAnsi="Times New Roman"/>
          <w:sz w:val="18"/>
          <w:szCs w:val="18"/>
          <w:color w:val="auto"/>
        </w:rPr>
        <w:t>may complete sales of Shares to them. The Investor and the Other Investors are hereinafter sometimes collectively referred to as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and this Agreement and the Subscription Agreements executed by the Other Investors are hereinafter sometimes collectively referred to as the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Closings and Delivery of the Shares and Funds.</w:t>
      </w:r>
    </w:p>
    <w:p>
      <w:pPr>
        <w:spacing w:after="0" w:line="198"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3.1 Closing. </w:t>
      </w:r>
      <w:r>
        <w:rPr>
          <w:rFonts w:ascii="Times New Roman" w:cs="Times New Roman" w:eastAsia="Times New Roman" w:hAnsi="Times New Roman"/>
          <w:sz w:val="18"/>
          <w:szCs w:val="18"/>
          <w:color w:val="auto"/>
        </w:rPr>
        <w:t>The completion of the purchase and sale of the Shares to be sold at the Initial Closing as set forth on the Signature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Shares, the “</w:t>
      </w:r>
      <w:r>
        <w:rPr>
          <w:rFonts w:ascii="Times New Roman" w:cs="Times New Roman" w:eastAsia="Times New Roman" w:hAnsi="Times New Roman"/>
          <w:sz w:val="18"/>
          <w:szCs w:val="18"/>
          <w:b w:val="1"/>
          <w:bCs w:val="1"/>
          <w:color w:val="auto"/>
        </w:rPr>
        <w:t>Initial Closing Shares</w:t>
      </w:r>
      <w:r>
        <w:rPr>
          <w:rFonts w:ascii="Times New Roman" w:cs="Times New Roman" w:eastAsia="Times New Roman" w:hAnsi="Times New Roman"/>
          <w:sz w:val="18"/>
          <w:szCs w:val="18"/>
          <w:color w:val="auto"/>
        </w:rPr>
        <w:t>” and such Closing, the “</w:t>
      </w:r>
      <w:r>
        <w:rPr>
          <w:rFonts w:ascii="Times New Roman" w:cs="Times New Roman" w:eastAsia="Times New Roman" w:hAnsi="Times New Roman"/>
          <w:sz w:val="18"/>
          <w:szCs w:val="18"/>
          <w:b w:val="1"/>
          <w:bCs w:val="1"/>
          <w:color w:val="auto"/>
        </w:rPr>
        <w:t>Initial Closing</w:t>
      </w:r>
      <w:r>
        <w:rPr>
          <w:rFonts w:ascii="Times New Roman" w:cs="Times New Roman" w:eastAsia="Times New Roman" w:hAnsi="Times New Roman"/>
          <w:sz w:val="18"/>
          <w:szCs w:val="18"/>
          <w:color w:val="auto"/>
        </w:rPr>
        <w:t>”) shall occur upon delivery of the Initial Closing Shares against payment therefor on or about January 30, 2023 which is the second (2) business day following the date of pricing of the Shares, or at such earlier date as the</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and Investors shall agree (the “</w:t>
      </w:r>
      <w:r>
        <w:rPr>
          <w:rFonts w:ascii="Times New Roman" w:cs="Times New Roman" w:eastAsia="Times New Roman" w:hAnsi="Times New Roman"/>
          <w:sz w:val="18"/>
          <w:szCs w:val="18"/>
          <w:b w:val="1"/>
          <w:bCs w:val="1"/>
          <w:color w:val="auto"/>
        </w:rPr>
        <w:t>Initial Closing Date</w:t>
      </w:r>
      <w:r>
        <w:rPr>
          <w:rFonts w:ascii="Times New Roman" w:cs="Times New Roman" w:eastAsia="Times New Roman" w:hAnsi="Times New Roman"/>
          <w:sz w:val="18"/>
          <w:szCs w:val="18"/>
          <w:color w:val="auto"/>
        </w:rPr>
        <w:t>”), in accordance with Rule 15c6-1 promulgated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completion of the purchase and sale of the Shares to be sold at the Second Closing as set forth on the Signature Page (such Shares, the “</w:t>
      </w:r>
      <w:r>
        <w:rPr>
          <w:rFonts w:ascii="Times New Roman" w:cs="Times New Roman" w:eastAsia="Times New Roman" w:hAnsi="Times New Roman"/>
          <w:sz w:val="18"/>
          <w:szCs w:val="18"/>
          <w:b w:val="1"/>
          <w:bCs w:val="1"/>
          <w:color w:val="auto"/>
        </w:rPr>
        <w:t>Second Closing Shares;</w:t>
      </w:r>
      <w:r>
        <w:rPr>
          <w:rFonts w:ascii="Times New Roman" w:cs="Times New Roman" w:eastAsia="Times New Roman" w:hAnsi="Times New Roman"/>
          <w:sz w:val="18"/>
          <w:szCs w:val="18"/>
          <w:color w:val="auto"/>
        </w:rPr>
        <w:t>” such Closing, the “</w:t>
      </w:r>
      <w:r>
        <w:rPr>
          <w:rFonts w:ascii="Times New Roman" w:cs="Times New Roman" w:eastAsia="Times New Roman" w:hAnsi="Times New Roman"/>
          <w:sz w:val="18"/>
          <w:szCs w:val="18"/>
          <w:b w:val="1"/>
          <w:bCs w:val="1"/>
          <w:color w:val="auto"/>
        </w:rPr>
        <w:t>Second Closing;</w:t>
      </w:r>
      <w:r>
        <w:rPr>
          <w:rFonts w:ascii="Times New Roman" w:cs="Times New Roman" w:eastAsia="Times New Roman" w:hAnsi="Times New Roman"/>
          <w:sz w:val="18"/>
          <w:szCs w:val="18"/>
          <w:color w:val="auto"/>
        </w:rPr>
        <w:t>” and each of the Initial Closing and the Second Closing is referred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as a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occur upon delivery of the Second Closing Shares against payment therefor on the second (2) business day following the date on which the Shareholder Approval Condition (as defined below) is first satisfied (the “</w:t>
      </w:r>
      <w:r>
        <w:rPr>
          <w:rFonts w:ascii="Times New Roman" w:cs="Times New Roman" w:eastAsia="Times New Roman" w:hAnsi="Times New Roman"/>
          <w:sz w:val="18"/>
          <w:szCs w:val="18"/>
          <w:b w:val="1"/>
          <w:bCs w:val="1"/>
          <w:color w:val="auto"/>
        </w:rPr>
        <w:t>Second Closing Date</w:t>
      </w:r>
      <w:r>
        <w:rPr>
          <w:rFonts w:ascii="Times New Roman" w:cs="Times New Roman" w:eastAsia="Times New Roman" w:hAnsi="Times New Roman"/>
          <w:sz w:val="18"/>
          <w:szCs w:val="18"/>
          <w:color w:val="auto"/>
        </w:rPr>
        <w:t>”), in accordance with Rule 15c6-1 promulgated under the Exchange Act. At each Closing, (a) the Company shall cause the Transfer Agent to deliver to the Investor the applicable number of Shares to be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purchased at such Closing as set forth on the Signature Page registered in the name of the Investor or, if so indicated on the Investor Questionnaire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in the name of a nominee designated by the Investor and (b) the aggregate purchase price for the applicable Shares being purchased by the Investor at such Closing as set forth on the Signature Page will be delivered by or on behalf of the Investor to the Company.</w:t>
      </w:r>
    </w:p>
    <w:p>
      <w:pPr>
        <w:spacing w:after="0" w:line="168"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3.2 Conditions to the Company’s Obligations. </w:t>
      </w:r>
      <w:r>
        <w:rPr>
          <w:rFonts w:ascii="Times New Roman" w:cs="Times New Roman" w:eastAsia="Times New Roman" w:hAnsi="Times New Roman"/>
          <w:sz w:val="18"/>
          <w:szCs w:val="18"/>
          <w:color w:val="auto"/>
        </w:rPr>
        <w:t>(a) The Company’s obligation to issue and sell the Initial Closing Shares to the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Initial Closing shall be subject to (i) the receipt by the Company of the purchase price for the Initial Closing Shares being purchased hereunder as set forth on the Signature Page and (ii) the accuracy of the representations and warranties made by the Investor and the fulfillment of those undertakings of the</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Investor to be fulfilled prior to the Initial Closing Date. The Company’s obligation to issue and sell the Second Closing Shares to the Investor at the Second Closing shall be subject to (i) the receipt by the Company of the purchase price for the Second Closing Shares being purchased hereunder as set forth on the Signature Page, (ii) the accuracy of the representations and warranties made by the Investor and the fulfillment of those undertakings of the Investor to be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fulfilled prior to the Second Closing Date, and (iii) the approval of the issuance of the Second Closing Shares by the stockholders of the Company under applicable NASDAQ Listing Rules or receipt of evidence reasonably satisfactory to Investor of the waiver by NASDAQ of such stockholder approval requirement (this clause (ii), the “</w:t>
      </w:r>
      <w:r>
        <w:rPr>
          <w:rFonts w:ascii="Times New Roman" w:cs="Times New Roman" w:eastAsia="Times New Roman" w:hAnsi="Times New Roman"/>
          <w:sz w:val="18"/>
          <w:szCs w:val="18"/>
          <w:b w:val="1"/>
          <w:bCs w:val="1"/>
          <w:color w:val="auto"/>
        </w:rPr>
        <w:t>Shareholder Approval Condition</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1952"/>
        <w:spacing w:after="0" w:line="224" w:lineRule="auto"/>
        <w:tabs>
          <w:tab w:leader="none" w:pos="221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Conditions to the Investor’s Obligations. </w:t>
      </w:r>
      <w:r>
        <w:rPr>
          <w:rFonts w:ascii="Times New Roman" w:cs="Times New Roman" w:eastAsia="Times New Roman" w:hAnsi="Times New Roman"/>
          <w:sz w:val="18"/>
          <w:szCs w:val="18"/>
          <w:color w:val="auto"/>
        </w:rPr>
        <w:t>The Investor’s obligation to purchase the Initial Closing Shares at the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as set forth on the Signature Page will be subject to the completion of this Offering by the Company as contemplated by this Agreement. The Investor’s obligation to purchase the Second Closing Shares at the Second Closing as set forth on the Signature Page will be subject to the satisfaction of the Shareholder Approval Condition. If the Shareholder Approval Condition has not been satisfied by October 26, 2023, Investor may terminate its obligation to purchase the Second Closing Shares at the Second Closing by written notice to the Company.</w:t>
      </w:r>
    </w:p>
    <w:p>
      <w:pPr>
        <w:spacing w:after="0" w:line="154" w:lineRule="exact"/>
        <w:rPr>
          <w:rFonts w:ascii="Times New Roman" w:cs="Times New Roman" w:eastAsia="Times New Roman" w:hAnsi="Times New Roman"/>
          <w:sz w:val="18"/>
          <w:szCs w:val="18"/>
          <w:color w:val="auto"/>
        </w:rPr>
      </w:pPr>
    </w:p>
    <w:p>
      <w:pPr>
        <w:jc w:val="both"/>
        <w:ind w:firstLine="1952"/>
        <w:spacing w:after="0" w:line="225" w:lineRule="auto"/>
        <w:tabs>
          <w:tab w:leader="none" w:pos="218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Disclaimer Regarding Partial Settlement. </w:t>
      </w:r>
      <w:r>
        <w:rPr>
          <w:rFonts w:ascii="Times New Roman" w:cs="Times New Roman" w:eastAsia="Times New Roman" w:hAnsi="Times New Roman"/>
          <w:sz w:val="18"/>
          <w:szCs w:val="18"/>
          <w:color w:val="auto"/>
        </w:rPr>
        <w:t>Except as provided in Section 5 of the Agreement, the Investor’s obligations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not conditioned on the purchase by any or all of the Other Investors of the Shares that they have agreed to purchase from the Company or the sale by the Company of any specified aggregate number of Shares to the Other Investors or in the concurrent registered public offering being conducted by the Company.</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3.3 Delivery of Funds. </w:t>
      </w:r>
      <w:r>
        <w:rPr>
          <w:rFonts w:ascii="Times New Roman" w:cs="Times New Roman" w:eastAsia="Times New Roman" w:hAnsi="Times New Roman"/>
          <w:sz w:val="18"/>
          <w:szCs w:val="18"/>
          <w:b w:val="1"/>
          <w:bCs w:val="1"/>
          <w:u w:val="single" w:color="auto"/>
          <w:color w:val="auto"/>
        </w:rPr>
        <w:t>After the execution of this Agreement by the Investor and the Company</w:t>
      </w:r>
      <w:r>
        <w:rPr>
          <w:rFonts w:ascii="Times New Roman" w:cs="Times New Roman" w:eastAsia="Times New Roman" w:hAnsi="Times New Roman"/>
          <w:sz w:val="18"/>
          <w:szCs w:val="18"/>
          <w:color w:val="auto"/>
        </w:rPr>
        <w:t>, at each Closing the Investor shall</w:t>
      </w:r>
    </w:p>
    <w:p>
      <w:pPr>
        <w:spacing w:after="0" w:line="6"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remit by wire transfer the amount of funds equal to the aggregate purchase price for the Shares being purchased by the Investor at such Closing to the following account designated by the Company:</w:t>
      </w:r>
    </w:p>
    <w:p>
      <w:pPr>
        <w:sectPr>
          <w:pgSz w:w="11900" w:h="16838" w:orient="portrait"/>
          <w:cols w:equalWidth="0" w:num="1">
            <w:col w:w="11240"/>
          </w:cols>
          <w:pgMar w:left="320" w:top="1400" w:right="339" w:bottom="1440" w:gutter="0" w:footer="0" w:header="0"/>
        </w:sectPr>
      </w:pPr>
    </w:p>
    <w:bookmarkStart w:id="43" w:name="page44"/>
    <w:bookmarkEnd w:id="43"/>
    <w:p>
      <w:pPr>
        <w:spacing w:after="0" w:line="200" w:lineRule="exact"/>
        <w:rPr>
          <w:sz w:val="20"/>
          <w:szCs w:val="20"/>
          <w:color w:val="auto"/>
        </w:rPr>
      </w:pP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Bank:</w:t>
      </w:r>
    </w:p>
    <w:p>
      <w:pPr>
        <w:ind w:left="1300"/>
        <w:spacing w:after="0" w:line="219" w:lineRule="auto"/>
        <w:rPr>
          <w:sz w:val="20"/>
          <w:szCs w:val="20"/>
          <w:color w:val="auto"/>
        </w:rPr>
      </w:pPr>
      <w:r>
        <w:rPr>
          <w:rFonts w:ascii="Times New Roman" w:cs="Times New Roman" w:eastAsia="Times New Roman" w:hAnsi="Times New Roman"/>
          <w:sz w:val="18"/>
          <w:szCs w:val="18"/>
          <w:color w:val="auto"/>
        </w:rPr>
        <w:t>Routing#:</w:t>
      </w:r>
    </w:p>
    <w:p>
      <w:pPr>
        <w:ind w:left="1300"/>
        <w:spacing w:after="0" w:line="203" w:lineRule="auto"/>
        <w:rPr>
          <w:sz w:val="20"/>
          <w:szCs w:val="20"/>
          <w:color w:val="auto"/>
        </w:rPr>
      </w:pPr>
      <w:r>
        <w:rPr>
          <w:rFonts w:ascii="Times New Roman" w:cs="Times New Roman" w:eastAsia="Times New Roman" w:hAnsi="Times New Roman"/>
          <w:sz w:val="18"/>
          <w:szCs w:val="18"/>
          <w:color w:val="auto"/>
        </w:rPr>
        <w:t>Acct#: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Acct Name:</w:t>
      </w:r>
    </w:p>
    <w:p>
      <w:pPr>
        <w:spacing w:after="0" w:line="16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Investor shall also furnish the Company a completed W-9 form (or, in the case of an Investor who is not a United States citizen or resident, a W-8 form).</w:t>
      </w:r>
    </w:p>
    <w:p>
      <w:pPr>
        <w:spacing w:after="0" w:line="200" w:lineRule="exact"/>
        <w:rPr>
          <w:sz w:val="20"/>
          <w:szCs w:val="20"/>
          <w:color w:val="auto"/>
        </w:rPr>
      </w:pPr>
    </w:p>
    <w:p>
      <w:pPr>
        <w:spacing w:after="0" w:line="4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Representations, Warranties and Covenants of the Investor.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acknowledges, represents and warrants to, and agrees with, the Company that:</w:t>
      </w:r>
    </w:p>
    <w:p>
      <w:pPr>
        <w:spacing w:after="0" w:line="194"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The Investor (a) is knowledgble, sophisticated and experienced in making, and is qualified to make decisions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in shares presenting an investment decision like that involved in the purchase of the Shares, including investments in securities issued by the Company and investments in comparable companies, (b) has answered all questions on the Signature Page and the Investor Questionnaire and the answers</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thereto are true and correct as of the date hereof and will be true and correct as of the Initial Closing Date and the Second Closing Date, as applicable, (c) in connection with its decision to purchase the number of Shares set forth on the Signature Page, has received and is relying solely upon (i) the Disclosure Package and the documents incorporated by reference therein and (ii) the Offering Information, and not any other preliminary or final prospectus pursuant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the Registration Statement and (d) the Investor it is responsible for conducting its own due diligence investigation with respect to the Company and this Offering, it is purchasing shares in this Offering based on the results of its own due diligence investigation of the Company, it has negotiated this Offering directly with the Company and the decision to invest in this Offering will involve a significant degree of risk, including a risk of total loss of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w:t>
      </w:r>
    </w:p>
    <w:p>
      <w:pPr>
        <w:spacing w:after="0" w:line="120"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color w:val="auto"/>
        </w:rPr>
        <w:t>(a) No action has been or will be taken in any jurisdiction outside the United States by the Company that would permit an offering</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the Shares, or possession or distribution of offering materials in connection with the issue of the Shares in any jurisdiction outside the United States where action for that purpose is required and (b) if the Investor is outside the United States, it will comply with all applicable laws and regulations in each foreign jurisdiction in which it purchases, offers, sells or delivers Shares or has in its possession or distributes any offering material, in all cases at its own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w:t>
      </w:r>
    </w:p>
    <w:p>
      <w:pPr>
        <w:spacing w:after="0" w:line="120"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color w:val="auto"/>
        </w:rPr>
        <w:t>The Investor has full right, power, authority and capacity to enter into this Agreement and to consummate the transactions</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contemplated hereby and has taken all necessary action to authorize the execution, delivery and performance of this Agreement, and (b) this Agreement constitutes a valid and binding obligation of the Investor enforceable against the Investor in accordance with its terms, except as enforceability may be limited by applicable bankruptcy, insolvency, reorganization, moratorium or similar laws affecting creditors’ and contracting parties’ rights generally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except as enforceability may be subject to general principles of equity (regardless of whether such enforceability is considered in a proceeding in equity or at law) and except as to the enforceability of any rights to indemnification or contribution that may be violative of the public policy underlying any law, rule or regulation (including any federal or state securities law, rule or regulation).</w:t>
      </w:r>
    </w:p>
    <w:p>
      <w:pPr>
        <w:spacing w:after="0" w:line="127"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color w:val="auto"/>
        </w:rPr>
        <w:t>The Investor understands that nothing in this Agreement, the Prospectus or any other materials presented to the Investor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purchase and sale of the Shares constitutes legal, tax or investment advice. The Investor has consulted such legal, tax and investment advisors as it, in its sole discretion, has deemed necessary or appropriate in connection with its purchase of Shares. The Investor acknowledges that the</w:t>
      </w:r>
    </w:p>
    <w:p>
      <w:pPr>
        <w:spacing w:after="0" w:line="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Company is conducting a concurrent public offering of Common Stock through an underwriter (the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Investor acknowledges that the Underwriter has not made any offer, representation or warranty with respect to this Offering, and Investor has not relied, and will not rely, on any statement made by the Underwriter, orally or in writing, to the contrary.</w:t>
      </w:r>
    </w:p>
    <w:p>
      <w:pPr>
        <w:spacing w:after="0" w:line="19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color w:val="auto"/>
        </w:rPr>
        <w:t>Since the date on which the Company first contacted such Investor about this Offering, the Investor has not engaged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in the securities of the Company (including, without limitation, any Short Sales (as defined below) involving the Company’s securities) and</w:t>
      </w:r>
    </w:p>
    <w:p>
      <w:pPr>
        <w:jc w:val="both"/>
        <w:spacing w:after="0" w:line="208" w:lineRule="auto"/>
        <w:rPr>
          <w:sz w:val="20"/>
          <w:szCs w:val="20"/>
          <w:color w:val="auto"/>
        </w:rPr>
      </w:pPr>
      <w:r>
        <w:rPr>
          <w:rFonts w:ascii="Times New Roman" w:cs="Times New Roman" w:eastAsia="Times New Roman" w:hAnsi="Times New Roman"/>
          <w:sz w:val="18"/>
          <w:szCs w:val="18"/>
          <w:color w:val="auto"/>
        </w:rPr>
        <w:t>has not violated its obligations of confidentiality. Each Investor covenants that it will not engage in any transactions in the securities of the Company (including Short Sales) or disclose any information about the contemplated offering (other than to its advisors that are under a legal obligation of confidentiality) prior to the time that the transactions contemplated by this Agreement are publicly disclosed. Each Investor agrees that it will not use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the Shares acquired pursuant to this Agreement to cover any short position in the Common Stock if doing so would be in violation of applicable securities laws. For purposes hereof, “</w:t>
      </w: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include, without limitation, all “short sales” as defined in Rule 200 promulgated under Regulation SHO under the Exchange Act, whether or not against the box, and all types of direct and indirect stock pledges, forward sales contracts, options, puts, calls, short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sales, swaps, “put equivalent positions” (as defined in Rule 16a-1(h) under the Exchange Act) and similar arrangements (including on a total return basis), and sales and other transactions through non-US broker dealers or foreign regulated brokers..</w:t>
      </w:r>
    </w:p>
    <w:p>
      <w:pPr>
        <w:spacing w:after="0" w:line="153" w:lineRule="exact"/>
        <w:rPr>
          <w:sz w:val="20"/>
          <w:szCs w:val="20"/>
          <w:color w:val="auto"/>
        </w:rPr>
      </w:pPr>
    </w:p>
    <w:p>
      <w:pPr>
        <w:jc w:val="both"/>
        <w:ind w:firstLine="656"/>
        <w:spacing w:after="0" w:line="232" w:lineRule="auto"/>
        <w:tabs>
          <w:tab w:leader="none" w:pos="85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Survival of Representations, Warranties and Agreements</w:t>
      </w:r>
      <w:r>
        <w:rPr>
          <w:rFonts w:ascii="Times New Roman" w:cs="Times New Roman" w:eastAsia="Times New Roman" w:hAnsi="Times New Roman"/>
          <w:sz w:val="18"/>
          <w:szCs w:val="18"/>
          <w:color w:val="auto"/>
        </w:rPr>
        <w:t>. Notwithstanding any investigation made by any party to this Agreement,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agreements, representations and warranties made by the Company and the Investor herein will survive the execution of this Agreement, the delivery to the Investor of the Shares being purchased and the payment therefor.</w:t>
      </w:r>
    </w:p>
    <w:p>
      <w:pPr>
        <w:spacing w:after="0" w:line="155" w:lineRule="exact"/>
        <w:rPr>
          <w:rFonts w:ascii="Times New Roman" w:cs="Times New Roman" w:eastAsia="Times New Roman" w:hAnsi="Times New Roman"/>
          <w:sz w:val="18"/>
          <w:szCs w:val="18"/>
          <w:b w:val="1"/>
          <w:bCs w:val="1"/>
          <w:color w:val="auto"/>
        </w:rPr>
      </w:pPr>
    </w:p>
    <w:p>
      <w:pPr>
        <w:jc w:val="both"/>
        <w:ind w:firstLine="656"/>
        <w:spacing w:after="0" w:line="220" w:lineRule="auto"/>
        <w:tabs>
          <w:tab w:leader="none" w:pos="828"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requests, consents and other communications hereunder will be in writing, will be mailed (a) if within the domestic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by first-class registered or certified airmail, or nationally recognized overnight express courier, postage prepaid, or by facsimile or (b) if delivered from outside the United States, by International Federal Express or facsimile, and will be deemed given (i) if delivered by first-class registered or certified mail domestic, three business days after so mailed, (ii) if delivered by nationally recognized overnight carrier, one business day after so mailed, (iii) if delivered by International Federal Express, two business days after so mailed and (iv) if delivered by facsimile, upon electric confirmation of receipt and will be delivered and addressed as follows:</w:t>
      </w:r>
    </w:p>
    <w:p>
      <w:pPr>
        <w:sectPr>
          <w:pgSz w:w="11900" w:h="16838" w:orient="portrait"/>
          <w:cols w:equalWidth="0" w:num="1">
            <w:col w:w="11240"/>
          </w:cols>
          <w:pgMar w:left="320" w:top="1440" w:right="339" w:bottom="1440" w:gutter="0" w:footer="0" w:header="0"/>
        </w:sectPr>
      </w:pPr>
    </w:p>
    <w:bookmarkStart w:id="44" w:name="page45"/>
    <w:bookmarkEnd w:id="44"/>
    <w:p>
      <w:pPr>
        <w:ind w:left="640" w:hanging="398"/>
        <w:spacing w:after="0"/>
        <w:tabs>
          <w:tab w:leader="none" w:pos="6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if to the Company, to</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GeneDx Holdings Corp.</w:t>
      </w:r>
    </w:p>
    <w:p>
      <w:pPr>
        <w:ind w:left="2600"/>
        <w:spacing w:after="0" w:line="185" w:lineRule="auto"/>
        <w:rPr>
          <w:sz w:val="20"/>
          <w:szCs w:val="20"/>
          <w:color w:val="auto"/>
        </w:rPr>
      </w:pPr>
      <w:r>
        <w:rPr>
          <w:rFonts w:ascii="Times New Roman" w:cs="Times New Roman" w:eastAsia="Times New Roman" w:hAnsi="Times New Roman"/>
          <w:sz w:val="17"/>
          <w:szCs w:val="17"/>
          <w:color w:val="auto"/>
        </w:rPr>
        <w:t>333 Ludlow Street, North Tower, 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Floor</w:t>
      </w:r>
    </w:p>
    <w:p>
      <w:pPr>
        <w:ind w:left="2600"/>
        <w:spacing w:after="0" w:line="204" w:lineRule="auto"/>
        <w:rPr>
          <w:sz w:val="20"/>
          <w:szCs w:val="20"/>
          <w:color w:val="auto"/>
        </w:rPr>
      </w:pPr>
      <w:r>
        <w:rPr>
          <w:rFonts w:ascii="Times New Roman" w:cs="Times New Roman" w:eastAsia="Times New Roman" w:hAnsi="Times New Roman"/>
          <w:sz w:val="18"/>
          <w:szCs w:val="18"/>
          <w:color w:val="auto"/>
        </w:rPr>
        <w:t>Stamford, Connecticut 06902</w:t>
      </w:r>
    </w:p>
    <w:p>
      <w:pPr>
        <w:ind w:left="260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6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auto"/>
        </w:rPr>
        <w:t>with copies to</w:t>
      </w:r>
      <w:r>
        <w:rPr>
          <w:rFonts w:ascii="Times New Roman" w:cs="Times New Roman" w:eastAsia="Times New Roman" w:hAnsi="Times New Roman"/>
          <w:sz w:val="18"/>
          <w:szCs w:val="18"/>
          <w:color w:val="auto"/>
        </w:rPr>
        <w:t>:</w:t>
      </w:r>
    </w:p>
    <w:p>
      <w:pPr>
        <w:ind w:left="2600"/>
        <w:spacing w:after="0" w:line="203" w:lineRule="auto"/>
        <w:rPr>
          <w:sz w:val="20"/>
          <w:szCs w:val="20"/>
          <w:color w:val="auto"/>
        </w:rPr>
      </w:pPr>
      <w:r>
        <w:rPr>
          <w:rFonts w:ascii="Times New Roman" w:cs="Times New Roman" w:eastAsia="Times New Roman" w:hAnsi="Times New Roman"/>
          <w:sz w:val="18"/>
          <w:szCs w:val="18"/>
          <w:color w:val="auto"/>
        </w:rPr>
        <w:t>Ethan Skerry</w:t>
      </w:r>
    </w:p>
    <w:p>
      <w:pPr>
        <w:ind w:left="2600"/>
        <w:spacing w:after="0" w:line="219" w:lineRule="auto"/>
        <w:rPr>
          <w:sz w:val="20"/>
          <w:szCs w:val="20"/>
          <w:color w:val="auto"/>
        </w:rPr>
      </w:pPr>
      <w:r>
        <w:rPr>
          <w:rFonts w:ascii="Times New Roman" w:cs="Times New Roman" w:eastAsia="Times New Roman" w:hAnsi="Times New Roman"/>
          <w:sz w:val="18"/>
          <w:szCs w:val="18"/>
          <w:color w:val="auto"/>
        </w:rPr>
        <w:t>Per Chilstrom</w:t>
      </w:r>
    </w:p>
    <w:p>
      <w:pPr>
        <w:ind w:left="2600"/>
        <w:spacing w:after="0" w:line="191" w:lineRule="auto"/>
        <w:rPr>
          <w:sz w:val="20"/>
          <w:szCs w:val="20"/>
          <w:color w:val="auto"/>
        </w:rPr>
      </w:pPr>
      <w:r>
        <w:rPr>
          <w:rFonts w:ascii="Times New Roman" w:cs="Times New Roman" w:eastAsia="Times New Roman" w:hAnsi="Times New Roman"/>
          <w:sz w:val="18"/>
          <w:szCs w:val="18"/>
          <w:color w:val="auto"/>
        </w:rPr>
        <w:t>Fenwick &amp; West LLP</w:t>
      </w:r>
    </w:p>
    <w:p>
      <w:pPr>
        <w:ind w:left="2600"/>
        <w:spacing w:after="0" w:line="185" w:lineRule="auto"/>
        <w:rPr>
          <w:sz w:val="20"/>
          <w:szCs w:val="20"/>
          <w:color w:val="auto"/>
        </w:rPr>
      </w:pPr>
      <w:r>
        <w:rPr>
          <w:rFonts w:ascii="Times New Roman" w:cs="Times New Roman" w:eastAsia="Times New Roman" w:hAnsi="Times New Roman"/>
          <w:sz w:val="17"/>
          <w:szCs w:val="17"/>
          <w:color w:val="auto"/>
        </w:rPr>
        <w:t>902 Broadway, 14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floor</w:t>
      </w:r>
    </w:p>
    <w:p>
      <w:pPr>
        <w:ind w:left="2600"/>
        <w:spacing w:after="0" w:line="219" w:lineRule="auto"/>
        <w:rPr>
          <w:sz w:val="20"/>
          <w:szCs w:val="20"/>
          <w:color w:val="auto"/>
        </w:rPr>
      </w:pPr>
      <w:r>
        <w:rPr>
          <w:rFonts w:ascii="Times New Roman" w:cs="Times New Roman" w:eastAsia="Times New Roman" w:hAnsi="Times New Roman"/>
          <w:sz w:val="18"/>
          <w:szCs w:val="18"/>
          <w:color w:val="auto"/>
        </w:rPr>
        <w:t>New York, New York 10010</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w:t>
      </w:r>
    </w:p>
    <w:p>
      <w:pPr>
        <w:spacing w:after="0" w:line="165" w:lineRule="exact"/>
        <w:rPr>
          <w:sz w:val="20"/>
          <w:szCs w:val="20"/>
          <w:color w:val="auto"/>
        </w:rPr>
      </w:pPr>
    </w:p>
    <w:p>
      <w:pPr>
        <w:ind w:left="1300" w:firstLine="4"/>
        <w:spacing w:after="0" w:line="237" w:lineRule="auto"/>
        <w:tabs>
          <w:tab w:leader="none" w:pos="1565"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to the Investor, at its address on the Signature Page hereto, or at such other address or addresses as may have been furnished to the Company in writing.</w:t>
      </w:r>
    </w:p>
    <w:p>
      <w:pPr>
        <w:spacing w:after="0" w:line="160" w:lineRule="exact"/>
        <w:rPr>
          <w:rFonts w:ascii="Times New Roman" w:cs="Times New Roman" w:eastAsia="Times New Roman" w:hAnsi="Times New Roman"/>
          <w:sz w:val="18"/>
          <w:szCs w:val="18"/>
          <w:b w:val="1"/>
          <w:bCs w:val="1"/>
          <w:color w:val="auto"/>
        </w:rPr>
      </w:pPr>
    </w:p>
    <w:p>
      <w:pPr>
        <w:ind w:left="860" w:hanging="204"/>
        <w:spacing w:after="0"/>
        <w:tabs>
          <w:tab w:leader="none" w:pos="8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Changes. </w:t>
      </w:r>
      <w:r>
        <w:rPr>
          <w:rFonts w:ascii="Times New Roman" w:cs="Times New Roman" w:eastAsia="Times New Roman" w:hAnsi="Times New Roman"/>
          <w:sz w:val="18"/>
          <w:szCs w:val="18"/>
          <w:color w:val="auto"/>
        </w:rPr>
        <w:t>This Agreement may not be modified or amended except pursuant to an instrument in writing signed by the Company and the</w:t>
      </w:r>
    </w:p>
    <w:p>
      <w:pPr>
        <w:spacing w:after="0"/>
        <w:rPr>
          <w:sz w:val="20"/>
          <w:szCs w:val="20"/>
          <w:color w:val="auto"/>
        </w:rPr>
      </w:pPr>
      <w:r>
        <w:rPr>
          <w:rFonts w:ascii="Times New Roman" w:cs="Times New Roman" w:eastAsia="Times New Roman" w:hAnsi="Times New Roman"/>
          <w:sz w:val="18"/>
          <w:szCs w:val="18"/>
          <w:color w:val="auto"/>
        </w:rPr>
        <w:t>Investor.</w:t>
      </w:r>
    </w:p>
    <w:p>
      <w:pPr>
        <w:spacing w:after="0" w:line="161" w:lineRule="exact"/>
        <w:rPr>
          <w:sz w:val="20"/>
          <w:szCs w:val="20"/>
          <w:color w:val="auto"/>
        </w:rPr>
      </w:pPr>
    </w:p>
    <w:p>
      <w:pPr>
        <w:ind w:firstLine="656"/>
        <w:spacing w:after="0" w:line="255" w:lineRule="auto"/>
        <w:tabs>
          <w:tab w:leader="none" w:pos="828"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Headings. </w:t>
      </w:r>
      <w:r>
        <w:rPr>
          <w:rFonts w:ascii="Times New Roman" w:cs="Times New Roman" w:eastAsia="Times New Roman" w:hAnsi="Times New Roman"/>
          <w:sz w:val="18"/>
          <w:szCs w:val="18"/>
          <w:color w:val="auto"/>
        </w:rPr>
        <w:t>The headings of the various sections of this Agreement have been inserted for convenience of reference only and will not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part of this Agreement.</w:t>
      </w:r>
    </w:p>
    <w:p>
      <w:pPr>
        <w:spacing w:after="0" w:line="140" w:lineRule="exact"/>
        <w:rPr>
          <w:rFonts w:ascii="Times New Roman" w:cs="Times New Roman" w:eastAsia="Times New Roman" w:hAnsi="Times New Roman"/>
          <w:sz w:val="18"/>
          <w:szCs w:val="18"/>
          <w:b w:val="1"/>
          <w:bCs w:val="1"/>
          <w:color w:val="auto"/>
        </w:rPr>
      </w:pPr>
    </w:p>
    <w:p>
      <w:pPr>
        <w:ind w:firstLine="656"/>
        <w:spacing w:after="0" w:line="239" w:lineRule="auto"/>
        <w:tabs>
          <w:tab w:leader="none" w:pos="83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In case any provision contained in this Agreement should be invalid, illegal or unenforceable in any respect, the validity, legality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enforceability of the remaining provisions contained herein will not in any way be affected or impaired thereby.</w:t>
      </w:r>
    </w:p>
    <w:p>
      <w:pPr>
        <w:spacing w:after="0" w:line="168" w:lineRule="exact"/>
        <w:rPr>
          <w:rFonts w:ascii="Times New Roman" w:cs="Times New Roman" w:eastAsia="Times New Roman" w:hAnsi="Times New Roman"/>
          <w:sz w:val="18"/>
          <w:szCs w:val="18"/>
          <w:b w:val="1"/>
          <w:bCs w:val="1"/>
          <w:color w:val="auto"/>
        </w:rPr>
      </w:pPr>
    </w:p>
    <w:p>
      <w:pPr>
        <w:ind w:right="20" w:firstLine="656"/>
        <w:spacing w:after="0" w:line="239" w:lineRule="auto"/>
        <w:tabs>
          <w:tab w:leader="none" w:pos="92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will be governed by, and construed in accordance with, the internal laws of the State of Delaware,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effect to the principles of conflicts of law that would require the application of the laws of any other jurisdiction.</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18" w:lineRule="auto"/>
        <w:tabs>
          <w:tab w:leader="none" w:pos="91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two or more counterparts, all of which when taken together shall be considered one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or any electronic signature complying with the U.S. federal ESIGN Act of 2000, the Uniform Electronic Transactions Act or other applicable law (e.g., www.docusign.com), such signature shall create a valid and binding obligation of the party executing (or on whose behalf such signature is executed) with the same force and effect as if such facsimile, “.pdf” or electronic signature page were an original thereof. The Company and the Investor acknowledge and agree that the Company shall deliver its counterpart to the Investor along with the Prospectus Supplement (or the filing by the Company of an electronic version thereof with the Commission).</w:t>
      </w:r>
    </w:p>
    <w:p>
      <w:pPr>
        <w:spacing w:after="0" w:line="156" w:lineRule="exact"/>
        <w:rPr>
          <w:rFonts w:ascii="Times New Roman" w:cs="Times New Roman" w:eastAsia="Times New Roman" w:hAnsi="Times New Roman"/>
          <w:sz w:val="18"/>
          <w:szCs w:val="18"/>
          <w:b w:val="1"/>
          <w:bCs w:val="1"/>
          <w:color w:val="auto"/>
        </w:rPr>
      </w:pPr>
    </w:p>
    <w:p>
      <w:pPr>
        <w:jc w:val="both"/>
        <w:ind w:firstLine="656"/>
        <w:spacing w:after="0" w:line="232" w:lineRule="auto"/>
        <w:tabs>
          <w:tab w:leader="none" w:pos="931"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Confirmation of Sale. </w:t>
      </w:r>
      <w:r>
        <w:rPr>
          <w:rFonts w:ascii="Times New Roman" w:cs="Times New Roman" w:eastAsia="Times New Roman" w:hAnsi="Times New Roman"/>
          <w:sz w:val="18"/>
          <w:szCs w:val="18"/>
          <w:color w:val="auto"/>
        </w:rPr>
        <w:t>The Investor acknowledges and agrees that such Investor’s receipt of the Company’s counterpart to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the Prospectus Supplement (or the filing by the Company of an electronic version thereof with the Commission), shall constitute written confirmation of the Company’s sale of Shares to such Investor.</w:t>
      </w:r>
    </w:p>
    <w:p>
      <w:pPr>
        <w:spacing w:after="0" w:line="155" w:lineRule="exact"/>
        <w:rPr>
          <w:rFonts w:ascii="Times New Roman" w:cs="Times New Roman" w:eastAsia="Times New Roman" w:hAnsi="Times New Roman"/>
          <w:sz w:val="18"/>
          <w:szCs w:val="18"/>
          <w:b w:val="1"/>
          <w:bCs w:val="1"/>
          <w:color w:val="auto"/>
        </w:rPr>
      </w:pPr>
    </w:p>
    <w:p>
      <w:pPr>
        <w:jc w:val="both"/>
        <w:ind w:firstLine="656"/>
        <w:spacing w:after="0" w:line="227" w:lineRule="auto"/>
        <w:tabs>
          <w:tab w:leader="none" w:pos="92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Press Release. </w:t>
      </w:r>
      <w:r>
        <w:rPr>
          <w:rFonts w:ascii="Times New Roman" w:cs="Times New Roman" w:eastAsia="Times New Roman" w:hAnsi="Times New Roman"/>
          <w:sz w:val="18"/>
          <w:szCs w:val="18"/>
          <w:color w:val="auto"/>
        </w:rPr>
        <w:t>The Company and the Investor agree that the Company shall issue a press release announcing this Offering and disclosing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terms and conditions of this Offering prior to the opening of the financial markets in New York City on the business day after the date hereof at the latest.</w:t>
      </w:r>
    </w:p>
    <w:p>
      <w:pPr>
        <w:spacing w:after="0" w:line="168" w:lineRule="exact"/>
        <w:rPr>
          <w:rFonts w:ascii="Times New Roman" w:cs="Times New Roman" w:eastAsia="Times New Roman" w:hAnsi="Times New Roman"/>
          <w:sz w:val="18"/>
          <w:szCs w:val="18"/>
          <w:b w:val="1"/>
          <w:bCs w:val="1"/>
          <w:color w:val="auto"/>
        </w:rPr>
      </w:pPr>
    </w:p>
    <w:p>
      <w:pPr>
        <w:ind w:firstLine="656"/>
        <w:spacing w:after="0" w:line="239" w:lineRule="auto"/>
        <w:tabs>
          <w:tab w:leader="none" w:pos="931"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 Approval Condition</w:t>
      </w:r>
      <w:r>
        <w:rPr>
          <w:rFonts w:ascii="Times New Roman" w:cs="Times New Roman" w:eastAsia="Times New Roman" w:hAnsi="Times New Roman"/>
          <w:sz w:val="18"/>
          <w:szCs w:val="18"/>
          <w:color w:val="auto"/>
        </w:rPr>
        <w:t>. The Company shall use its reasonable best efforts to cause the Shareholder Approval Condition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satisfied following the Initial Closing.</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20" w:lineRule="auto"/>
        <w:tabs>
          <w:tab w:leader="none" w:pos="931"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Adjustment. </w:t>
      </w:r>
      <w:r>
        <w:rPr>
          <w:rFonts w:ascii="Times New Roman" w:cs="Times New Roman" w:eastAsia="Times New Roman" w:hAnsi="Times New Roman"/>
          <w:sz w:val="18"/>
          <w:szCs w:val="18"/>
          <w:color w:val="auto"/>
        </w:rPr>
        <w:t>In the event the Company effects a stock split, reverse stock split, stock dividend (including any dividend or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convertible into capital stock), reorganization, reclassification, combination, recapitalization or other like change with respect to the Common Stock after the date of this Agreement and prior to a Closing, the number of Shares and the purchase price thereof (including the Common Stock Purchase Price) to be sold and delivered at such Closing shall be equitably adjusted to the extent necessary to provide the parties the same economic effect as contemplated by this Agreement prior to such stock split, reverse stock split, stock dividend, reorganization, reclassification, combination, recapitalization or other like change.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04" w:right="339" w:bottom="1440" w:gutter="0" w:footer="0" w:header="0"/>
        </w:sectPr>
      </w:pPr>
    </w:p>
    <w:bookmarkStart w:id="45" w:name="page46"/>
    <w:bookmarkEnd w:id="45"/>
    <w:p>
      <w:pPr>
        <w:jc w:val="center"/>
        <w:ind w:right="-327"/>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85" w:lineRule="exact"/>
        <w:rPr>
          <w:sz w:val="20"/>
          <w:szCs w:val="20"/>
          <w:color w:val="auto"/>
        </w:rPr>
      </w:pPr>
    </w:p>
    <w:p>
      <w:pPr>
        <w:jc w:val="center"/>
        <w:ind w:right="-327"/>
        <w:spacing w:after="0"/>
        <w:rPr>
          <w:sz w:val="20"/>
          <w:szCs w:val="20"/>
          <w:color w:val="auto"/>
        </w:rPr>
      </w:pPr>
      <w:r>
        <w:rPr>
          <w:rFonts w:ascii="Times New Roman" w:cs="Times New Roman" w:eastAsia="Times New Roman" w:hAnsi="Times New Roman"/>
          <w:sz w:val="18"/>
          <w:szCs w:val="18"/>
          <w:b w:val="1"/>
          <w:bCs w:val="1"/>
          <w:color w:val="auto"/>
        </w:rPr>
        <w:t>INVESTOR QUESTIONNAIRE</w:t>
      </w:r>
    </w:p>
    <w:p>
      <w:pPr>
        <w:spacing w:after="0" w:line="202" w:lineRule="exact"/>
        <w:rPr>
          <w:sz w:val="20"/>
          <w:szCs w:val="20"/>
          <w:color w:val="auto"/>
        </w:rPr>
      </w:pPr>
    </w:p>
    <w:p>
      <w:pPr>
        <w:ind w:left="628"/>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to the Agreement, please provide us with the following information:</w:t>
      </w:r>
    </w:p>
    <w:p>
      <w:pPr>
        <w:spacing w:after="0" w:line="239" w:lineRule="exact"/>
        <w:rPr>
          <w:sz w:val="20"/>
          <w:szCs w:val="20"/>
          <w:color w:val="auto"/>
        </w:rPr>
      </w:pPr>
    </w:p>
    <w:p>
      <w:pPr>
        <w:ind w:left="388" w:right="4520" w:hanging="388"/>
        <w:spacing w:after="0" w:line="237" w:lineRule="auto"/>
        <w:tabs>
          <w:tab w:leader="none" w:pos="3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exact name that your Shares are to be registered in (attach additional sheets, if necessary). You may use a nominee name if appropriate:</w:t>
      </w:r>
    </w:p>
    <w:p>
      <w:pPr>
        <w:spacing w:after="0" w:line="225" w:lineRule="exact"/>
        <w:rPr>
          <w:rFonts w:ascii="Times New Roman" w:cs="Times New Roman" w:eastAsia="Times New Roman" w:hAnsi="Times New Roman"/>
          <w:sz w:val="18"/>
          <w:szCs w:val="18"/>
          <w:color w:val="auto"/>
        </w:rPr>
      </w:pPr>
    </w:p>
    <w:p>
      <w:pPr>
        <w:ind w:left="388" w:right="4440" w:hanging="388"/>
        <w:spacing w:after="0" w:line="237" w:lineRule="auto"/>
        <w:tabs>
          <w:tab w:leader="none" w:pos="3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the Investor and the registered holder listed in response to item 1 above:</w:t>
      </w:r>
    </w:p>
    <w:p>
      <w:pPr>
        <w:spacing w:after="0" w:line="225"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address of the registered holder listed in response to item 1 above:</w:t>
      </w:r>
    </w:p>
    <w:p>
      <w:pPr>
        <w:spacing w:after="0" w:line="238" w:lineRule="exact"/>
        <w:rPr>
          <w:rFonts w:ascii="Times New Roman" w:cs="Times New Roman" w:eastAsia="Times New Roman" w:hAnsi="Times New Roman"/>
          <w:sz w:val="18"/>
          <w:szCs w:val="18"/>
          <w:color w:val="auto"/>
        </w:rPr>
      </w:pPr>
    </w:p>
    <w:p>
      <w:pPr>
        <w:ind w:left="388" w:right="4520" w:hanging="388"/>
        <w:spacing w:after="0" w:line="237" w:lineRule="auto"/>
        <w:tabs>
          <w:tab w:leader="none" w:pos="3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Social Security Number or Tax Identification Number of the registered holder listed in the response to item 1 above:</w:t>
      </w:r>
    </w:p>
    <w:p>
      <w:pPr>
        <w:spacing w:after="0" w:line="225" w:lineRule="exact"/>
        <w:rPr>
          <w:rFonts w:ascii="Times New Roman" w:cs="Times New Roman" w:eastAsia="Times New Roman" w:hAnsi="Times New Roman"/>
          <w:sz w:val="18"/>
          <w:szCs w:val="18"/>
          <w:color w:val="auto"/>
        </w:rPr>
      </w:pPr>
    </w:p>
    <w:p>
      <w:pPr>
        <w:ind w:left="388" w:right="4740" w:hanging="388"/>
        <w:spacing w:after="0" w:line="237" w:lineRule="auto"/>
        <w:tabs>
          <w:tab w:leader="none" w:pos="3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DTC Participant (broker-dealer at which the account or accounts to be credited with the Shares are maintained):</w:t>
      </w:r>
    </w:p>
    <w:p>
      <w:pPr>
        <w:spacing w:after="0" w:line="225"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Participant Number:</w:t>
      </w:r>
    </w:p>
    <w:p>
      <w:pPr>
        <w:spacing w:after="0" w:line="238"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Account at DTC Participant being credited with the Shares **:</w:t>
      </w:r>
    </w:p>
    <w:p>
      <w:pPr>
        <w:spacing w:after="0" w:line="238" w:lineRule="exact"/>
        <w:rPr>
          <w:rFonts w:ascii="Times New Roman" w:cs="Times New Roman" w:eastAsia="Times New Roman" w:hAnsi="Times New Roman"/>
          <w:sz w:val="18"/>
          <w:szCs w:val="18"/>
          <w:color w:val="auto"/>
        </w:rPr>
      </w:pPr>
    </w:p>
    <w:p>
      <w:pPr>
        <w:ind w:left="388" w:hanging="388"/>
        <w:spacing w:after="0"/>
        <w:tabs>
          <w:tab w:leader="none" w:pos="3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Number at DTC Participant being credited with the Shares:</w:t>
      </w:r>
    </w:p>
    <w:p>
      <w:pPr>
        <w:spacing w:after="0" w:line="315" w:lineRule="exact"/>
        <w:rPr>
          <w:rFonts w:ascii="Times New Roman" w:cs="Times New Roman" w:eastAsia="Times New Roman" w:hAnsi="Times New Roman"/>
          <w:sz w:val="18"/>
          <w:szCs w:val="18"/>
          <w:color w:val="auto"/>
        </w:rPr>
      </w:pPr>
    </w:p>
    <w:p>
      <w:pPr>
        <w:ind w:left="-32" w:firstLine="656"/>
        <w:spacing w:after="0" w:line="239" w:lineRule="auto"/>
        <w:tabs>
          <w:tab w:leader="none" w:pos="840" w:val="left"/>
        </w:tabs>
        <w:numPr>
          <w:ilvl w:val="1"/>
          <w:numId w:val="5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In order to ensure timely settlement, please cause your broker or custodian to include the name of the ultimate beneficial holder or sub-account to which the Shares shall be credited in the DWAC authorization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-443865</wp:posOffset>
            </wp:positionV>
            <wp:extent cx="26828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4433570</wp:posOffset>
            </wp:positionH>
            <wp:positionV relativeFrom="paragraph">
              <wp:posOffset>-727075</wp:posOffset>
            </wp:positionV>
            <wp:extent cx="26828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82875" cy="8890"/>
                    </a:xfrm>
                    <a:prstGeom prst="rect">
                      <a:avLst/>
                    </a:prstGeom>
                    <a:noFill/>
                  </pic:spPr>
                </pic:pic>
              </a:graphicData>
            </a:graphic>
          </wp:anchor>
        </w:drawing>
        <w:drawing>
          <wp:anchor simplePos="0" relativeHeight="251657728" behindDoc="1" locked="0" layoutInCell="0" allowOverlap="1">
            <wp:simplePos x="0" y="0"/>
            <wp:positionH relativeFrom="column">
              <wp:posOffset>4433570</wp:posOffset>
            </wp:positionH>
            <wp:positionV relativeFrom="paragraph">
              <wp:posOffset>-1009650</wp:posOffset>
            </wp:positionV>
            <wp:extent cx="26828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4433570</wp:posOffset>
            </wp:positionH>
            <wp:positionV relativeFrom="paragraph">
              <wp:posOffset>-1292860</wp:posOffset>
            </wp:positionV>
            <wp:extent cx="26828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4433570</wp:posOffset>
            </wp:positionH>
            <wp:positionV relativeFrom="paragraph">
              <wp:posOffset>-1695450</wp:posOffset>
            </wp:positionV>
            <wp:extent cx="26828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4433570</wp:posOffset>
            </wp:positionH>
            <wp:positionV relativeFrom="paragraph">
              <wp:posOffset>-2098675</wp:posOffset>
            </wp:positionV>
            <wp:extent cx="26828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4433570</wp:posOffset>
            </wp:positionH>
            <wp:positionV relativeFrom="paragraph">
              <wp:posOffset>-2381250</wp:posOffset>
            </wp:positionV>
            <wp:extent cx="26828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4433570</wp:posOffset>
            </wp:positionH>
            <wp:positionV relativeFrom="paragraph">
              <wp:posOffset>-2784475</wp:posOffset>
            </wp:positionV>
            <wp:extent cx="26828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ectPr>
          <w:pgSz w:w="11900" w:h="16838" w:orient="portrait"/>
          <w:cols w:equalWidth="0" w:num="1">
            <w:col w:w="10848"/>
          </w:cols>
          <w:pgMar w:left="352" w:top="1400" w:right="69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II</w:t>
      </w:r>
    </w:p>
    <w:p>
      <w:pPr>
        <w:spacing w:after="0" w:line="207"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2"/>
          <w:szCs w:val="22"/>
          <w:color w:val="auto"/>
        </w:rPr>
        <w:t>The Investor agrees that, during the period beginning from the date of this Agreement and continuing to and including the date six months after the date of Prospectus Supplement (such period, the “</w:t>
      </w:r>
      <w:r>
        <w:rPr>
          <w:rFonts w:ascii="Arial" w:cs="Arial" w:eastAsia="Arial" w:hAnsi="Arial"/>
          <w:sz w:val="22"/>
          <w:szCs w:val="22"/>
          <w:b w:val="1"/>
          <w:bCs w:val="1"/>
          <w:color w:val="auto"/>
        </w:rPr>
        <w:t>Lock-Up Period</w:t>
      </w:r>
      <w:r>
        <w:rPr>
          <w:rFonts w:ascii="Arial" w:cs="Arial" w:eastAsia="Arial" w:hAnsi="Arial"/>
          <w:sz w:val="22"/>
          <w:szCs w:val="22"/>
          <w:color w:val="auto"/>
        </w:rPr>
        <w:t>”), the Investor shall not, and shall not cause or direct any of its affiliates to,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w:t>
      </w:r>
      <w:r>
        <w:rPr>
          <w:rFonts w:ascii="Arial" w:cs="Arial" w:eastAsia="Arial" w:hAnsi="Arial"/>
          <w:sz w:val="22"/>
          <w:szCs w:val="22"/>
          <w:b w:val="1"/>
          <w:bCs w:val="1"/>
          <w:color w:val="auto"/>
        </w:rPr>
        <w:t>Lock-Up Securities</w:t>
      </w:r>
      <w:r>
        <w:rPr>
          <w:rFonts w:ascii="Arial" w:cs="Arial" w:eastAsia="Arial" w:hAnsi="Arial"/>
          <w:sz w:val="22"/>
          <w:szCs w:val="22"/>
          <w:color w:val="auto"/>
        </w:rPr>
        <w:t>”), including without limitation any such Lock-Up Securities now owned or hereafter acquired by the Investor,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Investor or someone other than the Investor),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w:t>
      </w:r>
      <w:r>
        <w:rPr>
          <w:rFonts w:ascii="Arial" w:cs="Arial" w:eastAsia="Arial" w:hAnsi="Arial"/>
          <w:sz w:val="22"/>
          <w:szCs w:val="22"/>
          <w:b w:val="1"/>
          <w:bCs w:val="1"/>
          <w:color w:val="auto"/>
        </w:rPr>
        <w:t>Transfer</w:t>
      </w:r>
      <w:r>
        <w:rPr>
          <w:rFonts w:ascii="Arial" w:cs="Arial" w:eastAsia="Arial" w:hAnsi="Arial"/>
          <w:sz w:val="22"/>
          <w:szCs w:val="22"/>
          <w:color w:val="auto"/>
        </w:rPr>
        <w:t>”), (iii) make any demand for or exercise any right with respect to the registration of any Lock-Up Securities or (iv) otherwise publicly announce any intention to engage in or cause any action, activity, transaction or arrangement described in clause (i), (ii) or (iii) above. The Investor represents and warrants that the Investor is not, and has not caused or directed any of its affiliates to be or become, currently a party to any agreement or arrangement that provides for, is designed to or reasonably could be expected to lead to or result in any Transfer during the Lock-Up Period.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the foregoing, the Investor may:</w:t>
      </w:r>
    </w:p>
    <w:p>
      <w:pPr>
        <w:spacing w:after="0" w:line="166" w:lineRule="exact"/>
        <w:rPr>
          <w:sz w:val="20"/>
          <w:szCs w:val="20"/>
          <w:color w:val="auto"/>
        </w:rPr>
      </w:pPr>
    </w:p>
    <w:p>
      <w:pPr>
        <w:jc w:val="both"/>
        <w:ind w:left="980" w:hanging="324"/>
        <w:spacing w:after="0" w:line="217" w:lineRule="auto"/>
        <w:tabs>
          <w:tab w:leader="none" w:pos="974" w:val="left"/>
        </w:tabs>
        <w:numPr>
          <w:ilvl w:val="0"/>
          <w:numId w:val="52"/>
        </w:numPr>
        <w:rPr>
          <w:rFonts w:ascii="Arial" w:cs="Arial" w:eastAsia="Arial" w:hAnsi="Arial"/>
          <w:sz w:val="21"/>
          <w:szCs w:val="21"/>
          <w:color w:val="auto"/>
        </w:rPr>
      </w:pPr>
      <w:r>
        <w:rPr>
          <w:rFonts w:ascii="Arial" w:cs="Arial" w:eastAsia="Arial" w:hAnsi="Arial"/>
          <w:sz w:val="21"/>
          <w:szCs w:val="21"/>
          <w:color w:val="auto"/>
        </w:rPr>
        <w:t xml:space="preserve">transfer the Investor’s Lock-Up Securities (i) as one or more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gifts or charitable contributions, or for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estate planning purposes, (ii) upon death by will, testamentary document or intestate succession, (iii) if the Investor is a natural person, to any member of the Investor’s immediate family (for purposes of this Annex II, “</w:t>
      </w:r>
      <w:r>
        <w:rPr>
          <w:rFonts w:ascii="Arial" w:cs="Arial" w:eastAsia="Arial" w:hAnsi="Arial"/>
          <w:sz w:val="21"/>
          <w:szCs w:val="21"/>
          <w:b w:val="1"/>
          <w:bCs w:val="1"/>
          <w:color w:val="auto"/>
        </w:rPr>
        <w:t>immediate family</w:t>
      </w:r>
      <w:r>
        <w:rPr>
          <w:rFonts w:ascii="Arial" w:cs="Arial" w:eastAsia="Arial" w:hAnsi="Arial"/>
          <w:sz w:val="21"/>
          <w:szCs w:val="21"/>
          <w:color w:val="auto"/>
        </w:rPr>
        <w:t>” shall mean any relationship by blood, current or former marriage, domestic partnership or adoption, not more remote than first cousin) or to any trust for the direct or indirect benefit of the Investor or the immediate family of the Investor or, if the Investor is a trust, to a trustor or beneficiary of the trust or the estate of a beneficiary of such trust, (iv) to a partnership, limited liability company or other entity of which the Investor and the immediate family of the Investor are the legal and beneficial owner of all of the outstanding equity securities or similar interests, (v) to a nominee or custodian of a person or entity to whom a disposition or transfer would be permissible under clauses (a)(i) through (iv) above, (vi) if the Investor is a corporation, partnership, limited liability company or other business entity, (A) to another corporation, partnership, limited liability company or other business entity that is an affiliate (as defined in Rule 405 under the Act) of the Investor, or to any investment fund or other entity which fund or entity is controlled or managed by the Investor or affiliates of the Investor, or (B) as part of a distribution by the Investor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the Company from an employee of the Company upon death, disability or termination of employment, in each case, of such employee, (ix) in connection with a sale of the Investor’s Lock-Up Securities acquired in open market transactions after the Initial Closing Date, (x) in connection with the vesting, conversion, settlement, exchange or exercise of restricted stock units, options, warrants or other rights to purchase or receive shares of Common Stock (including, in each case, a transfer to the Company by way of “net” or “cashless” exercise or a sale in the market to cover the payment of tax withholdings or remittance payments due in connection with such vesting, conversion, settlement, exchange or exercise), or in connection with the exercise or redemption of warrants or the conversion or redemption of convertible securities, in all such cases pursuant to equity awards or rights granted under a stock incentive plan, other equity award plan or stock purchase plan or inducement awards, or pursuant to the terms of warrants or convertible securities, each as described in the Registration Statement and the Prospectus, provided that</w:t>
      </w:r>
    </w:p>
    <w:p>
      <w:pPr>
        <w:sectPr>
          <w:pgSz w:w="11900" w:h="16838" w:orient="portrait"/>
          <w:cols w:equalWidth="0" w:num="1">
            <w:col w:w="11240"/>
          </w:cols>
          <w:pgMar w:left="320" w:top="1400" w:right="339" w:bottom="1440" w:gutter="0" w:footer="0" w:header="0"/>
        </w:sectPr>
      </w:pPr>
    </w:p>
    <w:bookmarkStart w:id="47" w:name="page48"/>
    <w:bookmarkEnd w:id="47"/>
    <w:p>
      <w:pPr>
        <w:jc w:val="both"/>
        <w:ind w:left="980"/>
        <w:spacing w:after="0" w:line="207" w:lineRule="auto"/>
        <w:rPr>
          <w:sz w:val="20"/>
          <w:szCs w:val="20"/>
          <w:color w:val="auto"/>
        </w:rPr>
      </w:pPr>
      <w:r>
        <w:rPr>
          <w:rFonts w:ascii="Arial" w:cs="Arial" w:eastAsia="Arial" w:hAnsi="Arial"/>
          <w:sz w:val="22"/>
          <w:szCs w:val="22"/>
          <w:color w:val="auto"/>
        </w:rPr>
        <w:t>any Lock-Up Securities received upon such vesting, conversion, settlement, exchange, exercise or redemption, and after giving effect to such transfers to the Company or sale to cover transactions, shall be subject to the terms of this Annex II, (xi) in connection with Shares held by investment funds and accounts advised by the Investor pledge and/or lend or hypothecate such Shares pursuant to standard margin and pledge agreements entered into by such investment funds or accounts with its brokers in the ordinary course of their business, or (xii) with the prior written consent of the Company; provided that (A) in the case of clauses (a)(i), (ii), (iii), (iv), (v) and (vi)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this Annex II, (C) in the case of clauses (a)(i), (ii), (iii), (iv), (v) and (vi) above, no filing by any party (including, without limitation, any donor, donee, devisee, transferor, transferee, distributor or distributee) under the Securities Exchange Act of 1934, as amended (the “</w:t>
      </w:r>
      <w:r>
        <w:rPr>
          <w:rFonts w:ascii="Arial" w:cs="Arial" w:eastAsia="Arial" w:hAnsi="Arial"/>
          <w:sz w:val="22"/>
          <w:szCs w:val="22"/>
          <w:b w:val="1"/>
          <w:bCs w:val="1"/>
          <w:color w:val="auto"/>
        </w:rPr>
        <w:t>Exchange Act</w:t>
      </w:r>
      <w:r>
        <w:rPr>
          <w:rFonts w:ascii="Arial" w:cs="Arial" w:eastAsia="Arial" w:hAnsi="Arial"/>
          <w:sz w:val="22"/>
          <w:szCs w:val="22"/>
          <w:color w:val="auto"/>
        </w:rPr>
        <w:t>”), or other public filing, report or announcement reporting a reduction in beneficial ownership of Lock-Up Securities shall be required or shall be voluntarily made in connection with such transfer or distribution, and (D) in the case of clauses (a)(vii),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 (a)(vii) above, that the donee, devisee, transferee or distributee has agreed to be bound by a lock-up agreement in the form of this Annex II;</w:t>
      </w:r>
    </w:p>
    <w:p>
      <w:pPr>
        <w:spacing w:after="0" w:line="157" w:lineRule="exact"/>
        <w:rPr>
          <w:sz w:val="20"/>
          <w:szCs w:val="20"/>
          <w:color w:val="auto"/>
        </w:rPr>
      </w:pPr>
    </w:p>
    <w:p>
      <w:pPr>
        <w:jc w:val="both"/>
        <w:ind w:left="980" w:hanging="324"/>
        <w:spacing w:after="0" w:line="215" w:lineRule="auto"/>
        <w:tabs>
          <w:tab w:leader="none" w:pos="974" w:val="left"/>
        </w:tabs>
        <w:numPr>
          <w:ilvl w:val="0"/>
          <w:numId w:val="53"/>
        </w:numPr>
        <w:rPr>
          <w:rFonts w:ascii="Arial" w:cs="Arial" w:eastAsia="Arial" w:hAnsi="Arial"/>
          <w:sz w:val="22"/>
          <w:szCs w:val="22"/>
          <w:color w:val="auto"/>
        </w:rPr>
      </w:pPr>
      <w:r>
        <w:rPr>
          <w:rFonts w:ascii="Arial" w:cs="Arial" w:eastAsia="Arial" w:hAnsi="Arial"/>
          <w:sz w:val="22"/>
          <w:szCs w:val="22"/>
          <w:color w:val="auto"/>
        </w:rPr>
        <w:t>enter into a written plan meeting the requirements of Rule 10b5-1 under the Exchange Act relating to the transfer, sale or other disposition of the Investor’s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required or shall be voluntarily made regarding the establishment of such plan during the Lock-Up Period; and</w:t>
      </w:r>
    </w:p>
    <w:p>
      <w:pPr>
        <w:spacing w:after="0" w:line="125" w:lineRule="exact"/>
        <w:rPr>
          <w:rFonts w:ascii="Arial" w:cs="Arial" w:eastAsia="Arial" w:hAnsi="Arial"/>
          <w:sz w:val="22"/>
          <w:szCs w:val="22"/>
          <w:color w:val="auto"/>
        </w:rPr>
      </w:pPr>
    </w:p>
    <w:p>
      <w:pPr>
        <w:jc w:val="both"/>
        <w:ind w:left="980" w:hanging="324"/>
        <w:spacing w:after="0" w:line="211" w:lineRule="auto"/>
        <w:tabs>
          <w:tab w:leader="none" w:pos="975" w:val="left"/>
        </w:tabs>
        <w:numPr>
          <w:ilvl w:val="0"/>
          <w:numId w:val="53"/>
        </w:numPr>
        <w:rPr>
          <w:rFonts w:ascii="Arial" w:cs="Arial" w:eastAsia="Arial" w:hAnsi="Arial"/>
          <w:sz w:val="22"/>
          <w:szCs w:val="22"/>
          <w:color w:val="auto"/>
        </w:rPr>
      </w:pPr>
      <w:r>
        <w:rPr>
          <w:rFonts w:ascii="Arial" w:cs="Arial" w:eastAsia="Arial" w:hAnsi="Arial"/>
          <w:sz w:val="22"/>
          <w:szCs w:val="22"/>
          <w:color w:val="auto"/>
        </w:rPr>
        <w:t>transfer the Investor’s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w:t>
      </w:r>
      <w:r>
        <w:rPr>
          <w:rFonts w:ascii="Arial" w:cs="Arial" w:eastAsia="Arial" w:hAnsi="Arial"/>
          <w:sz w:val="22"/>
          <w:szCs w:val="22"/>
          <w:b w:val="1"/>
          <w:bCs w:val="1"/>
          <w:color w:val="auto"/>
        </w:rPr>
        <w:t>Change of Control</w:t>
      </w:r>
      <w:r>
        <w:rPr>
          <w:rFonts w:ascii="Arial" w:cs="Arial" w:eastAsia="Arial" w:hAnsi="Arial"/>
          <w:sz w:val="22"/>
          <w:szCs w:val="22"/>
          <w:color w:val="auto"/>
        </w:rPr>
        <w:t>”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Investor’s Lock-Up Securities shall remain subject to the provisions of this Annex II.</w:t>
      </w:r>
    </w:p>
    <w:p>
      <w:pPr>
        <w:spacing w:after="0" w:line="139"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Nothing in this Annex II shall preclude sales or transfers of Lock-Up Securities pursuant to a written plan for trading securities that is designed to satisfy the requirements of Rule 10b5-1 under the Exchange Act (a “</w:t>
      </w:r>
      <w:r>
        <w:rPr>
          <w:rFonts w:ascii="Arial" w:cs="Arial" w:eastAsia="Arial" w:hAnsi="Arial"/>
          <w:sz w:val="22"/>
          <w:szCs w:val="22"/>
          <w:b w:val="1"/>
          <w:bCs w:val="1"/>
          <w:color w:val="auto"/>
        </w:rPr>
        <w:t>10b5-1 Plan</w:t>
      </w:r>
      <w:r>
        <w:rPr>
          <w:rFonts w:ascii="Arial" w:cs="Arial" w:eastAsia="Arial" w:hAnsi="Arial"/>
          <w:sz w:val="22"/>
          <w:szCs w:val="22"/>
          <w:color w:val="auto"/>
        </w:rPr>
        <w:t>”) in effect as of the date of the Prospectus, provided that any filing under Section 16 of the Exchange Act made in connection with such sales shall clearly indicate in the footnotes thereto that such disposition of Lock-Up Securities was pursuant to a 10b5-1 Plan.</w:t>
      </w:r>
    </w:p>
    <w:p>
      <w:pPr>
        <w:sectPr>
          <w:pgSz w:w="11900" w:h="16838" w:orient="portrait"/>
          <w:cols w:equalWidth="0" w:num="1">
            <w:col w:w="11240"/>
          </w:cols>
          <w:pgMar w:left="320" w:top="1396" w:right="339" w:bottom="1440" w:gutter="0" w:footer="0" w:header="0"/>
        </w:sectPr>
      </w:pPr>
    </w:p>
    <w:bookmarkStart w:id="48" w:name="page49"/>
    <w:bookmarkEnd w:id="48"/>
    <w:p>
      <w:pPr>
        <w:spacing w:after="0" w:line="200" w:lineRule="exact"/>
        <w:rPr>
          <w:sz w:val="20"/>
          <w:szCs w:val="20"/>
          <w:color w:val="auto"/>
        </w:rPr>
      </w:pPr>
    </w:p>
    <w:p>
      <w:pPr>
        <w:spacing w:after="0" w:line="20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If the Investor is not a natural person, the Investor represents and warrants that no single natural person, entity or “group” (within the meaning of Section 13(d)(3) of the Exchange Act), other than a natural person, entity or “group” (as described above) that has agreed to lock-up terms in substantially the same form as this Annex II, beneficially owns, directly or indirectly, 50% or more of the common equity interests, or 50% or more of the voting power, in the Investor.</w:t>
      </w:r>
    </w:p>
    <w:p>
      <w:pPr>
        <w:spacing w:after="0" w:line="12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The Investor now has, and, except as contemplated by clauses (a) and (c) of the second paragraph of this Annex II, for the duration of this Annex II will have, good and marketable title to the Investor’s Lock-Up Securities, free and clear of all liens, encumbrances and claims whatsoever. The Investor also agrees and consents to the entry of stop transfer instructions with the Company’s transfer agent and registrar against the transfer of the Investor’s Lock-Up Securities except in compliance with the foregoing restrictions (“</w:t>
      </w:r>
      <w:r>
        <w:rPr>
          <w:rFonts w:ascii="Arial" w:cs="Arial" w:eastAsia="Arial" w:hAnsi="Arial"/>
          <w:sz w:val="22"/>
          <w:szCs w:val="22"/>
          <w:b w:val="1"/>
          <w:bCs w:val="1"/>
          <w:color w:val="auto"/>
        </w:rPr>
        <w:t>Stop Transfer Instructions</w:t>
      </w:r>
      <w:r>
        <w:rPr>
          <w:rFonts w:ascii="Arial" w:cs="Arial" w:eastAsia="Arial" w:hAnsi="Arial"/>
          <w:sz w:val="22"/>
          <w:szCs w:val="22"/>
          <w:color w:val="auto"/>
        </w:rPr>
        <w: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decimal"/>
      <w:start w:val="1"/>
    </w:lvl>
    <w:lvl w:ilvl="1">
      <w:lvlJc w:val="left"/>
      <w:lvlText w:val="(%2)"/>
      <w:numFmt w:val="lowerLetter"/>
      <w:start w:val="1"/>
    </w:lvl>
  </w:abstractNum>
  <w:abstractNum w:abstractNumId="2">
    <w:nsid w:val="2CA88611"/>
    <w:multiLevelType w:val="hybridMultilevel"/>
    <w:lvl w:ilvl="0">
      <w:lvlJc w:val="left"/>
      <w:lvlText w:val="(%1)"/>
      <w:numFmt w:val="lowerLetter"/>
      <w:start w:val="2"/>
    </w:lvl>
  </w:abstractNum>
  <w:abstractNum w:abstractNumId="3">
    <w:nsid w:val="836C40E"/>
    <w:multiLevelType w:val="hybridMultilevel"/>
    <w:lvl w:ilvl="0">
      <w:lvlJc w:val="left"/>
      <w:lvlText w:val="(%1)"/>
      <w:numFmt w:val="lowerLetter"/>
      <w:start w:val="5"/>
    </w:lvl>
  </w:abstractNum>
  <w:abstractNum w:abstractNumId="4">
    <w:nsid w:val="2901D82"/>
    <w:multiLevelType w:val="hybridMultilevel"/>
    <w:lvl w:ilvl="0">
      <w:lvlJc w:val="left"/>
      <w:lvlText w:val="(%1)"/>
      <w:numFmt w:val="lowerLetter"/>
      <w:start w:val="8"/>
    </w:lvl>
  </w:abstractNum>
  <w:abstractNum w:abstractNumId="5">
    <w:nsid w:val="3A95F874"/>
    <w:multiLevelType w:val="hybridMultilevel"/>
    <w:lvl w:ilvl="0">
      <w:lvlJc w:val="left"/>
      <w:lvlText w:val="(%1)"/>
      <w:numFmt w:val="lowerLetter"/>
      <w:start w:val="11"/>
    </w:lvl>
  </w:abstractNum>
  <w:abstractNum w:abstractNumId="6">
    <w:nsid w:val="8138641"/>
    <w:multiLevelType w:val="hybridMultilevel"/>
    <w:lvl w:ilvl="0">
      <w:lvlJc w:val="left"/>
      <w:lvlText w:val="(%1)"/>
      <w:numFmt w:val="lowerLetter"/>
      <w:start w:val="18"/>
    </w:lvl>
  </w:abstractNum>
  <w:abstractNum w:abstractNumId="7">
    <w:nsid w:val="1E7FF521"/>
    <w:multiLevelType w:val="hybridMultilevel"/>
    <w:lvl w:ilvl="0">
      <w:lvlJc w:val="left"/>
      <w:lvlText w:val="(%1)"/>
      <w:numFmt w:val="lowerLetter"/>
      <w:start w:val="22"/>
    </w:lvl>
  </w:abstractNum>
  <w:abstractNum w:abstractNumId="8">
    <w:nsid w:val="7C3DBD3D"/>
    <w:multiLevelType w:val="hybridMultilevel"/>
    <w:lvl w:ilvl="0">
      <w:lvlJc w:val="left"/>
      <w:lvlText w:val="(%1)"/>
      <w:numFmt w:val="lowerRoman"/>
      <w:start w:val="4"/>
    </w:lvl>
    <w:lvl w:ilvl="1">
      <w:lvlJc w:val="left"/>
      <w:lvlText w:val="(%2)"/>
      <w:numFmt w:val="lowerLetter"/>
      <w:start w:val="26"/>
    </w:lvl>
  </w:abstractNum>
  <w:abstractNum w:abstractNumId="9">
    <w:nsid w:val="737B8DDC"/>
    <w:multiLevelType w:val="hybridMultilevel"/>
    <w:lvl w:ilvl="0">
      <w:lvlJc w:val="left"/>
      <w:lvlText w:val="(%1)"/>
      <w:numFmt w:val="lowerLetter"/>
      <w:start w:val="27"/>
    </w:lvl>
  </w:abstractNum>
  <w:abstractNum w:abstractNumId="10">
    <w:nsid w:val="6CEAF087"/>
    <w:multiLevelType w:val="hybridMultilevel"/>
    <w:lvl w:ilvl="0">
      <w:lvlJc w:val="left"/>
      <w:lvlText w:val="(%1)"/>
      <w:numFmt w:val="lowerLetter"/>
      <w:start w:val="28"/>
    </w:lvl>
  </w:abstractNum>
  <w:abstractNum w:abstractNumId="11">
    <w:nsid w:val="22221A70"/>
    <w:multiLevelType w:val="hybridMultilevel"/>
    <w:lvl w:ilvl="0">
      <w:lvlJc w:val="left"/>
      <w:lvlText w:val="%1"/>
      <w:numFmt w:val="upperLetter"/>
      <w:start w:val="1"/>
    </w:lvl>
    <w:lvl w:ilvl="1">
      <w:lvlJc w:val="left"/>
      <w:lvlText w:val="(%2)"/>
      <w:numFmt w:val="lowerLetter"/>
      <w:start w:val="32"/>
    </w:lvl>
  </w:abstractNum>
  <w:abstractNum w:abstractNumId="12">
    <w:nsid w:val="4516DDE9"/>
    <w:multiLevelType w:val="hybridMultilevel"/>
    <w:lvl w:ilvl="0">
      <w:lvlJc w:val="left"/>
      <w:lvlText w:val="(%1)"/>
      <w:numFmt w:val="upperLetter"/>
      <w:start w:val="2"/>
    </w:lvl>
    <w:lvl w:ilvl="1">
      <w:lvlJc w:val="left"/>
      <w:lvlText w:val="(%2)"/>
      <w:numFmt w:val="lowerLetter"/>
      <w:start w:val="34"/>
    </w:lvl>
  </w:abstractNum>
  <w:abstractNum w:abstractNumId="13">
    <w:nsid w:val="3006C83E"/>
    <w:multiLevelType w:val="hybridMultilevel"/>
    <w:lvl w:ilvl="0">
      <w:lvlJc w:val="left"/>
      <w:lvlText w:val="(%1)"/>
      <w:numFmt w:val="lowerLetter"/>
      <w:start w:val="37"/>
    </w:lvl>
  </w:abstractNum>
  <w:abstractNum w:abstractNumId="14">
    <w:nsid w:val="614FD4A1"/>
    <w:multiLevelType w:val="hybridMultilevel"/>
    <w:lvl w:ilvl="0">
      <w:lvlJc w:val="left"/>
      <w:lvlText w:val="%1"/>
      <w:numFmt w:val="lowerLetter"/>
      <w:start w:val="1"/>
    </w:lvl>
    <w:lvl w:ilvl="1">
      <w:lvlJc w:val="left"/>
      <w:lvlText w:val="%2."/>
      <w:numFmt w:val="decimal"/>
      <w:start w:val="2"/>
    </w:lvl>
  </w:abstractNum>
  <w:abstractNum w:abstractNumId="15">
    <w:nsid w:val="419AC241"/>
    <w:multiLevelType w:val="hybridMultilevel"/>
    <w:lvl w:ilvl="0">
      <w:lvlJc w:val="left"/>
      <w:lvlText w:val="(%1)"/>
      <w:numFmt w:val="lowerLetter"/>
      <w:start w:val="1"/>
    </w:lvl>
    <w:lvl w:ilvl="1">
      <w:lvlJc w:val="left"/>
      <w:lvlText w:val="%2"/>
      <w:numFmt w:val="decimal"/>
      <w:start w:val="1"/>
    </w:lvl>
  </w:abstractNum>
  <w:abstractNum w:abstractNumId="16">
    <w:nsid w:val="5577F8E1"/>
    <w:multiLevelType w:val="hybridMultilevel"/>
    <w:lvl w:ilvl="0">
      <w:lvlJc w:val="left"/>
      <w:lvlText w:val="%1."/>
      <w:numFmt w:val="decimal"/>
      <w:start w:val="3"/>
    </w:lvl>
  </w:abstractNum>
  <w:abstractNum w:abstractNumId="17">
    <w:nsid w:val="440BADFC"/>
    <w:multiLevelType w:val="hybridMultilevel"/>
    <w:lvl w:ilvl="0">
      <w:lvlJc w:val="left"/>
      <w:lvlText w:val="(%1)"/>
      <w:numFmt w:val="lowerLetter"/>
      <w:start w:val="2"/>
    </w:lvl>
  </w:abstractNum>
  <w:abstractNum w:abstractNumId="18">
    <w:nsid w:val="5072367"/>
    <w:multiLevelType w:val="hybridMultilevel"/>
    <w:lvl w:ilvl="0">
      <w:lvlJc w:val="left"/>
      <w:lvlText w:val="%1."/>
      <w:numFmt w:val="decimal"/>
      <w:start w:val="5"/>
    </w:lvl>
    <w:lvl w:ilvl="1">
      <w:lvlJc w:val="left"/>
      <w:lvlText w:val="(%2)"/>
      <w:numFmt w:val="lowerLetter"/>
      <w:start w:val="1"/>
    </w:lvl>
  </w:abstractNum>
  <w:abstractNum w:abstractNumId="19">
    <w:nsid w:val="3804823E"/>
    <w:multiLevelType w:val="hybridMultilevel"/>
    <w:lvl w:ilvl="0">
      <w:lvlJc w:val="left"/>
      <w:lvlText w:val="(%1)"/>
      <w:numFmt w:val="lowerLetter"/>
      <w:start w:val="3"/>
    </w:lvl>
  </w:abstractNum>
  <w:abstractNum w:abstractNumId="20">
    <w:nsid w:val="77465F01"/>
    <w:multiLevelType w:val="hybridMultilevel"/>
    <w:lvl w:ilvl="0">
      <w:lvlJc w:val="left"/>
      <w:lvlText w:val="(%1)"/>
      <w:numFmt w:val="lowerLetter"/>
      <w:start w:val="7"/>
    </w:lvl>
  </w:abstractNum>
  <w:abstractNum w:abstractNumId="21">
    <w:nsid w:val="7724C67E"/>
    <w:multiLevelType w:val="hybridMultilevel"/>
    <w:lvl w:ilvl="0">
      <w:lvlJc w:val="left"/>
      <w:lvlText w:val="(%1)"/>
      <w:numFmt w:val="lowerLetter"/>
      <w:start w:val="1"/>
    </w:lvl>
    <w:lvl w:ilvl="1">
      <w:lvlJc w:val="left"/>
      <w:lvlText w:val="(%2)"/>
      <w:numFmt w:val="lowerLetter"/>
      <w:start w:val="2"/>
    </w:lvl>
  </w:abstractNum>
  <w:abstractNum w:abstractNumId="22">
    <w:nsid w:val="5C482A97"/>
    <w:multiLevelType w:val="hybridMultilevel"/>
    <w:lvl w:ilvl="0">
      <w:lvlJc w:val="left"/>
      <w:lvlText w:val="(%1)"/>
      <w:numFmt w:val="lowerLetter"/>
      <w:start w:val="3"/>
    </w:lvl>
  </w:abstractNum>
  <w:abstractNum w:abstractNumId="23">
    <w:nsid w:val="2463B9EA"/>
    <w:multiLevelType w:val="hybridMultilevel"/>
    <w:lvl w:ilvl="0">
      <w:lvlJc w:val="left"/>
      <w:lvlText w:val="%1."/>
      <w:numFmt w:val="decimal"/>
      <w:start w:val="7"/>
    </w:lvl>
    <w:lvl w:ilvl="1">
      <w:lvlJc w:val="left"/>
      <w:lvlText w:val="(%2)"/>
      <w:numFmt w:val="lowerLetter"/>
      <w:start w:val="1"/>
    </w:lvl>
  </w:abstractNum>
  <w:abstractNum w:abstractNumId="24">
    <w:nsid w:val="5E884ADC"/>
    <w:multiLevelType w:val="hybridMultilevel"/>
    <w:lvl w:ilvl="0">
      <w:lvlJc w:val="left"/>
      <w:lvlText w:val="(%1)"/>
      <w:numFmt w:val="lowerLetter"/>
      <w:start w:val="2"/>
    </w:lvl>
  </w:abstractNum>
  <w:abstractNum w:abstractNumId="25">
    <w:nsid w:val="51EAD36B"/>
    <w:multiLevelType w:val="hybridMultilevel"/>
    <w:lvl w:ilvl="0">
      <w:lvlJc w:val="left"/>
      <w:lvlText w:val="%1"/>
      <w:numFmt w:val="decimal"/>
      <w:start w:val="1"/>
    </w:lvl>
    <w:lvl w:ilvl="1">
      <w:lvlJc w:val="left"/>
      <w:lvlText w:val="(%2)"/>
      <w:numFmt w:val="lowerLetter"/>
      <w:start w:val="9"/>
    </w:lvl>
  </w:abstractNum>
  <w:abstractNum w:abstractNumId="26">
    <w:nsid w:val="2D517796"/>
    <w:multiLevelType w:val="hybridMultilevel"/>
    <w:lvl w:ilvl="0">
      <w:lvlJc w:val="left"/>
      <w:lvlText w:val="%1."/>
      <w:numFmt w:val="decimal"/>
      <w:start w:val="9"/>
    </w:lvl>
    <w:lvl w:ilvl="1">
      <w:lvlJc w:val="left"/>
      <w:lvlText w:val="%2"/>
      <w:numFmt w:val="lowerLetter"/>
      <w:start w:val="1"/>
    </w:lvl>
  </w:abstractNum>
  <w:abstractNum w:abstractNumId="27">
    <w:nsid w:val="580BD78F"/>
    <w:multiLevelType w:val="hybridMultilevel"/>
    <w:lvl w:ilvl="0">
      <w:lvlJc w:val="left"/>
      <w:lvlText w:val="(%1)"/>
      <w:numFmt w:val="lowerLetter"/>
      <w:start w:val="2"/>
    </w:lvl>
  </w:abstractNum>
  <w:abstractNum w:abstractNumId="28">
    <w:nsid w:val="153EA438"/>
    <w:multiLevelType w:val="hybridMultilevel"/>
    <w:lvl w:ilvl="0">
      <w:lvlJc w:val="left"/>
      <w:lvlText w:val="(%1)"/>
      <w:numFmt w:val="lowerLetter"/>
      <w:start w:val="4"/>
    </w:lvl>
  </w:abstractNum>
  <w:abstractNum w:abstractNumId="29">
    <w:nsid w:val="3855585C"/>
    <w:multiLevelType w:val="hybridMultilevel"/>
    <w:lvl w:ilvl="0">
      <w:lvlJc w:val="left"/>
      <w:lvlText w:val="%1."/>
      <w:numFmt w:val="decimal"/>
      <w:start w:val="10"/>
    </w:lvl>
  </w:abstractNum>
  <w:abstractNum w:abstractNumId="30">
    <w:nsid w:val="70A64E2A"/>
    <w:multiLevelType w:val="hybridMultilevel"/>
    <w:lvl w:ilvl="0">
      <w:lvlJc w:val="left"/>
      <w:lvlText w:val="%1."/>
      <w:numFmt w:val="decimal"/>
      <w:start w:val="14"/>
    </w:lvl>
  </w:abstractNum>
  <w:abstractNum w:abstractNumId="31">
    <w:nsid w:val="6A2342EC"/>
    <w:multiLevelType w:val="hybridMultilevel"/>
    <w:lvl w:ilvl="0">
      <w:lvlJc w:val="left"/>
      <w:lvlText w:val="%1."/>
      <w:numFmt w:val="decimal"/>
      <w:start w:val="17"/>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3"/>
    </w:lvl>
  </w:abstractNum>
  <w:abstractNum w:abstractNumId="34">
    <w:nsid w:val="725A06FB"/>
    <w:multiLevelType w:val="hybridMultilevel"/>
    <w:lvl w:ilvl="0">
      <w:lvlJc w:val="left"/>
      <w:lvlText w:val="(%1)"/>
      <w:numFmt w:val="lowerRoman"/>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lowerLetter"/>
      <w:start w:val="2"/>
    </w:lvl>
  </w:abstractNum>
  <w:abstractNum w:abstractNumId="38">
    <w:nsid w:val="4B588F54"/>
    <w:multiLevelType w:val="hybridMultilevel"/>
    <w:lvl w:ilvl="0">
      <w:lvlJc w:val="left"/>
      <w:lvlText w:val="(%1)"/>
      <w:numFmt w:val="lowerRoman"/>
      <w:start w:val="4"/>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7"/>
    </w:lvl>
  </w:abstractNum>
  <w:abstractNum w:abstractNumId="42">
    <w:nsid w:val="7644A45C"/>
    <w:multiLevelType w:val="hybridMultilevel"/>
    <w:lvl w:ilvl="0">
      <w:lvlJc w:val="left"/>
      <w:lvlText w:val="%1."/>
      <w:numFmt w:val="decimal"/>
      <w:start w:val="8"/>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lowerLetter"/>
      <w:start w:val="2"/>
    </w:lvl>
  </w:abstractNum>
  <w:abstractNum w:abstractNumId="45">
    <w:nsid w:val="579478FE"/>
    <w:multiLevelType w:val="hybridMultilevel"/>
    <w:lvl w:ilvl="0">
      <w:lvlJc w:val="left"/>
      <w:lvlText w:val="%1."/>
      <w:numFmt w:val="decimal"/>
      <w:start w:val="5"/>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decimal"/>
      <w:start w:val="1"/>
    </w:lvl>
    <w:lvl w:ilvl="1">
      <w:lvlJc w:val="left"/>
      <w:lvlText w:val="(%2)"/>
      <w:numFmt w:val="lowerLetter"/>
      <w:start w:val="2"/>
    </w:lvl>
  </w:abstractNum>
  <w:abstractNum w:abstractNumId="48">
    <w:nsid w:val="1BA026FA"/>
    <w:multiLevelType w:val="hybridMultilevel"/>
    <w:lvl w:ilvl="0">
      <w:lvlJc w:val="left"/>
      <w:lvlText w:val="%1."/>
      <w:numFmt w:val="decimal"/>
      <w:start w:val="7"/>
    </w:lvl>
    <w:lvl w:ilvl="1">
      <w:lvlJc w:val="left"/>
      <w:lvlText w:val="%2"/>
      <w:numFmt w:val="lowerLetter"/>
      <w:start w:val="1"/>
    </w:lvl>
  </w:abstractNum>
  <w:abstractNum w:abstractNumId="49">
    <w:nsid w:val="79A1DEAA"/>
    <w:multiLevelType w:val="hybridMultilevel"/>
    <w:lvl w:ilvl="0">
      <w:lvlJc w:val="left"/>
      <w:lvlText w:val="%1."/>
      <w:numFmt w:val="decimal"/>
      <w:start w:val="8"/>
    </w:lvl>
  </w:abstractNum>
  <w:abstractNum w:abstractNumId="50">
    <w:nsid w:val="75C6C33A"/>
    <w:multiLevelType w:val="hybridMultilevel"/>
    <w:lvl w:ilvl="0">
      <w:lvlJc w:val="left"/>
      <w:lvlText w:val="%1."/>
      <w:numFmt w:val="decimal"/>
      <w:start w:val="1"/>
    </w:lvl>
    <w:lvl w:ilvl="1">
      <w:lvlJc w:val="left"/>
      <w:lvlText w:val="**"/>
      <w:numFmt w:val="bullet"/>
      <w:start w:val="1"/>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2023-01-30T16:30:33Z</dcterms:created>
  <dcterms:modified xsi:type="dcterms:W3CDTF">2023-01-30T16:30:33Z</dcterms:modified>
</cp:coreProperties>
</file>