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12025_080917.xml.htm"/>
      <w:bookmarkStart w:id="1" w:name="ksform409112025_0809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128.05</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129.079</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6,329</w:t>
            </w:r>
            <w:r>
              <w:rPr>
                <w:rFonts w:ascii="Times;serif" w:hAnsi="Times;serif"/>
                <w:color w:val="008000"/>
                <w:position w:val="7"/>
                <w:sz w:val="16"/>
                <w:sz w:val="20"/>
                <w:shd w:fill="FFFFFF" w:val="clear"/>
              </w:rPr>
              <w:t>(3)</w:t>
            </w:r>
            <w:r>
              <w:rPr/>
              <w:t xml:space="preserve"> </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the reported sales, in addition to the 6,329 shares of Class A common stock beneficially owned by the Reporting Person, the Reporting Person beneficially owned restricted stock units ("RSUs") representing contingent rights to receive up to an aggregate of 463,289 shares of Class A common stock and options to purchase up to an aggregate of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6.25% vest in quarterly installments over the 4-year period commencing on March 9, 2023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4249</Characters>
  <CharactersWithSpaces>4962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