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637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37413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337"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RUCH JOSHUA</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02/05/2025</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333 LUDLOW ST, NORTH TOWER, 6TH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337"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33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w w:val="95"/>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02/05/2025</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5"/>
              </w:rPr>
              <w:t>5,816</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7.89</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16,799</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14,845</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Kariba</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30,138</w:t>
            </w:r>
          </w:p>
        </w:tc>
        <w:tc>
          <w:tcPr>
            <w:tcW w:w="34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Rugu2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VAAL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149,284</w:t>
            </w:r>
          </w:p>
        </w:tc>
        <w:tc>
          <w:tcPr>
            <w:tcW w:w="34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Q9 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80" w:type="dxa"/>
            <w:vAlign w:val="bottom"/>
            <w:gridSpan w:val="12"/>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5,816</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7.89</w:t>
            </w: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02/05/2025</w:t>
            </w:r>
          </w:p>
        </w:tc>
        <w:tc>
          <w:tcPr>
            <w:tcW w:w="1100" w:type="dxa"/>
            <w:vAlign w:val="bottom"/>
          </w:tcPr>
          <w:p>
            <w:pPr>
              <w:spacing w:after="0"/>
              <w:rPr>
                <w:sz w:val="6"/>
                <w:szCs w:val="6"/>
                <w:color w:val="auto"/>
              </w:rPr>
            </w:pPr>
          </w:p>
        </w:tc>
        <w:tc>
          <w:tcPr>
            <w:tcW w:w="58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6"/>
                <w:szCs w:val="6"/>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5,816</w:t>
            </w:r>
          </w:p>
        </w:tc>
        <w:tc>
          <w:tcPr>
            <w:tcW w:w="800" w:type="dxa"/>
            <w:vAlign w:val="bottom"/>
            <w:gridSpan w:val="2"/>
            <w:vMerge w:val="continue"/>
          </w:tcPr>
          <w:p>
            <w:pPr>
              <w:spacing w:after="0"/>
              <w:rPr>
                <w:sz w:val="6"/>
                <w:szCs w:val="6"/>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07/20/2033</w:t>
            </w:r>
          </w:p>
        </w:tc>
        <w:tc>
          <w:tcPr>
            <w:tcW w:w="64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2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6"/>
                <w:szCs w:val="6"/>
                <w:color w:val="auto"/>
              </w:rPr>
            </w:pPr>
          </w:p>
        </w:tc>
        <w:tc>
          <w:tcPr>
            <w:tcW w:w="5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Class A Common Stock from the exercise of stock option at an exercise price of $7.89 per share as described in Table II. The increase in beneficial ownership of Class A Common Stock resulting therefrom is indicated in Table I.</w:t>
      </w:r>
    </w:p>
    <w:p>
      <w:pPr>
        <w:spacing w:after="0" w:line="16" w:lineRule="exact"/>
        <w:rPr>
          <w:rFonts w:ascii="Times New Roman" w:cs="Times New Roman" w:eastAsia="Times New Roman" w:hAnsi="Times New Roman"/>
          <w:sz w:val="13"/>
          <w:szCs w:val="13"/>
          <w:color w:val="008000"/>
        </w:rPr>
      </w:pPr>
    </w:p>
    <w:p>
      <w:pPr>
        <w:ind w:left="40" w:right="3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Ruch is (i) a managing member of the managing member of the general partner of Vaal Investment Partners Q9 LP ("Q9"), (ii) a managing member of RUGU2 LLC ("RUGU2") and (iii) a managing member of Kariba LLC ("Kariba"). As such, Mr. Ruch exercises voting and investment power with respect to the shares owned by Q9, RUGU2 and Kariba. Mr. Ruch disclaims beneficial ownership of such securities, except to the extent of his pecuniary interest therein.</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02/07/2025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0943431"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2025-02-07T15:08:59Z</dcterms:created>
  <dcterms:modified xsi:type="dcterms:W3CDTF">2025-02-07T15:08:59Z</dcterms:modified>
</cp:coreProperties>
</file>