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637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37413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337"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RUCH JOSHUA</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Borders>
              <w:top w:val="single" w:sz="8" w:color="0000EE"/>
            </w:tcBorders>
          </w:tcPr>
          <w:p>
            <w:pPr>
              <w:spacing w:after="0"/>
              <w:rPr>
                <w:sz w:val="5"/>
                <w:szCs w:val="5"/>
                <w:color w:val="auto"/>
              </w:rPr>
            </w:pPr>
          </w:p>
        </w:tc>
        <w:tc>
          <w:tcPr>
            <w:tcW w:w="17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01/17/2025</w:t>
            </w:r>
          </w:p>
        </w:tc>
        <w:tc>
          <w:tcPr>
            <w:tcW w:w="17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20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1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333 LUDLOW ST, NORTH TOWER, 6TH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337"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33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jc w:val="center"/>
              <w:ind w:right="18"/>
              <w:spacing w:after="0"/>
              <w:rPr>
                <w:sz w:val="20"/>
                <w:szCs w:val="20"/>
                <w:color w:val="auto"/>
              </w:rPr>
            </w:pPr>
            <w:r>
              <w:rPr>
                <w:rFonts w:ascii="Arial" w:cs="Arial" w:eastAsia="Arial" w:hAnsi="Arial"/>
                <w:sz w:val="12"/>
                <w:szCs w:val="12"/>
                <w:b w:val="1"/>
                <w:bCs w:val="1"/>
                <w:color w:val="auto"/>
                <w:w w:val="95"/>
              </w:rPr>
              <w:t>(D)</w:t>
            </w: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01/17/2025</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5"/>
              </w:rPr>
              <w:t>3,000</w:t>
            </w:r>
            <w:r>
              <w:rPr>
                <w:rFonts w:ascii="Times New Roman" w:cs="Times New Roman" w:eastAsia="Times New Roman" w:hAnsi="Times New Roman"/>
                <w:sz w:val="21"/>
                <w:szCs w:val="21"/>
                <w:color w:val="008000"/>
                <w:w w:val="95"/>
                <w:vertAlign w:val="superscript"/>
              </w:rPr>
              <w:t>(1)</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7.89</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10,983</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14,845</w:t>
            </w:r>
          </w:p>
        </w:tc>
        <w:tc>
          <w:tcPr>
            <w:tcW w:w="34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 Kariba</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30,138</w:t>
            </w:r>
          </w:p>
        </w:tc>
        <w:tc>
          <w:tcPr>
            <w:tcW w:w="34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 Rugu2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 VAAL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149,284</w:t>
            </w:r>
          </w:p>
        </w:tc>
        <w:tc>
          <w:tcPr>
            <w:tcW w:w="34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Q9 LP</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180" w:type="dxa"/>
            <w:vAlign w:val="bottom"/>
            <w:gridSpan w:val="12"/>
          </w:tcPr>
          <w:p>
            <w:pPr>
              <w:jc w:val="center"/>
              <w:ind w:left="83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3,000</w:t>
            </w: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7.89</w:t>
            </w: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01/17/2025</w:t>
            </w:r>
          </w:p>
        </w:tc>
        <w:tc>
          <w:tcPr>
            <w:tcW w:w="1100" w:type="dxa"/>
            <w:vAlign w:val="bottom"/>
          </w:tcPr>
          <w:p>
            <w:pPr>
              <w:spacing w:after="0"/>
              <w:rPr>
                <w:sz w:val="6"/>
                <w:szCs w:val="6"/>
                <w:color w:val="auto"/>
              </w:rPr>
            </w:pPr>
          </w:p>
        </w:tc>
        <w:tc>
          <w:tcPr>
            <w:tcW w:w="58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6"/>
                <w:szCs w:val="6"/>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3,000</w:t>
            </w:r>
          </w:p>
        </w:tc>
        <w:tc>
          <w:tcPr>
            <w:tcW w:w="800" w:type="dxa"/>
            <w:vAlign w:val="bottom"/>
            <w:gridSpan w:val="2"/>
            <w:vMerge w:val="continue"/>
          </w:tcPr>
          <w:p>
            <w:pPr>
              <w:spacing w:after="0"/>
              <w:rPr>
                <w:sz w:val="6"/>
                <w:szCs w:val="6"/>
                <w:color w:val="auto"/>
              </w:rPr>
            </w:pPr>
          </w:p>
        </w:tc>
        <w:tc>
          <w:tcPr>
            <w:tcW w:w="72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07/20/2033</w:t>
            </w:r>
          </w:p>
        </w:tc>
        <w:tc>
          <w:tcPr>
            <w:tcW w:w="640" w:type="dxa"/>
            <w:vAlign w:val="bottom"/>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5,816</w:t>
            </w:r>
          </w:p>
        </w:tc>
        <w:tc>
          <w:tcPr>
            <w:tcW w:w="54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Class A Common Stock from the exercise of stock option at an exercise price of $7.89 per share as described in Table II. The increase in beneficial ownership of Class A Common Stock resulting therefrom is indicated in Table I.</w:t>
      </w:r>
    </w:p>
    <w:p>
      <w:pPr>
        <w:spacing w:after="0" w:line="16" w:lineRule="exact"/>
        <w:rPr>
          <w:rFonts w:ascii="Times New Roman" w:cs="Times New Roman" w:eastAsia="Times New Roman" w:hAnsi="Times New Roman"/>
          <w:sz w:val="13"/>
          <w:szCs w:val="13"/>
          <w:color w:val="008000"/>
        </w:rPr>
      </w:pPr>
    </w:p>
    <w:p>
      <w:pPr>
        <w:ind w:left="40" w:right="3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Ruch is (i) a managing member of the managing member of the general partner of Vaal Investment Partners Q9 LP ("Q9"), (ii) a managing member of RUGU2 LLC ("RUGU2") and (iii) a managing member of Kariba LLC ("Kariba"). As such, Mr. Ruch exercises voting and investment power with respect to the shares owned by Q9, RUGU2 and Kariba. Mr. Ruch disclaims beneficial ownership of such securities, except to the extent of his pecuniary interest therein.</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01/22/2025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7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0943431"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2025-01-22T16:15:00Z</dcterms:created>
  <dcterms:modified xsi:type="dcterms:W3CDTF">2025-01-22T16:15:00Z</dcterms:modified>
</cp:coreProperties>
</file>