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312025_081058.xml.htm"/>
      <w:bookmarkStart w:id="1" w:name="ksform410312025_0810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136.54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136.75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3,436</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reported sale undertaken to satisfy tax withholding liabilities, in addition to the 3,436 shares of Class A Common Stock beneficially owned by the Reporting Person, the Reporting Person beneficially owned RSUs representing contingent rights to receive up to an aggregate of 440,665 shares of Class A Common Stock and options to purchase up to an aggregate of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total award vested on each of April 29, 2023 and April 29, 2024, and an additional 6.25% of the total award vested or vests thereafter on each quarterly anniversary, subject to the Reporting Person's continued service to the Issuer on each vesting date, with the last tranche scheduled to vest on April 29, 2026.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844</Words>
  <Characters>4452</Characters>
  <CharactersWithSpaces>5213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