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GeneDx Holdings Corp.</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CMLS Holdings LLC</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Eli Casdin and Keith Meister</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 Corvex Management 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(212) 474-6745</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81663L101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April 14,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82"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CMLS HOLDINGS LLC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8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5"/>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6"/>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780" w:type="dxa"/>
            <w:vAlign w:val="bottom"/>
            <w:tcBorders>
              <w:right w:val="single" w:sz="8" w:color="auto"/>
            </w:tcBorders>
            <w:gridSpan w:val="2"/>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(11) Excludes Certain Units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6"/>
              </w:rPr>
              <w:t>2.1% (4)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HC, OO</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C-LSH LLC</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8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5"/>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6"/>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780" w:type="dxa"/>
            <w:vAlign w:val="bottom"/>
            <w:tcBorders>
              <w:right w:val="single" w:sz="8" w:color="auto"/>
            </w:tcBorders>
            <w:gridSpan w:val="2"/>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(11) Excludes Certain Units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6"/>
              </w:rPr>
              <w:t>2.1% (4)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HC, OO</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M-LSH LLC</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8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5"/>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6"/>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780" w:type="dxa"/>
            <w:vAlign w:val="bottom"/>
            <w:tcBorders>
              <w:right w:val="single" w:sz="8" w:color="auto"/>
            </w:tcBorders>
            <w:gridSpan w:val="2"/>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(11) Excludes Certain Units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6"/>
              </w:rPr>
              <w:t>2.1% (4)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HC, OO</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ELI CASDIN</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5"/>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159,490 (7)</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119,882,204 (1)(2)(3)(5)</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159,490 (7)</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119,882,204 (1)(2)(3)(5)</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119,882,204 (1)(2)(3)(5)(7)</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Units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89"/>
              </w:rPr>
              <w:t>120,041,694</w:t>
            </w: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14.1% (4)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HC, IN</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CASDIN CAPITAL, LLC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5"/>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102,151,785 (5)</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102,151,785 (5)</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102,151,785 (5)</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(11) Excludes Certain Units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12.1% (4)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8"/>
              </w:rPr>
              <w:t>IA, OO</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CASDIN PARTNERS GP, LLC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4"/>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102,151,785 (5)</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102,151,785 (5)</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102,151,785 (5)</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Units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12.1% (4) (5)</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CASDIN PARTNERS MASTER FUND, L.P.</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4"/>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87,866,042</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87,866,042</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3"/>
          </w:tcPr>
          <w:p>
            <w:pPr>
              <w:ind w:left="18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87,866,042</w:t>
            </w: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Units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10.4% (4)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CASDIN PARTNERS FO1-MSV, LP</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8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5"/>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WC</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6"/>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14,285,743</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780" w:type="dxa"/>
            <w:vAlign w:val="bottom"/>
            <w:tcBorders>
              <w:right w:val="single" w:sz="8" w:color="auto"/>
            </w:tcBorders>
            <w:gridSpan w:val="2"/>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14,285,743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14,285,743</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(11) Excludes Certain Units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6"/>
              </w:rPr>
              <w:t>1.7% (4)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PN</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KEITH A. MEISTER</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5"/>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109,272,508 (6)</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109,272,508 (6)</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17,730,419 (1)(2)(3)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127,002,927 (1)(2)(3)(6)</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(11) Excludes Certain Units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14.9% (4)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HC, IN</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CORVEX MANAGEMENT LP</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22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60" w:type="dxa"/>
            <w:vAlign w:val="bottom"/>
            <w:gridSpan w:val="4"/>
          </w:tcPr>
          <w:p>
            <w:pPr>
              <w:ind w:left="180"/>
              <w:spacing w:after="0"/>
              <w:rPr>
                <w:sz w:val="20"/>
                <w:szCs w:val="20"/>
                <w:color w:val="auto"/>
              </w:rPr>
            </w:pPr>
            <w:r>
              <w:rPr>
                <w:rFonts w:ascii="Arial" w:cs="Arial" w:eastAsia="Arial" w:hAnsi="Arial"/>
                <w:sz w:val="18"/>
                <w:szCs w:val="18"/>
                <w:color w:val="auto"/>
                <w:w w:val="91"/>
              </w:rPr>
              <w:t>SEC Use Only</w:t>
            </w:r>
          </w:p>
        </w:tc>
        <w:tc>
          <w:tcPr>
            <w:tcW w:w="9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AF</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109,148,140 (6)</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Units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109,148,140 (6)</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109,148,140 (6)</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Units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12.9% (4)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PN, IA</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11" w:name="page12"/>
    <w:bookmarkEnd w:id="11"/>
    <w:p>
      <w:pPr>
        <w:ind w:left="424" w:hanging="424"/>
        <w:spacing w:after="0"/>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Includes 10,993,750 shares of Class A common stock of GeneDx Holdings Corp. (the “</w:t>
      </w:r>
      <w:r>
        <w:rPr>
          <w:rFonts w:ascii="Arial" w:cs="Arial" w:eastAsia="Arial" w:hAnsi="Arial"/>
          <w:sz w:val="16"/>
          <w:szCs w:val="16"/>
          <w:u w:val="single" w:color="auto"/>
          <w:color w:val="auto"/>
        </w:rPr>
        <w:t>Issuer</w:t>
      </w:r>
      <w:r>
        <w:rPr>
          <w:rFonts w:ascii="Arial" w:cs="Arial" w:eastAsia="Arial" w:hAnsi="Arial"/>
          <w:sz w:val="16"/>
          <w:szCs w:val="16"/>
          <w:color w:val="auto"/>
        </w:rPr>
        <w:t>”), par value $0.0001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24" w:right="6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6,736,669 shares of Common Stock issuable upon the exercise of 6,736,669 private placement warrants of the Issuer. On September 3, 2021, each private placement warrant became exercisable to purchase one share of Common Stock at a price of $11.50 per share, subject to adjustment, as described in the definitive proxy statement of the Issuer (File No. 001-39482) filed with the U.S. Securities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July 2, 2021.</w:t>
      </w:r>
    </w:p>
    <w:p>
      <w:pPr>
        <w:spacing w:after="0" w:line="1" w:lineRule="exact"/>
        <w:rPr>
          <w:rFonts w:ascii="Arial" w:cs="Arial" w:eastAsia="Arial" w:hAnsi="Arial"/>
          <w:sz w:val="18"/>
          <w:szCs w:val="18"/>
          <w:color w:val="auto"/>
        </w:rPr>
      </w:pPr>
    </w:p>
    <w:p>
      <w:pPr>
        <w:ind w:left="424" w:right="300" w:hanging="424"/>
        <w:spacing w:after="0" w:line="28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w:t>
      </w:r>
    </w:p>
    <w:p>
      <w:pPr>
        <w:spacing w:after="0" w:line="1" w:lineRule="exact"/>
        <w:rPr>
          <w:rFonts w:ascii="Arial" w:cs="Arial" w:eastAsia="Arial" w:hAnsi="Arial"/>
          <w:sz w:val="16"/>
          <w:szCs w:val="16"/>
          <w:color w:val="auto"/>
        </w:rPr>
      </w:pPr>
    </w:p>
    <w:p>
      <w:pPr>
        <w:ind w:left="424" w:right="40"/>
        <w:spacing w:after="0" w:line="250" w:lineRule="auto"/>
        <w:rPr>
          <w:rFonts w:ascii="Arial" w:cs="Arial" w:eastAsia="Arial" w:hAnsi="Arial"/>
          <w:sz w:val="16"/>
          <w:szCs w:val="16"/>
          <w:color w:val="auto"/>
        </w:rPr>
      </w:pPr>
      <w:r>
        <w:rPr>
          <w:rFonts w:ascii="Arial" w:cs="Arial" w:eastAsia="Arial" w:hAnsi="Arial"/>
          <w:sz w:val="18"/>
          <w:szCs w:val="18"/>
          <w:color w:val="auto"/>
        </w:rPr>
        <w:t>C-LSH LLC and M-LSH LLC, respectively. As such, each of the foregoing may be deemed to have or share beneficial ownership of the Common Stock held directly by CMLS Holdings LLC.</w:t>
      </w:r>
    </w:p>
    <w:p>
      <w:pPr>
        <w:ind w:left="424" w:right="4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843,735,666 shares of Common Stock outstanding as of April 17, 2023, based upon information provided by the Issuer to the Reporting Persons. For Reporting Persons that beneficially own warrants or options as reported in notes (2) and (7), shares underlying warrants, options and restricted stock units that would result in the issuance of new shares that are exercisable or would vest into shares of Common Stock within the next 60 days.</w:t>
      </w:r>
    </w:p>
    <w:p>
      <w:pPr>
        <w:spacing w:after="0" w:line="1" w:lineRule="exact"/>
        <w:rPr>
          <w:rFonts w:ascii="Arial" w:cs="Arial" w:eastAsia="Arial" w:hAnsi="Arial"/>
          <w:sz w:val="18"/>
          <w:szCs w:val="18"/>
          <w:color w:val="auto"/>
        </w:rPr>
      </w:pPr>
    </w:p>
    <w:p>
      <w:pPr>
        <w:ind w:left="424" w:right="20" w:hanging="424"/>
        <w:spacing w:after="0" w:line="265"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Casdin Partners Master Fund, LP is the holder of 87,866,042 shares reported herein. Casdin Partners FO1-MSV LP is the holder of 14,285,743 shares reported herein.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Common Stock held directly by Casdin Partners Master Fund, LP.</w:t>
      </w:r>
    </w:p>
    <w:p>
      <w:pPr>
        <w:ind w:left="424" w:hanging="424"/>
        <w:spacing w:after="0" w:line="28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shares reflected as solely beneficially owned by Mr. Meister include (i) the 109,148,140 shares of Common Stock owned by investment funds advised by Corvex Management L.P., which may be deemed to be indirectly beneficially owned by Keith Meister by virtue of Mr. Meister’s control of the general partner of Corvex Management L.P., (ii) the 78,914 shares underlying options that will vest within 60 days and (iii) the 45,454 shares of Common Stock underlying restricted stock units that will settle within 60 days, subject to certain conditions. In addition, the aggregate beneficial ownership amount includes amounts beneficially owned by CMLS Holdings LLC described in (1) and (2) above.</w:t>
      </w:r>
    </w:p>
    <w:p>
      <w:pPr>
        <w:spacing w:after="0" w:line="2" w:lineRule="exact"/>
        <w:rPr>
          <w:rFonts w:ascii="Arial" w:cs="Arial" w:eastAsia="Arial" w:hAnsi="Arial"/>
          <w:sz w:val="16"/>
          <w:szCs w:val="16"/>
          <w:color w:val="auto"/>
        </w:rPr>
      </w:pPr>
    </w:p>
    <w:p>
      <w:pPr>
        <w:ind w:left="424" w:right="520" w:hanging="424"/>
        <w:spacing w:after="0" w:line="25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22,286 shares issuable upon exercise of fully vested options and 12,836 shares of Common Stock that were issued upon vesting of restricted stock units, in each case that were granted to Mr. Casdin in connection with his service on the board of directors of the Issuer. In addition, the total includes 78,914 shares underlying options that will vest within 60 days and 45,454 shares of Common Stock underlying restricted stock units that will settle within 60 days, subject to certain conditions.</w:t>
      </w:r>
    </w:p>
    <w:p>
      <w:pPr>
        <w:sectPr>
          <w:pgSz w:w="11900" w:h="16838" w:orient="portrait"/>
          <w:cols w:equalWidth="0" w:num="1">
            <w:col w:w="10984"/>
          </w:cols>
          <w:pgMar w:left="436" w:top="274" w:right="4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This Amendment No. 5 (the “</w:t>
      </w:r>
      <w:r>
        <w:rPr>
          <w:rFonts w:ascii="Arial" w:cs="Arial" w:eastAsia="Arial" w:hAnsi="Arial"/>
          <w:sz w:val="17"/>
          <w:szCs w:val="17"/>
          <w:u w:val="single" w:color="auto"/>
          <w:color w:val="auto"/>
        </w:rPr>
        <w:t>Amendment</w:t>
      </w:r>
      <w:r>
        <w:rPr>
          <w:rFonts w:ascii="Arial" w:cs="Arial" w:eastAsia="Arial" w:hAnsi="Arial"/>
          <w:sz w:val="17"/>
          <w:szCs w:val="17"/>
          <w:color w:val="auto"/>
        </w:rPr>
        <w:t>”) supplements the information set forth in the Schedule 13D (the “</w:t>
      </w:r>
      <w:r>
        <w:rPr>
          <w:rFonts w:ascii="Arial" w:cs="Arial" w:eastAsia="Arial" w:hAnsi="Arial"/>
          <w:sz w:val="17"/>
          <w:szCs w:val="17"/>
          <w:u w:val="single" w:color="auto"/>
          <w:color w:val="auto"/>
        </w:rPr>
        <w:t>Schedule 13D</w:t>
      </w:r>
      <w:r>
        <w:rPr>
          <w:rFonts w:ascii="Arial" w:cs="Arial" w:eastAsia="Arial" w:hAnsi="Arial"/>
          <w:sz w:val="17"/>
          <w:szCs w:val="17"/>
          <w:color w:val="auto"/>
        </w:rPr>
        <w:t>”) filed with the United States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August 2, 2021, as amended as of January 19, 2022, May 3, 2022, December 5, 2022 and February 1, 2023, by CMLS Holdings LLC, Keith Meister, Eli Casdin and the other Reporting Persons named therein, relating to the shares of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GeneDx Holdings Corp. (f/k/a Sema4 Holdings Corp.) (the “</w:t>
      </w:r>
      <w:r>
        <w:rPr>
          <w:rFonts w:ascii="Arial" w:cs="Arial" w:eastAsia="Arial" w:hAnsi="Arial"/>
          <w:sz w:val="17"/>
          <w:szCs w:val="17"/>
          <w:u w:val="single" w:color="auto"/>
          <w:color w:val="auto"/>
        </w:rPr>
        <w:t>Issuer</w:t>
      </w:r>
      <w:r>
        <w:rPr>
          <w:rFonts w:ascii="Arial" w:cs="Arial" w:eastAsia="Arial" w:hAnsi="Arial"/>
          <w:sz w:val="17"/>
          <w:szCs w:val="17"/>
          <w:color w:val="auto"/>
        </w:rPr>
        <w:t>”). Capitalized terms used but not defined herein shall have the meanings ascribed to them in the Schedule 13D.</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set forth in response to each separate Item below shall be deemed to be a response to all Items where such information is relevant. Items 2, 3, 4 and 5 to the Schedule 13D are amended and restated as follows. Information with respect to each Reporting Person is given solely by such Reporting Person and no Reporting Person assumes responsibility for the accuracy or completeness of the information furnished by another Reporting Person, except as otherwise provided in Rule 13d-1(k).</w:t>
      </w:r>
    </w:p>
    <w:p>
      <w:pPr>
        <w:spacing w:after="0" w:line="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statement is filed on behalf of each of the following person (collectively, the “Reporting Persons”):</w:t>
      </w:r>
    </w:p>
    <w:p>
      <w:pPr>
        <w:spacing w:after="0" w:line="117" w:lineRule="exact"/>
        <w:rPr>
          <w:sz w:val="20"/>
          <w:szCs w:val="20"/>
          <w:color w:val="auto"/>
        </w:rPr>
      </w:pPr>
    </w:p>
    <w:p>
      <w:pPr>
        <w:ind w:left="1440" w:hanging="43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CMLS Holdings LLC (“CMLS Holdings”), the holder of record of the Common Stock (as defined below) reported herein;</w:t>
      </w:r>
    </w:p>
    <w:p>
      <w:pPr>
        <w:spacing w:after="0" w:line="23" w:lineRule="exact"/>
        <w:rPr>
          <w:rFonts w:ascii="Arial" w:cs="Arial" w:eastAsia="Arial" w:hAnsi="Arial"/>
          <w:sz w:val="18"/>
          <w:szCs w:val="18"/>
          <w:color w:val="auto"/>
        </w:rPr>
      </w:pPr>
    </w:p>
    <w:p>
      <w:pPr>
        <w:ind w:left="1440" w:hanging="43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C-LSH LLC (“C-LSH”), member of CMLS Holdings;</w:t>
      </w:r>
    </w:p>
    <w:p>
      <w:pPr>
        <w:spacing w:after="0" w:line="9" w:lineRule="exact"/>
        <w:rPr>
          <w:rFonts w:ascii="Arial" w:cs="Arial" w:eastAsia="Arial" w:hAnsi="Arial"/>
          <w:sz w:val="18"/>
          <w:szCs w:val="18"/>
          <w:color w:val="auto"/>
        </w:rPr>
      </w:pPr>
    </w:p>
    <w:p>
      <w:pPr>
        <w:ind w:left="1440" w:hanging="43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M-LSH LLC (“M-LSH”), member of CMLS Holdings;</w:t>
      </w:r>
    </w:p>
    <w:p>
      <w:pPr>
        <w:spacing w:after="0" w:line="9" w:lineRule="exact"/>
        <w:rPr>
          <w:rFonts w:ascii="Arial" w:cs="Arial" w:eastAsia="Arial" w:hAnsi="Arial"/>
          <w:sz w:val="18"/>
          <w:szCs w:val="18"/>
          <w:color w:val="auto"/>
        </w:rPr>
      </w:pPr>
    </w:p>
    <w:p>
      <w:pPr>
        <w:ind w:left="1440" w:right="140" w:hanging="432"/>
        <w:spacing w:after="0" w:line="250" w:lineRule="auto"/>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 Casdin (“Mr. Casdin”), a member of the Board of Managers of CMLS Holdings and the holder of record of the Common Stock reported herein;</w:t>
      </w:r>
    </w:p>
    <w:p>
      <w:pPr>
        <w:ind w:left="1440" w:hanging="43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Casdin Capital, LLC;</w:t>
      </w:r>
    </w:p>
    <w:p>
      <w:pPr>
        <w:spacing w:after="0" w:line="9" w:lineRule="exact"/>
        <w:rPr>
          <w:rFonts w:ascii="Arial" w:cs="Arial" w:eastAsia="Arial" w:hAnsi="Arial"/>
          <w:sz w:val="18"/>
          <w:szCs w:val="18"/>
          <w:color w:val="auto"/>
        </w:rPr>
      </w:pPr>
    </w:p>
    <w:p>
      <w:pPr>
        <w:ind w:left="1440" w:hanging="43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Casdin Partners GP, LLC;</w:t>
      </w:r>
    </w:p>
    <w:p>
      <w:pPr>
        <w:spacing w:after="0" w:line="9" w:lineRule="exact"/>
        <w:rPr>
          <w:sz w:val="20"/>
          <w:szCs w:val="20"/>
          <w:color w:val="auto"/>
        </w:rPr>
      </w:pPr>
    </w:p>
    <w:p>
      <w:pPr>
        <w:ind w:left="1440" w:hanging="432"/>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Casdin Partners Master Fund, L.P.;</w:t>
      </w:r>
    </w:p>
    <w:p>
      <w:pPr>
        <w:spacing w:after="0" w:line="9" w:lineRule="exact"/>
        <w:rPr>
          <w:sz w:val="20"/>
          <w:szCs w:val="20"/>
          <w:color w:val="auto"/>
        </w:rPr>
      </w:pPr>
    </w:p>
    <w:p>
      <w:pPr>
        <w:ind w:left="1440" w:hanging="432"/>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Casdin FO1-MSV, LP;</w:t>
      </w:r>
    </w:p>
    <w:p>
      <w:pPr>
        <w:spacing w:after="0" w:line="9" w:lineRule="exact"/>
        <w:rPr>
          <w:rFonts w:ascii="Arial" w:cs="Arial" w:eastAsia="Arial" w:hAnsi="Arial"/>
          <w:sz w:val="18"/>
          <w:szCs w:val="18"/>
          <w:color w:val="auto"/>
        </w:rPr>
      </w:pPr>
    </w:p>
    <w:p>
      <w:pPr>
        <w:ind w:left="1440" w:right="400" w:hanging="432"/>
        <w:spacing w:after="0" w:line="250"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Keith A. Meister (“Mr. Meister”), member of the Board of Managers of CMLS Holdings and the managing member of M-LSH LLC; and</w:t>
      </w:r>
    </w:p>
    <w:p>
      <w:pPr>
        <w:ind w:left="1440" w:hanging="432"/>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Corvex Management LP (“Corvex”)</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Any disclosures herein with respect to a Reporting Person is made by such Reporting Person.</w:t>
      </w:r>
    </w:p>
    <w:p>
      <w:pPr>
        <w:spacing w:after="0" w:line="117" w:lineRule="exact"/>
        <w:rPr>
          <w:sz w:val="20"/>
          <w:szCs w:val="20"/>
          <w:color w:val="auto"/>
        </w:rPr>
      </w:pPr>
    </w:p>
    <w:p>
      <w:pPr>
        <w:ind w:left="1000" w:right="60"/>
        <w:spacing w:after="0" w:line="277" w:lineRule="auto"/>
        <w:rPr>
          <w:sz w:val="20"/>
          <w:szCs w:val="20"/>
          <w:color w:val="auto"/>
        </w:rPr>
      </w:pPr>
      <w:r>
        <w:rPr>
          <w:rFonts w:ascii="Arial" w:cs="Arial" w:eastAsia="Arial" w:hAnsi="Arial"/>
          <w:sz w:val="18"/>
          <w:szCs w:val="18"/>
          <w:color w:val="auto"/>
        </w:rPr>
        <w:t>The filing of this statement should not be construed in and of itself as an admission by any Reporting Person as to beneficial ownership of the securities reported herein.</w:t>
      </w:r>
    </w:p>
    <w:p>
      <w:pPr>
        <w:spacing w:after="0" w:line="62" w:lineRule="exact"/>
        <w:rPr>
          <w:sz w:val="20"/>
          <w:szCs w:val="20"/>
          <w:color w:val="auto"/>
        </w:rPr>
      </w:pPr>
    </w:p>
    <w:p>
      <w:pPr>
        <w:ind w:left="1000"/>
        <w:spacing w:after="0" w:line="263" w:lineRule="auto"/>
        <w:rPr>
          <w:sz w:val="20"/>
          <w:szCs w:val="20"/>
          <w:color w:val="auto"/>
        </w:rPr>
      </w:pPr>
      <w:r>
        <w:rPr>
          <w:rFonts w:ascii="Arial" w:cs="Arial" w:eastAsia="Arial" w:hAnsi="Arial"/>
          <w:sz w:val="18"/>
          <w:szCs w:val="18"/>
          <w:color w:val="auto"/>
        </w:rPr>
        <w:t>The Reporting Persons have entered into a joint filing agreement, filed as Exhibit A to this Schedule 13D, pursuant to which the Reporting Persons agreed to file the Schedule 13D and any amendments thereto in accordance with the provisions of Rule 13d-1(k)(1) under the Securities Exchange Act of 1934, as amended.</w:t>
      </w:r>
    </w:p>
    <w:p>
      <w:pPr>
        <w:spacing w:after="0" w:line="7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121" w:lineRule="exact"/>
        <w:rPr>
          <w:sz w:val="20"/>
          <w:szCs w:val="20"/>
          <w:color w:val="auto"/>
        </w:rPr>
      </w:pPr>
    </w:p>
    <w:p>
      <w:pPr>
        <w:ind w:left="100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other than CMLS Holdings, M-LSH, Mr. Meister and Corvex is c/o Casdin Capital, LLC, 1350 Avenue of the Americas, Suite 2600, New York, NY 10019.</w:t>
      </w:r>
    </w:p>
    <w:p>
      <w:pPr>
        <w:spacing w:after="0" w:line="62" w:lineRule="exact"/>
        <w:rPr>
          <w:sz w:val="20"/>
          <w:szCs w:val="20"/>
          <w:color w:val="auto"/>
        </w:rPr>
      </w:pPr>
    </w:p>
    <w:p>
      <w:pPr>
        <w:ind w:left="1000" w:right="120"/>
        <w:spacing w:after="0" w:line="277" w:lineRule="auto"/>
        <w:rPr>
          <w:sz w:val="20"/>
          <w:szCs w:val="20"/>
          <w:color w:val="auto"/>
        </w:rPr>
      </w:pPr>
      <w:r>
        <w:rPr>
          <w:rFonts w:ascii="Arial" w:cs="Arial" w:eastAsia="Arial" w:hAnsi="Arial"/>
          <w:sz w:val="18"/>
          <w:szCs w:val="18"/>
          <w:color w:val="auto"/>
        </w:rPr>
        <w:t>The address of the principal business office of each of CMLS Holdings, M-LSH, Mr. Meister and Corvex is c/o Corvex Management LP, 667 Madison Avenue, New York, NY 10065.</w:t>
      </w:r>
    </w:p>
    <w:p>
      <w:pPr>
        <w:spacing w:after="0" w:line="72" w:lineRule="exact"/>
        <w:rPr>
          <w:sz w:val="20"/>
          <w:szCs w:val="20"/>
          <w:color w:val="auto"/>
        </w:rPr>
      </w:pPr>
    </w:p>
    <w:p>
      <w:pPr>
        <w:ind w:left="1000" w:right="160" w:hanging="998"/>
        <w:spacing w:after="0" w:line="263" w:lineRule="auto"/>
        <w:tabs>
          <w:tab w:leader="none" w:pos="9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color w:val="auto"/>
        </w:rPr>
        <w:t>The principal occupation of Mr. Casdin is serving as Chief Investment Officer of Casdin Capital, LLC, the principal business of which is serving as investment adviser to its clients. The principal business of Casdin Partners Master Fund, L.P. and Casdin FO1-MSV, LP is purchasing, holding and selling securities for investment purposes.</w:t>
      </w:r>
    </w:p>
    <w:p>
      <w:pPr>
        <w:spacing w:after="0" w:line="80" w:lineRule="exact"/>
        <w:rPr>
          <w:sz w:val="20"/>
          <w:szCs w:val="20"/>
          <w:color w:val="auto"/>
        </w:rPr>
      </w:pPr>
    </w:p>
    <w:p>
      <w:pPr>
        <w:ind w:left="1000" w:right="360"/>
        <w:spacing w:after="0" w:line="308" w:lineRule="auto"/>
        <w:rPr>
          <w:sz w:val="20"/>
          <w:szCs w:val="20"/>
          <w:color w:val="auto"/>
        </w:rPr>
      </w:pPr>
      <w:r>
        <w:rPr>
          <w:rFonts w:ascii="Arial" w:cs="Arial" w:eastAsia="Arial" w:hAnsi="Arial"/>
          <w:sz w:val="17"/>
          <w:szCs w:val="17"/>
          <w:color w:val="auto"/>
        </w:rPr>
        <w:t>The principal occupation of Mr. Meister is serving as Managing Partner of Corvex Management LP, the principal business of which is serving as an investment adviser of private investment funds, whose principal business is investing in securities.</w:t>
      </w:r>
    </w:p>
    <w:p>
      <w:pPr>
        <w:spacing w:after="0" w:line="34" w:lineRule="exact"/>
        <w:rPr>
          <w:sz w:val="20"/>
          <w:szCs w:val="20"/>
          <w:color w:val="auto"/>
        </w:rPr>
      </w:pPr>
    </w:p>
    <w:p>
      <w:pPr>
        <w:ind w:left="1000" w:right="360" w:hanging="998"/>
        <w:spacing w:after="0" w:line="277" w:lineRule="auto"/>
        <w:tabs>
          <w:tab w:leader="none" w:pos="9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8"/>
          <w:szCs w:val="18"/>
          <w:color w:val="auto"/>
        </w:rPr>
        <w:t>None of the Reporting Persons have been convicted in any criminal proceeding (excluding traffic violations or similar misdemeanors) during the last five years.</w:t>
      </w:r>
    </w:p>
    <w:p>
      <w:pPr>
        <w:spacing w:after="0" w:line="76" w:lineRule="exact"/>
        <w:rPr>
          <w:sz w:val="20"/>
          <w:szCs w:val="20"/>
          <w:color w:val="auto"/>
        </w:rPr>
      </w:pPr>
    </w:p>
    <w:p>
      <w:pPr>
        <w:ind w:left="980" w:hanging="984"/>
        <w:spacing w:after="0" w:line="275" w:lineRule="auto"/>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color w:val="auto"/>
        </w:rPr>
        <w:t>On April 14, 2023, the SEC announced an order settling charges against Corvex Management, L.P., according to the SEC order, for failing to disclose conflicts of interest regarding its personnel’s ownership of sponsors of three special purpose acquisition companies into which Corvex advised its client funds to invest. Without admitting or denying the findings, Corvex consented to the entry of the SEC’s order finding that the firm violated Sections 206(2) and 206(4) of the Investment Advisers Act of 1940 and Rule 206(4)-7 thereunder, and agreed to a cease and desist order, a censure, and a $1 million civil penalty to settle the charges.</w:t>
      </w:r>
    </w:p>
    <w:p>
      <w:pPr>
        <w:spacing w:after="0" w:line="72"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None of the other Reporting Persons has been a party to any civil proceeding of a judicial or administrative body of competent jurisdiction resulting in any judgment, decree or final order enjoining them from engaging in future violations of, or prohibiting or mandating activities subject to, federal or state securities laws or finding any violation with respect to such laws during the last five years.</w:t>
      </w:r>
    </w:p>
    <w:p>
      <w:pPr>
        <w:spacing w:after="0" w:line="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2(f)</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440" w:hanging="432"/>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CMLS Holdings is a Delaware limited liability company;</w:t>
      </w:r>
    </w:p>
    <w:p>
      <w:pPr>
        <w:spacing w:after="0" w:line="23" w:lineRule="exact"/>
        <w:rPr>
          <w:rFonts w:ascii="Arial" w:cs="Arial" w:eastAsia="Arial" w:hAnsi="Arial"/>
          <w:sz w:val="18"/>
          <w:szCs w:val="18"/>
          <w:color w:val="auto"/>
        </w:rPr>
      </w:pPr>
    </w:p>
    <w:p>
      <w:pPr>
        <w:ind w:left="1440" w:hanging="432"/>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C-LSH is a Delaware limited liability company;</w:t>
      </w:r>
    </w:p>
    <w:p>
      <w:pPr>
        <w:spacing w:after="0" w:line="9" w:lineRule="exact"/>
        <w:rPr>
          <w:rFonts w:ascii="Arial" w:cs="Arial" w:eastAsia="Arial" w:hAnsi="Arial"/>
          <w:sz w:val="18"/>
          <w:szCs w:val="18"/>
          <w:color w:val="auto"/>
        </w:rPr>
      </w:pPr>
    </w:p>
    <w:p>
      <w:pPr>
        <w:ind w:left="1440" w:hanging="432"/>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M-LSH is a Delaware limited liability company;</w:t>
      </w:r>
    </w:p>
    <w:p>
      <w:pPr>
        <w:spacing w:after="0" w:line="9" w:lineRule="exact"/>
        <w:rPr>
          <w:rFonts w:ascii="Arial" w:cs="Arial" w:eastAsia="Arial" w:hAnsi="Arial"/>
          <w:sz w:val="18"/>
          <w:szCs w:val="18"/>
          <w:color w:val="auto"/>
        </w:rPr>
      </w:pPr>
    </w:p>
    <w:p>
      <w:pPr>
        <w:ind w:left="1440" w:hanging="432"/>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Casdin is a citizen of the United States of America;</w:t>
      </w:r>
    </w:p>
    <w:p>
      <w:pPr>
        <w:spacing w:after="0" w:line="9" w:lineRule="exact"/>
        <w:rPr>
          <w:rFonts w:ascii="Arial" w:cs="Arial" w:eastAsia="Arial" w:hAnsi="Arial"/>
          <w:sz w:val="18"/>
          <w:szCs w:val="18"/>
          <w:color w:val="auto"/>
        </w:rPr>
      </w:pPr>
    </w:p>
    <w:p>
      <w:pPr>
        <w:ind w:left="1440" w:hanging="432"/>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Casdin Capital, LLC is a Delaware limited liability company;</w:t>
      </w:r>
    </w:p>
    <w:p>
      <w:pPr>
        <w:spacing w:after="0" w:line="9" w:lineRule="exact"/>
        <w:rPr>
          <w:rFonts w:ascii="Arial" w:cs="Arial" w:eastAsia="Arial" w:hAnsi="Arial"/>
          <w:sz w:val="18"/>
          <w:szCs w:val="18"/>
          <w:color w:val="auto"/>
        </w:rPr>
      </w:pPr>
    </w:p>
    <w:p>
      <w:pPr>
        <w:ind w:left="1440" w:hanging="432"/>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Casdin Partners GP, LLC is a Delaware limited liability company;</w:t>
      </w:r>
    </w:p>
    <w:p>
      <w:pPr>
        <w:spacing w:after="0" w:line="9" w:lineRule="exact"/>
        <w:rPr>
          <w:sz w:val="20"/>
          <w:szCs w:val="20"/>
          <w:color w:val="auto"/>
        </w:rPr>
      </w:pPr>
    </w:p>
    <w:p>
      <w:pPr>
        <w:ind w:left="1440" w:hanging="432"/>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Casdin Partners Master Fund, L.P. is a Delaware limited partnership;</w:t>
      </w:r>
    </w:p>
    <w:p>
      <w:pPr>
        <w:spacing w:after="0" w:line="9" w:lineRule="exact"/>
        <w:rPr>
          <w:sz w:val="20"/>
          <w:szCs w:val="20"/>
          <w:color w:val="auto"/>
        </w:rPr>
      </w:pPr>
    </w:p>
    <w:p>
      <w:pPr>
        <w:ind w:left="1440" w:hanging="432"/>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Casdin FO1-MSV, LP is a Delaware limited partnership;</w:t>
      </w:r>
    </w:p>
    <w:p>
      <w:pPr>
        <w:spacing w:after="0" w:line="9" w:lineRule="exact"/>
        <w:rPr>
          <w:rFonts w:ascii="Arial" w:cs="Arial" w:eastAsia="Arial" w:hAnsi="Arial"/>
          <w:sz w:val="18"/>
          <w:szCs w:val="18"/>
          <w:color w:val="auto"/>
        </w:rPr>
      </w:pPr>
    </w:p>
    <w:p>
      <w:pPr>
        <w:ind w:left="1440" w:hanging="432"/>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Meister is a citizen of the United States of America; and</w:t>
      </w:r>
    </w:p>
    <w:p>
      <w:pPr>
        <w:spacing w:after="0" w:line="9" w:lineRule="exact"/>
        <w:rPr>
          <w:rFonts w:ascii="Arial" w:cs="Arial" w:eastAsia="Arial" w:hAnsi="Arial"/>
          <w:sz w:val="18"/>
          <w:szCs w:val="18"/>
          <w:color w:val="auto"/>
        </w:rPr>
      </w:pPr>
    </w:p>
    <w:p>
      <w:pPr>
        <w:ind w:left="1440" w:hanging="432"/>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Corvex is a Delaware limited partnership.</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incorporated by reference.</w:t>
      </w:r>
    </w:p>
    <w:p>
      <w:pPr>
        <w:sectPr>
          <w:pgSz w:w="11900" w:h="16838" w:orient="portrait"/>
          <w:cols w:equalWidth="0" w:num="1">
            <w:col w:w="11000"/>
          </w:cols>
          <w:pgMar w:left="440" w:top="270" w:right="459" w:bottom="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t>Item 4 Source and Amount of Funds or Other Consideration</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On April 17, 2023, investment funds managed by Corvex Management LP acquired the 22,336,624 “Additional Direct Offering Shares” pursuant to the Subscription Agreement, dated January 26, 2023, with the Issuer for the additional aggregate purchase price of approximately $7,817,818, as contemplated in the Subscription Agreement.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Terms used but not defined were defined in previous amendments to this Schedule 13D.</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the Securities of the Issuer</w:t>
      </w:r>
    </w:p>
    <w:p>
      <w:pPr>
        <w:spacing w:after="0" w:line="12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The information set forth in the facing pages of this Schedule 13D with respect to the shared beneficial ownership of Common Stock by the Reporting Persons is incorporated by reference into this Item 5.</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Items 2, 3 and 4 is hereby incorporated by reference into this Item 5.</w:t>
      </w:r>
    </w:p>
    <w:p>
      <w:pPr>
        <w:spacing w:after="0" w:line="117" w:lineRule="exact"/>
        <w:rPr>
          <w:sz w:val="20"/>
          <w:szCs w:val="20"/>
          <w:color w:val="auto"/>
        </w:rPr>
      </w:pPr>
    </w:p>
    <w:p>
      <w:pPr>
        <w:ind w:left="4" w:right="400" w:hanging="4"/>
        <w:spacing w:after="0" w:line="277"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shares of Common Stock and the percentage of total outstanding shares of Common Stock beneficially owned by the Reporting Persons is set forth below.</w:t>
      </w:r>
    </w:p>
    <w:p>
      <w:pPr>
        <w:spacing w:after="0" w:line="170" w:lineRule="exact"/>
        <w:rPr>
          <w:sz w:val="20"/>
          <w:szCs w:val="20"/>
          <w:color w:val="auto"/>
        </w:rPr>
      </w:pPr>
    </w:p>
    <w:p>
      <w:pPr>
        <w:jc w:val="both"/>
        <w:ind w:left="4" w:right="380"/>
        <w:spacing w:after="0" w:line="263" w:lineRule="auto"/>
        <w:rPr>
          <w:sz w:val="20"/>
          <w:szCs w:val="20"/>
          <w:color w:val="auto"/>
        </w:rPr>
      </w:pPr>
      <w:r>
        <w:rPr>
          <w:rFonts w:ascii="Arial" w:cs="Arial" w:eastAsia="Arial" w:hAnsi="Arial"/>
          <w:sz w:val="18"/>
          <w:szCs w:val="18"/>
          <w:color w:val="auto"/>
        </w:rPr>
        <w:t>Based on 843,735,666 shares of Common Stock outstanding as of April 17, 2023, based upon information provided by the Issuer to the Reporting Persons. The filing of this Statement shall not be construed as an admission that a Reporting Person beneficially owns the shares held by any other Reporting Person.</w:t>
      </w:r>
    </w:p>
    <w:p>
      <w:pPr>
        <w:sectPr>
          <w:pgSz w:w="11900" w:h="16838" w:orient="portrait"/>
          <w:cols w:equalWidth="0" w:num="1">
            <w:col w:w="10924"/>
          </w:cols>
          <w:pgMar w:left="436" w:top="121" w:right="539" w:bottom="1440" w:gutter="0" w:footer="0" w:header="0"/>
        </w:sectPr>
      </w:pPr>
    </w:p>
    <w:bookmarkStart w:id="14" w:name="page15"/>
    <w:bookmarkEnd w:id="14"/>
    <w:p>
      <w:pPr>
        <w:ind w:left="4" w:right="120" w:hanging="4"/>
        <w:spacing w:after="0" w:line="259"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Eli Casdin has the sole power to vote or direct the vote of 159,490 shares of Common Stock (including 22,286 shares of Common Stock underlying vested options, 78,914 shares underlying options that will vest within 60 days and 45,454 shares of Common Stock that will settle within 60 days, subject to conditions) and shared power to vote or to direct the vote and shared power to dispose or to direct the disposition of 119,882,204 shares of Common Stock.</w:t>
      </w:r>
    </w:p>
    <w:p>
      <w:pPr>
        <w:spacing w:after="0" w:line="187"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Keith Meister has the sole power to vote or to direct the vote and sole power to dispose or to direct the disposition of 109,272,508 shares of Common Stock (including 78,914 shares underlying options that will vest within 60 days and 45,454 shares of Common Stock that will settle within 60 days, subject to conditions) and shared power to vote or direct the vote and shared power to dispose or to direct the disposition of 17,730,419 shares of Common Stock.</w:t>
      </w:r>
    </w:p>
    <w:p>
      <w:pPr>
        <w:spacing w:after="0" w:line="187"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The beneficial ownership of the shares of Common Stock reported herein does not include shares underlying unvested options to purchase shares of Common Stock or unvested restricted stock units held by Mr. Meister or Mr. Casdin as previously described in Item 6 of Schedule 13D or the Subsequent Corvex Shares.</w:t>
      </w:r>
    </w:p>
    <w:p>
      <w:pPr>
        <w:spacing w:after="0" w:line="184"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Each of CMLS, C-LSH and M-LSH shared power to vote or to direct the vote and shared power to dispose or to direct the disposition of the 17,730,419 shares of Common Stock reported in (a) above. The shared beneficial ownership of each of Messrs. Casdin, Meister, CMLS, C-LSH and M-LSH includes warrants to acquire 6,736,669 shares of Common Stock.</w:t>
      </w:r>
    </w:p>
    <w:p>
      <w:pPr>
        <w:spacing w:after="0" w:line="184"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Each of Casdin Capital, LLC and Casdin Partners GP, LLC has shared power to vote or direct the vote and shared power to dispose or to direct the disposition of 102,151,785 shares of Common Stock.</w:t>
      </w:r>
    </w:p>
    <w:p>
      <w:pPr>
        <w:spacing w:after="0" w:line="170"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Casdin Partners Master Fund, L.P has shared power to vote or direct the vote and shared power to dispose or to direct the disposition of 87,866,402 shares of Common Stock.</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Casdin Partners FO1-MSV, LP has shared power to vote or direct the vote and shared power to dispose or to direct the disposition of 14,285,743 shares of Common Stock.</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Corvex has sole power to vote or direct the vote and sole power to dispose or to direct the disposition of 86,811,516 shares of Common Stock.</w:t>
      </w:r>
    </w:p>
    <w:p>
      <w:pPr>
        <w:spacing w:after="0" w:line="129" w:lineRule="exact"/>
        <w:rPr>
          <w:sz w:val="20"/>
          <w:szCs w:val="20"/>
          <w:color w:val="auto"/>
        </w:rPr>
      </w:pPr>
    </w:p>
    <w:p>
      <w:pPr>
        <w:ind w:left="4" w:hanging="4"/>
        <w:spacing w:after="0" w:line="287"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with respect to the acquisition of the Additional Direct Offering Shares by funds managed by Corvex set forth in Item 4 of this Schedule 13D, the Reporting Persons have not effected any transactions in the Issuer’s Common Stock during the past 60 days and not previously reported in the Schedule 13D. In addition, the 78,914 outstanding unvested options and the 45,454 unvested restricted stock units held by each of Mr. Meister and</w:t>
      </w:r>
    </w:p>
    <w:p>
      <w:pPr>
        <w:spacing w:after="0" w:line="2" w:lineRule="exact"/>
        <w:rPr>
          <w:rFonts w:ascii="Arial" w:cs="Arial" w:eastAsia="Arial" w:hAnsi="Arial"/>
          <w:sz w:val="16"/>
          <w:szCs w:val="16"/>
          <w:color w:val="auto"/>
        </w:rPr>
      </w:pPr>
    </w:p>
    <w:p>
      <w:pPr>
        <w:ind w:left="4" w:right="160"/>
        <w:spacing w:after="0" w:line="260" w:lineRule="auto"/>
        <w:rPr>
          <w:rFonts w:ascii="Arial" w:cs="Arial" w:eastAsia="Arial" w:hAnsi="Arial"/>
          <w:sz w:val="16"/>
          <w:szCs w:val="16"/>
          <w:color w:val="auto"/>
        </w:rPr>
      </w:pPr>
      <w:r>
        <w:rPr>
          <w:rFonts w:ascii="Arial" w:cs="Arial" w:eastAsia="Arial" w:hAnsi="Arial"/>
          <w:sz w:val="18"/>
          <w:szCs w:val="18"/>
          <w:color w:val="auto"/>
        </w:rPr>
        <w:t>Mr. Casdin previously described in Item 6 in Amendment No. 3 to the Schedule 13D filed with the SEC on December 5, 2022 are expected to vest and either become exercisable, in the case of options, or settle, in the case of restricted stock units, within 60 days.</w:t>
      </w:r>
    </w:p>
    <w:p>
      <w:pPr>
        <w:spacing w:after="0" w:line="77" w:lineRule="exact"/>
        <w:rPr>
          <w:rFonts w:ascii="Arial" w:cs="Arial" w:eastAsia="Arial" w:hAnsi="Arial"/>
          <w:sz w:val="16"/>
          <w:szCs w:val="16"/>
          <w:color w:val="auto"/>
        </w:rPr>
      </w:pPr>
    </w:p>
    <w:p>
      <w:pPr>
        <w:jc w:val="both"/>
        <w:ind w:left="4" w:right="280" w:hanging="4"/>
        <w:spacing w:after="0" w:line="263"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than the Reporting Persons, the funds that Corvex manages and the investors in the funds managed by Corvex and Casdin Capital LLC, no person is known to have the right to receive or the power to direct the receipt of dividends from, or the proceeds from the sale of, the Common Stock beneficially owned by the Reporting Persons.</w:t>
      </w:r>
    </w:p>
    <w:p>
      <w:pPr>
        <w:sectPr>
          <w:pgSz w:w="11900" w:h="16838" w:orient="portrait"/>
          <w:cols w:equalWidth="0" w:num="1">
            <w:col w:w="11004"/>
          </w:cols>
          <w:pgMar w:left="436" w:top="274" w:right="4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gridSpan w:val="2"/>
          </w:tcPr>
          <w:p>
            <w:pPr>
              <w:spacing w:after="0"/>
              <w:rPr>
                <w:sz w:val="20"/>
                <w:szCs w:val="20"/>
                <w:color w:val="auto"/>
              </w:rPr>
            </w:pPr>
            <w:r>
              <w:rPr>
                <w:rFonts w:ascii="Arial" w:cs="Arial" w:eastAsia="Arial" w:hAnsi="Arial"/>
                <w:sz w:val="18"/>
                <w:szCs w:val="18"/>
                <w:color w:val="auto"/>
              </w:rPr>
              <w:t>CMLS HOLDINGS LLC</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r>
      <w:tr>
        <w:trPr>
          <w:trHeight w:val="209"/>
        </w:trPr>
        <w:tc>
          <w:tcPr>
            <w:tcW w:w="5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Keith A. Meister</w:t>
            </w:r>
          </w:p>
        </w:tc>
      </w:tr>
      <w:tr>
        <w:trPr>
          <w:trHeight w:val="230"/>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gridSpan w:val="2"/>
          </w:tcPr>
          <w:p>
            <w:pPr>
              <w:spacing w:after="0"/>
              <w:rPr>
                <w:sz w:val="20"/>
                <w:szCs w:val="20"/>
                <w:color w:val="auto"/>
              </w:rPr>
            </w:pPr>
            <w:r>
              <w:rPr>
                <w:rFonts w:ascii="Arial" w:cs="Arial" w:eastAsia="Arial" w:hAnsi="Arial"/>
                <w:sz w:val="18"/>
                <w:szCs w:val="18"/>
                <w:color w:val="auto"/>
              </w:rPr>
              <w:t>C-LSH LLC</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09"/>
        </w:trPr>
        <w:tc>
          <w:tcPr>
            <w:tcW w:w="5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Eli Casdin</w:t>
            </w:r>
          </w:p>
        </w:tc>
      </w:tr>
      <w:tr>
        <w:trPr>
          <w:trHeight w:val="230"/>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gridSpan w:val="2"/>
          </w:tcPr>
          <w:p>
            <w:pPr>
              <w:spacing w:after="0"/>
              <w:rPr>
                <w:sz w:val="20"/>
                <w:szCs w:val="20"/>
                <w:color w:val="auto"/>
              </w:rPr>
            </w:pPr>
            <w:r>
              <w:rPr>
                <w:rFonts w:ascii="Arial" w:cs="Arial" w:eastAsia="Arial" w:hAnsi="Arial"/>
                <w:sz w:val="18"/>
                <w:szCs w:val="18"/>
                <w:color w:val="auto"/>
              </w:rPr>
              <w:t>M-LSH LLC</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r>
      <w:tr>
        <w:trPr>
          <w:trHeight w:val="209"/>
        </w:trPr>
        <w:tc>
          <w:tcPr>
            <w:tcW w:w="5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Keith A. Meister</w:t>
            </w:r>
          </w:p>
        </w:tc>
      </w:tr>
      <w:tr>
        <w:trPr>
          <w:trHeight w:val="230"/>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Casdin</w:t>
            </w:r>
          </w:p>
        </w:tc>
      </w:tr>
      <w:tr>
        <w:trPr>
          <w:trHeight w:val="224"/>
        </w:trPr>
        <w:tc>
          <w:tcPr>
            <w:tcW w:w="55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Eli Casdin</w:t>
            </w:r>
          </w:p>
        </w:tc>
      </w:tr>
      <w:tr>
        <w:trPr>
          <w:trHeight w:val="431"/>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gridSpan w:val="2"/>
          </w:tcPr>
          <w:p>
            <w:pPr>
              <w:spacing w:after="0"/>
              <w:rPr>
                <w:sz w:val="20"/>
                <w:szCs w:val="20"/>
                <w:color w:val="auto"/>
              </w:rPr>
            </w:pPr>
            <w:r>
              <w:rPr>
                <w:rFonts w:ascii="Arial" w:cs="Arial" w:eastAsia="Arial" w:hAnsi="Arial"/>
                <w:sz w:val="18"/>
                <w:szCs w:val="18"/>
                <w:color w:val="auto"/>
              </w:rPr>
              <w:t>CASDIN CAPITAL, LLC</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09"/>
        </w:trPr>
        <w:tc>
          <w:tcPr>
            <w:tcW w:w="5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Eli Casdin</w:t>
            </w:r>
          </w:p>
        </w:tc>
      </w:tr>
      <w:tr>
        <w:trPr>
          <w:trHeight w:val="230"/>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gridSpan w:val="2"/>
          </w:tcPr>
          <w:p>
            <w:pPr>
              <w:spacing w:after="0"/>
              <w:rPr>
                <w:sz w:val="20"/>
                <w:szCs w:val="20"/>
                <w:color w:val="auto"/>
              </w:rPr>
            </w:pPr>
            <w:r>
              <w:rPr>
                <w:rFonts w:ascii="Arial" w:cs="Arial" w:eastAsia="Arial" w:hAnsi="Arial"/>
                <w:sz w:val="18"/>
                <w:szCs w:val="18"/>
                <w:color w:val="auto"/>
              </w:rPr>
              <w:t>CASDIN PARTNERS GP, LLC</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09"/>
        </w:trPr>
        <w:tc>
          <w:tcPr>
            <w:tcW w:w="5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Eli Casdin</w:t>
            </w:r>
          </w:p>
        </w:tc>
      </w:tr>
      <w:tr>
        <w:trPr>
          <w:trHeight w:val="230"/>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gridSpan w:val="2"/>
          </w:tcPr>
          <w:p>
            <w:pPr>
              <w:spacing w:after="0"/>
              <w:rPr>
                <w:sz w:val="20"/>
                <w:szCs w:val="20"/>
                <w:color w:val="auto"/>
              </w:rPr>
            </w:pPr>
            <w:r>
              <w:rPr>
                <w:rFonts w:ascii="Arial" w:cs="Arial" w:eastAsia="Arial" w:hAnsi="Arial"/>
                <w:sz w:val="18"/>
                <w:szCs w:val="18"/>
                <w:color w:val="auto"/>
              </w:rPr>
              <w:t>CASDIN PARTNERS MASTER FUND, L.P.</w:t>
            </w:r>
          </w:p>
        </w:tc>
      </w:tr>
      <w:tr>
        <w:trPr>
          <w:trHeight w:val="432"/>
        </w:trPr>
        <w:tc>
          <w:tcPr>
            <w:tcW w:w="55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Casdin Capital LLC, its Investment Adviser</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09"/>
        </w:trPr>
        <w:tc>
          <w:tcPr>
            <w:tcW w:w="5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Eli Casdin</w:t>
            </w:r>
          </w:p>
        </w:tc>
      </w:tr>
      <w:tr>
        <w:trPr>
          <w:trHeight w:val="230"/>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gridSpan w:val="2"/>
          </w:tcPr>
          <w:p>
            <w:pPr>
              <w:spacing w:after="0"/>
              <w:rPr>
                <w:sz w:val="20"/>
                <w:szCs w:val="20"/>
                <w:color w:val="auto"/>
              </w:rPr>
            </w:pPr>
            <w:r>
              <w:rPr>
                <w:rFonts w:ascii="Arial" w:cs="Arial" w:eastAsia="Arial" w:hAnsi="Arial"/>
                <w:sz w:val="18"/>
                <w:szCs w:val="18"/>
                <w:color w:val="auto"/>
              </w:rPr>
              <w:t>CASDIN PARTNERS FO1-MSV, LP</w:t>
            </w:r>
          </w:p>
        </w:tc>
      </w:tr>
      <w:tr>
        <w:trPr>
          <w:trHeight w:val="432"/>
        </w:trPr>
        <w:tc>
          <w:tcPr>
            <w:tcW w:w="55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Casdin Capital LLC, its Investment Adviser</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09"/>
        </w:trPr>
        <w:tc>
          <w:tcPr>
            <w:tcW w:w="5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Eli Casdin</w:t>
            </w:r>
          </w:p>
        </w:tc>
      </w:tr>
      <w:tr>
        <w:trPr>
          <w:trHeight w:val="230"/>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Member</w:t>
            </w:r>
          </w:p>
        </w:tc>
      </w:tr>
    </w:tbl>
    <w:p>
      <w:pPr>
        <w:sectPr>
          <w:pgSz w:w="11900" w:h="16838" w:orient="portrait"/>
          <w:cols w:equalWidth="0" w:num="1">
            <w:col w:w="11020"/>
          </w:cols>
          <w:pgMar w:left="440" w:top="270"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Keith A. Meister</w:t>
            </w:r>
          </w:p>
        </w:tc>
      </w:tr>
      <w:tr>
        <w:trPr>
          <w:trHeight w:val="224"/>
        </w:trPr>
        <w:tc>
          <w:tcPr>
            <w:tcW w:w="55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Keith A. Meister</w:t>
            </w:r>
          </w:p>
        </w:tc>
      </w:tr>
      <w:tr>
        <w:trPr>
          <w:trHeight w:val="431"/>
        </w:trPr>
        <w:tc>
          <w:tcPr>
            <w:tcW w:w="5520" w:type="dxa"/>
            <w:vAlign w:val="bottom"/>
          </w:tcPr>
          <w:p>
            <w:pPr>
              <w:spacing w:after="0"/>
              <w:rPr>
                <w:sz w:val="20"/>
                <w:szCs w:val="20"/>
                <w:color w:val="auto"/>
              </w:rPr>
            </w:pPr>
            <w:r>
              <w:rPr>
                <w:rFonts w:ascii="Arial" w:cs="Arial" w:eastAsia="Arial" w:hAnsi="Arial"/>
                <w:sz w:val="18"/>
                <w:szCs w:val="18"/>
                <w:color w:val="auto"/>
              </w:rPr>
              <w:t>Date: April 19, 2023</w:t>
            </w:r>
          </w:p>
        </w:tc>
        <w:tc>
          <w:tcPr>
            <w:tcW w:w="5500" w:type="dxa"/>
            <w:vAlign w:val="bottom"/>
            <w:gridSpan w:val="2"/>
          </w:tcPr>
          <w:p>
            <w:pPr>
              <w:spacing w:after="0"/>
              <w:rPr>
                <w:sz w:val="20"/>
                <w:szCs w:val="20"/>
                <w:color w:val="auto"/>
              </w:rPr>
            </w:pPr>
            <w:r>
              <w:rPr>
                <w:rFonts w:ascii="Arial" w:cs="Arial" w:eastAsia="Arial" w:hAnsi="Arial"/>
                <w:sz w:val="18"/>
                <w:szCs w:val="18"/>
                <w:color w:val="auto"/>
              </w:rPr>
              <w:t>CORVEX MANAGEMENT LP</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r>
      <w:tr>
        <w:trPr>
          <w:trHeight w:val="209"/>
        </w:trPr>
        <w:tc>
          <w:tcPr>
            <w:tcW w:w="5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Keith A. Meister</w:t>
            </w:r>
          </w:p>
        </w:tc>
      </w:tr>
      <w:tr>
        <w:trPr>
          <w:trHeight w:val="230"/>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lowerRoman"/>
      <w:start w:val="5"/>
    </w:lvl>
  </w:abstractNum>
  <w:abstractNum w:abstractNumId="4">
    <w:nsid w:val="7545E146"/>
    <w:multiLevelType w:val="hybridMultilevel"/>
    <w:lvl w:ilvl="0">
      <w:lvlJc w:val="left"/>
      <w:lvlText w:val="%1."/>
      <w:numFmt w:val="lowerRoman"/>
      <w:start w:val="8"/>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Roman"/>
      <w:start w:val="5"/>
    </w:lvl>
  </w:abstractNum>
  <w:abstractNum w:abstractNumId="7">
    <w:nsid w:val="12200854"/>
    <w:multiLevelType w:val="hybridMultilevel"/>
    <w:lvl w:ilvl="0">
      <w:lvlJc w:val="left"/>
      <w:lvlText w:val="%1."/>
      <w:numFmt w:val="lowerRoman"/>
      <w:start w:val="8"/>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2023-04-20T05:12:45Z</dcterms:created>
  <dcterms:modified xsi:type="dcterms:W3CDTF">2023-04-20T05:12:45Z</dcterms:modified>
</cp:coreProperties>
</file>