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4.xml.htm"/>
      <w:bookmarkStart w:id="1" w:name="ksdoc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pPr>
                  <w:hyperlink r:id="rId3">
                    <w:r>
                      <w:rPr>
                        <w:rStyle w:val="InternetLink"/>
                      </w:rPr>
                      <w:t>Saad Kareem</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GENEDX HOLDINGS CORP.</w:t>
                  </w:r>
                </w:p>
              </w:tc>
            </w:tr>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LUDLOW ST, NORTH TOWER, 6TH FL.</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STAMFORD</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CT</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06902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GeneDx Holdings Corp.</w:t>
              </w:r>
            </w:hyperlink>
            <w:r>
              <w:rPr/>
              <w:t xml:space="preserve"> [ </w:t>
            </w:r>
            <w:r>
              <w:rPr>
                <w:rFonts w:ascii="Times;serif" w:hAnsi="Times;serif"/>
                <w:color w:val="0000FF"/>
                <w:sz w:val="24"/>
                <w:highlight w:val="white"/>
              </w:rPr>
              <w:t>WGS</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23"/>
              <w:gridCol w:w="988"/>
              <w:gridCol w:w="423"/>
              <w:gridCol w:w="989"/>
            </w:tblGrid>
            <w:tr>
              <w:trPr/>
              <w:tc>
                <w:tcPr>
                  <w:tcW w:w="423"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Chief Transformation Officer</w:t>
                  </w:r>
                </w:p>
              </w:tc>
            </w:tr>
          </w:tbl>
          <w:p>
            <w:pPr>
              <w:pStyle w:val="TableContents"/>
              <w:spacing w:before="0" w:after="283"/>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04/19/2023</w:t>
            </w:r>
            <w:r>
              <w:rPr/>
              <w:t xml:space="preserve"> </w:t>
            </w:r>
          </w:p>
        </w:tc>
        <w:tc>
          <w:tcPr>
            <w:tcW w:w="2943"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22"/>
              <w:gridCol w:w="2401"/>
            </w:tblGrid>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shd w:fill="auto" w:val="clear"/>
                  <w:vAlign w:val="center"/>
                </w:tcPr>
                <w:p>
                  <w:pPr>
                    <w:pStyle w:val="TableContents"/>
                    <w:spacing w:before="0" w:after="283"/>
                    <w:rPr>
                      <w:sz w:val="4"/>
                      <w:szCs w:val="4"/>
                    </w:rPr>
                  </w:pPr>
                  <w:r>
                    <w:rPr>
                      <w:sz w:val="4"/>
                      <w:szCs w:val="4"/>
                    </w:rPr>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6654" w:type="dxa"/>
            <w:gridSpan w:val="3"/>
            <w:tcBorders>
              <w:left w:val="single" w:sz="2" w:space="0" w:color="808080"/>
              <w:bottom w:val="single" w:sz="6" w:space="0" w:color="808080"/>
              <w:right w:val="single" w:sz="6" w:space="0" w:color="808080"/>
            </w:tcBorders>
            <w:shd w:fill="auto" w:val="clear"/>
          </w:tcPr>
          <w:tbl>
            <w:tblPr>
              <w:tblW w:w="5000" w:type="pct"/>
              <w:jc w:val="left"/>
              <w:tblInd w:w="0" w:type="dxa"/>
              <w:tblCellMar>
                <w:top w:w="0" w:type="dxa"/>
                <w:left w:w="0" w:type="dxa"/>
                <w:bottom w:w="0" w:type="dxa"/>
                <w:right w:w="0" w:type="dxa"/>
              </w:tblCellMar>
            </w:tblPr>
            <w:tblGrid>
              <w:gridCol w:w="6534"/>
            </w:tblGrid>
            <w:tr>
              <w:trPr/>
              <w:tc>
                <w:tcPr>
                  <w:tcW w:w="6534" w:type="dxa"/>
                  <w:tcBorders/>
                  <w:shd w:fill="auto" w:val="clear"/>
                  <w:vAlign w:val="center"/>
                </w:tcPr>
                <w:p>
                  <w:pPr>
                    <w:pStyle w:val="TableContents"/>
                    <w:spacing w:before="0" w:after="283"/>
                    <w:rPr/>
                  </w:pPr>
                  <w:r>
                    <w:rPr/>
                    <w:t>Rule 10b5-1(c) Transaction Indication</w:t>
                  </w:r>
                </w:p>
              </w:tc>
            </w:tr>
          </w:tbl>
          <w:p>
            <w:pPr>
              <w:pStyle w:val="TableContents"/>
              <w:spacing w:before="0" w:after="0"/>
              <w:rPr/>
            </w:pPr>
            <w:r>
              <w:rPr/>
            </w:r>
          </w:p>
          <w:tbl>
            <w:tblPr>
              <w:tblW w:w="5000" w:type="pct"/>
              <w:jc w:val="left"/>
              <w:tblInd w:w="0" w:type="dxa"/>
              <w:tblCellMar>
                <w:top w:w="0" w:type="dxa"/>
                <w:left w:w="0" w:type="dxa"/>
                <w:bottom w:w="0" w:type="dxa"/>
                <w:right w:w="0" w:type="dxa"/>
              </w:tblCellMar>
            </w:tblPr>
            <w:tblGrid>
              <w:gridCol w:w="179"/>
              <w:gridCol w:w="6355"/>
            </w:tblGrid>
            <w:tr>
              <w:trPr/>
              <w:tc>
                <w:tcPr>
                  <w:tcW w:w="179" w:type="dxa"/>
                  <w:tcBorders/>
                  <w:shd w:fill="auto" w:val="clear"/>
                  <w:vAlign w:val="center"/>
                </w:tcPr>
                <w:tbl>
                  <w:tblPr>
                    <w:tblW w:w="266" w:type="dxa"/>
                    <w:jc w:val="left"/>
                    <w:tblInd w:w="0" w:type="dxa"/>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83"/>
                          <w:rPr>
                            <w:color w:val="0000FF"/>
                            <w:highlight w:val="white"/>
                          </w:rPr>
                        </w:pPr>
                        <w:r>
                          <w:rPr>
                            <w:color w:val="0000FF"/>
                            <w:highlight w:val="white"/>
                          </w:rPr>
                          <w:t>  </w:t>
                        </w:r>
                      </w:p>
                    </w:tc>
                  </w:tr>
                </w:tbl>
                <w:p>
                  <w:pPr>
                    <w:pStyle w:val="TableContents"/>
                    <w:spacing w:before="0" w:after="283"/>
                    <w:rPr>
                      <w:sz w:val="4"/>
                      <w:szCs w:val="4"/>
                    </w:rPr>
                  </w:pPr>
                  <w:r>
                    <w:rPr>
                      <w:sz w:val="4"/>
                      <w:szCs w:val="4"/>
                    </w:rPr>
                  </w:r>
                </w:p>
              </w:tc>
              <w:tc>
                <w:tcPr>
                  <w:tcW w:w="635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309"/>
        <w:gridCol w:w="903"/>
        <w:gridCol w:w="773"/>
        <w:gridCol w:w="600"/>
        <w:gridCol w:w="346"/>
        <w:gridCol w:w="925"/>
        <w:gridCol w:w="448"/>
        <w:gridCol w:w="838"/>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90"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1"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309"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04/19/2023</w:t>
            </w:r>
          </w:p>
        </w:tc>
        <w:tc>
          <w:tcPr>
            <w:tcW w:w="77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2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18,014</w:t>
            </w:r>
          </w:p>
        </w:tc>
        <w:tc>
          <w:tcPr>
            <w:tcW w:w="44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83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115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202,673</w:t>
            </w:r>
          </w:p>
        </w:tc>
        <w:tc>
          <w:tcPr>
            <w:tcW w:w="99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309"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04/20/2023</w:t>
            </w:r>
          </w:p>
        </w:tc>
        <w:tc>
          <w:tcPr>
            <w:tcW w:w="77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(2)</w:t>
            </w:r>
            <w:r>
              <w:rPr/>
              <w:t xml:space="preserve"> </w:t>
            </w:r>
          </w:p>
        </w:tc>
        <w:tc>
          <w:tcPr>
            <w:tcW w:w="3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2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5,338</w:t>
            </w:r>
          </w:p>
        </w:tc>
        <w:tc>
          <w:tcPr>
            <w:tcW w:w="44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3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0.3107</w:t>
            </w:r>
            <w:r>
              <w:rPr/>
              <w:t xml:space="preserve"> </w:t>
            </w:r>
          </w:p>
        </w:tc>
        <w:tc>
          <w:tcPr>
            <w:tcW w:w="115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197,335</w:t>
            </w:r>
          </w:p>
        </w:tc>
        <w:tc>
          <w:tcPr>
            <w:tcW w:w="99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2194" w:type="dxa"/>
        <w:jc w:val="left"/>
        <w:tblInd w:w="0" w:type="dxa"/>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98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Restricted Stock Unit</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04/19/2023</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18,014</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(3)</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(3)</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18,014</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126,102</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Each restricted stock unit ("RSU") represents a contingent right to receive 1 share of the Issuer's Class A Common Stock upon settlement for no consideration.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sales reported on this Form 4 represent shares sold by the Reporting Person to cover tax withholding obligations in connection with the vesting and settlement of RSUs. The sales were to satisfy tax withholding obligations to be funded by a "sell to cover" transaction.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3/16th of the total shares vested on October 25, 2021, 1/16th of the total shares vested on January 25, 2022, and thereafter will vest as to 1/16th of the total shares underlying the award in quarterly installments until fully vested on January 19, 2025, subject to the Reporting Person's continued service to the Issuer on each vesting date.</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Bridget Brown,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04/21/2023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73805" TargetMode="External"/><Relationship Id="rId4" Type="http://schemas.openxmlformats.org/officeDocument/2006/relationships/hyperlink" Target="http://www.sec.gov/cgi-bin/browse-edgar?action=getcompany&amp;CIK=000181833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723</Words>
  <CharactersWithSpaces>4512</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