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435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351020"/>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80" w:type="dxa"/>
            <w:vAlign w:val="bottom"/>
            <w:gridSpan w:val="3"/>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Ro Isaac</w:t>
              </w:r>
            </w:hyperlink>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80"/>
              <w:spacing w:after="0" w:line="179"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60" w:type="dxa"/>
            <w:vAlign w:val="bottom"/>
          </w:tcPr>
          <w:p>
            <w:pPr>
              <w:ind w:left="2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220" w:type="dxa"/>
            <w:vAlign w:val="bottom"/>
          </w:tcPr>
          <w:p>
            <w:pPr>
              <w:spacing w:after="0"/>
              <w:rPr>
                <w:sz w:val="18"/>
                <w:szCs w:val="18"/>
                <w:color w:val="auto"/>
              </w:rPr>
            </w:pPr>
          </w:p>
        </w:tc>
        <w:tc>
          <w:tcPr>
            <w:tcW w:w="2020" w:type="dxa"/>
            <w:vAlign w:val="bottom"/>
            <w:gridSpan w:val="3"/>
          </w:tcPr>
          <w:p>
            <w:pPr>
              <w:ind w:left="160"/>
              <w:spacing w:after="0"/>
              <w:rPr>
                <w:sz w:val="20"/>
                <w:szCs w:val="20"/>
                <w:color w:val="auto"/>
              </w:rPr>
            </w:pPr>
            <w:r>
              <w:rPr>
                <w:rFonts w:ascii="Arial" w:cs="Arial" w:eastAsia="Arial" w:hAnsi="Arial"/>
                <w:sz w:val="17"/>
                <w:szCs w:val="17"/>
                <w:color w:val="0000FF"/>
              </w:rPr>
              <w:t>12/09/2021</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816"/>
        <w:spacing w:after="0"/>
        <w:rPr>
          <w:sz w:val="20"/>
          <w:szCs w:val="20"/>
          <w:color w:val="auto"/>
        </w:rPr>
      </w:pPr>
      <w:r>
        <w:rPr>
          <w:rFonts w:ascii="Arial" w:cs="Arial" w:eastAsia="Arial" w:hAnsi="Arial"/>
          <w:sz w:val="17"/>
          <w:szCs w:val="17"/>
          <w:color w:val="0000FF"/>
        </w:rPr>
        <w:t>Chief Financial Officer</w:t>
      </w:r>
    </w:p>
    <w:p>
      <w:pPr>
        <w:spacing w:after="0" w:line="383" w:lineRule="exact"/>
        <w:rPr>
          <w:sz w:val="20"/>
          <w:szCs w:val="20"/>
          <w:color w:val="auto"/>
        </w:rPr>
      </w:pPr>
    </w:p>
    <w:p>
      <w:pPr>
        <w:sectPr>
          <w:pgSz w:w="11900" w:h="16838" w:orient="portrait"/>
          <w:cols w:equalWidth="0" w:num="2">
            <w:col w:w="7680" w:space="64"/>
            <w:col w:w="3336"/>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jc w:val="center"/>
              <w:ind w:right="41"/>
              <w:spacing w:after="0" w:line="137" w:lineRule="exact"/>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CT</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44"/>
              <w:spacing w:after="0"/>
              <w:rPr>
                <w:sz w:val="20"/>
                <w:szCs w:val="20"/>
                <w:color w:val="auto"/>
              </w:rPr>
            </w:pPr>
            <w:r>
              <w:rPr>
                <w:rFonts w:ascii="Arial" w:cs="Arial" w:eastAsia="Arial" w:hAnsi="Arial"/>
                <w:sz w:val="11"/>
                <w:szCs w:val="11"/>
                <w:color w:val="008000"/>
              </w:rPr>
              <w:t>(3)</w:t>
            </w:r>
          </w:p>
        </w:tc>
        <w:tc>
          <w:tcPr>
            <w:tcW w:w="660" w:type="dxa"/>
            <w:vAlign w:val="bottom"/>
          </w:tcPr>
          <w:p>
            <w:pPr>
              <w:jc w:val="center"/>
              <w:ind w:right="1"/>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197,607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ind w:left="260"/>
              <w:spacing w:after="0" w:line="140" w:lineRule="exact"/>
              <w:rPr>
                <w:sz w:val="20"/>
                <w:szCs w:val="20"/>
                <w:color w:val="auto"/>
              </w:rPr>
            </w:pPr>
            <w:r>
              <w:rPr>
                <w:rFonts w:ascii="Arial" w:cs="Arial" w:eastAsia="Arial" w:hAnsi="Arial"/>
                <w:sz w:val="13"/>
                <w:szCs w:val="13"/>
                <w:color w:val="0000FF"/>
              </w:rPr>
              <w:t>12/09/2021</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spacing w:after="0" w:line="140" w:lineRule="exact"/>
              <w:rPr>
                <w:sz w:val="20"/>
                <w:szCs w:val="20"/>
                <w:color w:val="auto"/>
              </w:rPr>
            </w:pPr>
            <w:r>
              <w:rPr>
                <w:rFonts w:ascii="Arial" w:cs="Arial" w:eastAsia="Arial" w:hAnsi="Arial"/>
                <w:sz w:val="13"/>
                <w:szCs w:val="13"/>
                <w:color w:val="0000FF"/>
              </w:rPr>
              <w:t>A</w:t>
            </w:r>
          </w:p>
        </w:tc>
        <w:tc>
          <w:tcPr>
            <w:tcW w:w="660" w:type="dxa"/>
            <w:vAlign w:val="bottom"/>
            <w:vMerge w:val="restart"/>
          </w:tcPr>
          <w:p>
            <w:pPr>
              <w:ind w:left="120"/>
              <w:spacing w:after="0" w:line="140" w:lineRule="exact"/>
              <w:rPr>
                <w:sz w:val="20"/>
                <w:szCs w:val="20"/>
                <w:color w:val="auto"/>
              </w:rPr>
            </w:pPr>
            <w:r>
              <w:rPr>
                <w:rFonts w:ascii="Arial" w:cs="Arial" w:eastAsia="Arial" w:hAnsi="Arial"/>
                <w:sz w:val="13"/>
                <w:szCs w:val="13"/>
                <w:color w:val="0000FF"/>
              </w:rPr>
              <w:t>197,607</w:t>
            </w: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vMerge w:val="restart"/>
          </w:tcPr>
          <w:p>
            <w:pPr>
              <w:ind w:left="220"/>
              <w:spacing w:after="0" w:line="140" w:lineRule="exact"/>
              <w:rPr>
                <w:sz w:val="20"/>
                <w:szCs w:val="20"/>
                <w:color w:val="auto"/>
              </w:rPr>
            </w:pPr>
            <w:r>
              <w:rPr>
                <w:rFonts w:ascii="Arial" w:cs="Arial" w:eastAsia="Arial" w:hAnsi="Arial"/>
                <w:sz w:val="13"/>
                <w:szCs w:val="13"/>
                <w:color w:val="0000FF"/>
              </w:rPr>
              <w:t>197,607</w:t>
            </w: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ind w:right="21"/>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160"/>
        <w:spacing w:after="0" w:line="253"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restricted stock unit ("RSU") represents a contingent right to receive 1 share of the Issuer's Class A Common Stock upon settlement for no consideration, granted pursuant to the terms of that certain Agreement and Plan of Merger, dated as of February 9, 2021 (as amended, the "Merger Agreement"), by and among CM Life Sciences, Inc., S-IV Sub, Inc. and Mount Sinai Genomics, Inc. d/b/a Sema4. In addition, in the event that any similar RSUs are forfeited (for example, as a result of the recipient no longer being an employee of the Issuer), the Merger Agreement provides for the shares underlying such forfeited RSUs to become available for issuance to other RSU recipients. Therefore, each RSU also represents to right to receive additional shares of the Issuer's Class A Common Stock from this "forfeiture pool". The number of shares of the Issuer's Class A Common Stock that may be issued to the Reporting Person pursuant to the "forfeiture pool" is not determinable at this time.</w:t>
      </w:r>
    </w:p>
    <w:p>
      <w:pPr>
        <w:spacing w:after="0" w:line="23"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[cont'd from footnote 1] Any shares of the Issuer's Class A Common Stock ultimately issued to the Reporting Person in respect of each RSU will be reported in a subsequent filing.</w:t>
      </w:r>
    </w:p>
    <w:p>
      <w:pPr>
        <w:spacing w:after="0" w:line="41" w:lineRule="exact"/>
        <w:rPr>
          <w:rFonts w:ascii="Arial" w:cs="Arial" w:eastAsia="Arial" w:hAnsi="Arial"/>
          <w:sz w:val="13"/>
          <w:szCs w:val="13"/>
          <w:color w:val="008000"/>
        </w:rPr>
      </w:pPr>
    </w:p>
    <w:p>
      <w:pPr>
        <w:ind w:left="40" w:right="160"/>
        <w:spacing w:after="0" w:line="306"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vesting of the RSUs is conditioned on the satisfaction of both a service requirement and a market-based requirement. The service requirement is deemed satisfied as of the grant date with respect to 24,701 of the RSUs, and will be satisfied with respect to the remainder of the RSUs over 14 quarterly periods, subject to the Reporting Person's continued service to the Issuer on each service-based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Daniel Clark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12/13/2021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63"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2021-12-13T18:12:01Z</dcterms:created>
  <dcterms:modified xsi:type="dcterms:W3CDTF">2021-12-13T18:12:01Z</dcterms:modified>
</cp:coreProperties>
</file>