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091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091680"/>
                    </a:xfrm>
                    <a:prstGeom prst="rect">
                      <a:avLst/>
                    </a:prstGeom>
                    <a:noFill/>
                  </pic:spPr>
                </pic:pic>
              </a:graphicData>
            </a:graphic>
          </wp:anchor>
        </w:drawing>
      </w:r>
    </w:p>
    <w:p>
      <w:pPr>
        <w:spacing w:after="0" w:line="1192" w:lineRule="exact"/>
        <w:rPr>
          <w:sz w:val="24"/>
          <w:szCs w:val="24"/>
          <w:color w:val="auto"/>
        </w:rPr>
      </w:pPr>
    </w:p>
    <w:p>
      <w:pPr>
        <w:sectPr>
          <w:pgSz w:w="11900" w:h="16903"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04/09/2025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0" w:lineRule="exact"/>
        <w:rPr>
          <w:sz w:val="20"/>
          <w:szCs w:val="20"/>
          <w:color w:val="auto"/>
        </w:rPr>
      </w:pPr>
    </w:p>
    <w:p>
      <w:pPr>
        <w:sectPr>
          <w:pgSz w:w="11900" w:h="16903" w:orient="portrait"/>
          <w:cols w:equalWidth="0" w:num="2">
            <w:col w:w="7680" w:space="6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3"/>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1,246</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32.67</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17,242</w:t>
            </w:r>
          </w:p>
        </w:tc>
        <w:tc>
          <w:tcPr>
            <w:tcW w:w="260" w:type="dxa"/>
            <w:vAlign w:val="bottom"/>
          </w:tcPr>
          <w:p>
            <w:pPr>
              <w:spacing w:after="0"/>
              <w:rPr>
                <w:sz w:val="22"/>
                <w:szCs w:val="22"/>
                <w:color w:val="auto"/>
              </w:rPr>
            </w:pPr>
          </w:p>
        </w:tc>
        <w:tc>
          <w:tcPr>
            <w:tcW w:w="68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83.6689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16,605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1,198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84.6065</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15,407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1,171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85.7312</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14,236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249</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86.48</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13,987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6,810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93.2617</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7,177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3,122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94.598</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4,055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1,463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95.5287</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2,592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96.4576</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97.26</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20" w:type="dxa"/>
            <w:vAlign w:val="bottom"/>
            <w:gridSpan w:val="9"/>
          </w:tcPr>
          <w:p>
            <w:pPr>
              <w:jc w:val="center"/>
              <w:ind w:left="50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3"/>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1,246</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32.67</w:t>
            </w:r>
          </w:p>
        </w:tc>
        <w:tc>
          <w:tcPr>
            <w:tcW w:w="220" w:type="dxa"/>
            <w:vAlign w:val="bottom"/>
          </w:tcPr>
          <w:p>
            <w:pPr>
              <w:spacing w:after="0"/>
              <w:rPr>
                <w:sz w:val="11"/>
                <w:szCs w:val="11"/>
                <w:color w:val="auto"/>
              </w:rPr>
            </w:pPr>
          </w:p>
        </w:tc>
        <w:tc>
          <w:tcPr>
            <w:tcW w:w="98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04/09/2025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75"/>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1,246</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08/31/2032</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7,473</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21, 2024.</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$83.07 to $84.00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$84.13 to $84.98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$85.25 to $86.14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$93.00 to $93.99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$94.00 to $94.98 per share, inclusive. The Reporting Person undertakes to</w:t>
      </w:r>
    </w:p>
    <w:p>
      <w:pPr>
        <w:sectPr>
          <w:pgSz w:w="11900" w:h="16903" w:orient="portrait"/>
          <w:cols w:equalWidth="0" w:num="1">
            <w:col w:w="11080"/>
          </w:cols>
          <w:pgMar w:left="460" w:top="216" w:right="359" w:bottom="0" w:gutter="0" w:footer="0" w:header="0"/>
          <w:type w:val="continuous"/>
        </w:sectPr>
      </w:pPr>
    </w:p>
    <w:bookmarkStart w:id="1" w:name="page2"/>
    <w:bookmarkEnd w:id="1"/>
    <w:p>
      <w:pPr>
        <w:ind w:right="20"/>
        <w:spacing w:after="0" w:line="258" w:lineRule="auto"/>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jc w:val="both"/>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$95.04 to $96.03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$96.07 to $96.96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ind w:left="656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-27305</wp:posOffset>
            </wp:positionV>
            <wp:extent cx="135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0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2025-04-10T15:23:34Z</dcterms:created>
  <dcterms:modified xsi:type="dcterms:W3CDTF">2025-04-10T15:23:34Z</dcterms:modified>
</cp:coreProperties>
</file>