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GENEDX HOLDINGS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81663L200</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02/05/2025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81663L200</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Summit Partners Public Asset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1,135,901.00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1,426,968.00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1,426,968.00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81663L200</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Summit Partners,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1,135,901.00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1,135,901.00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1,135,901.00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4.13 %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81663L200</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0"/>
        <w:gridCol w:w="8165"/>
      </w:tblGrid>
      <w:tr>
        <w:trPr/>
        <w:tc>
          <w:tcPr>
            <w:tcW w:w="2040" w:type="dxa"/>
            <w:tcBorders/>
            <w:vAlign w:val="center"/>
          </w:tcPr>
          <w:p>
            <w:pPr>
              <w:pStyle w:val="TableContents"/>
              <w:bidi w:val="0"/>
              <w:spacing w:before="0" w:after="283"/>
              <w:jc w:val="left"/>
              <w:rPr/>
            </w:pPr>
            <w:r>
              <w:rPr/>
              <w:t>1</w:t>
            </w:r>
          </w:p>
        </w:tc>
        <w:tc>
          <w:tcPr>
            <w:tcW w:w="816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Summit Partners Concentrated Growth L/S Master Fund, L.P.</w:t>
            </w:r>
          </w:p>
        </w:tc>
      </w:tr>
      <w:tr>
        <w:trPr/>
        <w:tc>
          <w:tcPr>
            <w:tcW w:w="2040" w:type="dxa"/>
            <w:tcBorders/>
            <w:vAlign w:val="center"/>
          </w:tcPr>
          <w:p>
            <w:pPr>
              <w:pStyle w:val="TableContents"/>
              <w:bidi w:val="0"/>
              <w:spacing w:before="0" w:after="283"/>
              <w:jc w:val="left"/>
              <w:rPr/>
            </w:pPr>
            <w:r>
              <w:rPr/>
              <w:t>2</w:t>
            </w:r>
          </w:p>
        </w:tc>
        <w:tc>
          <w:tcPr>
            <w:tcW w:w="816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0" w:type="dxa"/>
            <w:tcBorders/>
            <w:vAlign w:val="center"/>
          </w:tcPr>
          <w:p>
            <w:pPr>
              <w:pStyle w:val="TableContents"/>
              <w:bidi w:val="0"/>
              <w:spacing w:before="0" w:after="283"/>
              <w:jc w:val="left"/>
              <w:rPr/>
            </w:pPr>
            <w:r>
              <w:rPr/>
              <w:t>3</w:t>
            </w:r>
          </w:p>
        </w:tc>
        <w:tc>
          <w:tcPr>
            <w:tcW w:w="8165" w:type="dxa"/>
            <w:tcBorders/>
            <w:vAlign w:val="center"/>
          </w:tcPr>
          <w:p>
            <w:pPr>
              <w:pStyle w:val="TableContents"/>
              <w:bidi w:val="0"/>
              <w:spacing w:before="0" w:after="283"/>
              <w:jc w:val="left"/>
              <w:rPr/>
            </w:pPr>
            <w:r>
              <w:rPr/>
              <w:t>Sec Use Only</w:t>
            </w:r>
          </w:p>
        </w:tc>
      </w:tr>
      <w:tr>
        <w:trPr/>
        <w:tc>
          <w:tcPr>
            <w:tcW w:w="2040" w:type="dxa"/>
            <w:tcBorders/>
            <w:vAlign w:val="center"/>
          </w:tcPr>
          <w:p>
            <w:pPr>
              <w:pStyle w:val="TableContents"/>
              <w:bidi w:val="0"/>
              <w:spacing w:before="0" w:after="283"/>
              <w:jc w:val="left"/>
              <w:rPr/>
            </w:pPr>
            <w:r>
              <w:rPr/>
              <w:t>4</w:t>
            </w:r>
          </w:p>
        </w:tc>
        <w:tc>
          <w:tcPr>
            <w:tcW w:w="816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350,060.00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350,060.00</w:t>
                  </w:r>
                </w:p>
              </w:tc>
            </w:tr>
          </w:tbl>
          <w:p>
            <w:pPr>
              <w:pStyle w:val="TableContents"/>
              <w:bidi w:val="0"/>
              <w:spacing w:before="0" w:after="283"/>
              <w:jc w:val="left"/>
              <w:rPr/>
            </w:pPr>
            <w:r>
              <w:rPr/>
            </w:r>
          </w:p>
        </w:tc>
        <w:tc>
          <w:tcPr>
            <w:tcW w:w="8165" w:type="dxa"/>
            <w:tcBorders/>
            <w:vAlign w:val="center"/>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pPr>
            <w:r>
              <w:rPr/>
              <w:t>9</w:t>
            </w:r>
          </w:p>
        </w:tc>
        <w:tc>
          <w:tcPr>
            <w:tcW w:w="816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350,060.00</w:t>
            </w:r>
          </w:p>
        </w:tc>
      </w:tr>
      <w:tr>
        <w:trPr/>
        <w:tc>
          <w:tcPr>
            <w:tcW w:w="2040" w:type="dxa"/>
            <w:tcBorders/>
            <w:vAlign w:val="center"/>
          </w:tcPr>
          <w:p>
            <w:pPr>
              <w:pStyle w:val="TableContents"/>
              <w:bidi w:val="0"/>
              <w:spacing w:before="0" w:after="283"/>
              <w:jc w:val="left"/>
              <w:rPr/>
            </w:pPr>
            <w:r>
              <w:rPr/>
              <w:t>10</w:t>
            </w:r>
          </w:p>
        </w:tc>
        <w:tc>
          <w:tcPr>
            <w:tcW w:w="816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0" w:type="dxa"/>
            <w:tcBorders/>
            <w:vAlign w:val="center"/>
          </w:tcPr>
          <w:p>
            <w:pPr>
              <w:pStyle w:val="TableContents"/>
              <w:bidi w:val="0"/>
              <w:spacing w:before="0" w:after="283"/>
              <w:jc w:val="left"/>
              <w:rPr/>
            </w:pPr>
            <w:r>
              <w:rPr/>
              <w:t>11</w:t>
            </w:r>
          </w:p>
        </w:tc>
        <w:tc>
          <w:tcPr>
            <w:tcW w:w="816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1.27 % </w:t>
            </w:r>
          </w:p>
        </w:tc>
      </w:tr>
      <w:tr>
        <w:trPr/>
        <w:tc>
          <w:tcPr>
            <w:tcW w:w="2040" w:type="dxa"/>
            <w:tcBorders/>
            <w:vAlign w:val="center"/>
          </w:tcPr>
          <w:p>
            <w:pPr>
              <w:pStyle w:val="TableContents"/>
              <w:bidi w:val="0"/>
              <w:spacing w:before="0" w:after="283"/>
              <w:jc w:val="left"/>
              <w:rPr/>
            </w:pPr>
            <w:r>
              <w:rPr/>
              <w:t>12</w:t>
            </w:r>
          </w:p>
        </w:tc>
        <w:tc>
          <w:tcPr>
            <w:tcW w:w="816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81663L200</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Summit Partners Technology L/S Master Fund, L.P.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186,046.00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186,046.00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186,046.00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81663L200</w:t>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38"/>
        <w:gridCol w:w="8167"/>
      </w:tblGrid>
      <w:tr>
        <w:trPr/>
        <w:tc>
          <w:tcPr>
            <w:tcW w:w="2038" w:type="dxa"/>
            <w:tcBorders/>
            <w:vAlign w:val="center"/>
          </w:tcPr>
          <w:p>
            <w:pPr>
              <w:pStyle w:val="TableContents"/>
              <w:bidi w:val="0"/>
              <w:spacing w:before="0" w:after="283"/>
              <w:jc w:val="left"/>
              <w:rPr/>
            </w:pPr>
            <w:r>
              <w:rPr/>
              <w:t>1</w:t>
            </w:r>
          </w:p>
        </w:tc>
        <w:tc>
          <w:tcPr>
            <w:tcW w:w="816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Summit Partners Sustainable Opportunities L/S Fund Limited</w:t>
            </w:r>
          </w:p>
        </w:tc>
      </w:tr>
      <w:tr>
        <w:trPr/>
        <w:tc>
          <w:tcPr>
            <w:tcW w:w="2038" w:type="dxa"/>
            <w:tcBorders/>
            <w:vAlign w:val="center"/>
          </w:tcPr>
          <w:p>
            <w:pPr>
              <w:pStyle w:val="TableContents"/>
              <w:bidi w:val="0"/>
              <w:spacing w:before="0" w:after="283"/>
              <w:jc w:val="left"/>
              <w:rPr/>
            </w:pPr>
            <w:r>
              <w:rPr/>
              <w:t>2</w:t>
            </w:r>
          </w:p>
        </w:tc>
        <w:tc>
          <w:tcPr>
            <w:tcW w:w="816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38" w:type="dxa"/>
            <w:tcBorders/>
            <w:vAlign w:val="center"/>
          </w:tcPr>
          <w:p>
            <w:pPr>
              <w:pStyle w:val="TableContents"/>
              <w:bidi w:val="0"/>
              <w:spacing w:before="0" w:after="283"/>
              <w:jc w:val="left"/>
              <w:rPr/>
            </w:pPr>
            <w:r>
              <w:rPr/>
              <w:t>3</w:t>
            </w:r>
          </w:p>
        </w:tc>
        <w:tc>
          <w:tcPr>
            <w:tcW w:w="8167" w:type="dxa"/>
            <w:tcBorders/>
            <w:vAlign w:val="center"/>
          </w:tcPr>
          <w:p>
            <w:pPr>
              <w:pStyle w:val="TableContents"/>
              <w:bidi w:val="0"/>
              <w:spacing w:before="0" w:after="283"/>
              <w:jc w:val="left"/>
              <w:rPr/>
            </w:pPr>
            <w:r>
              <w:rPr/>
              <w:t>Sec Use Only</w:t>
            </w:r>
          </w:p>
        </w:tc>
      </w:tr>
      <w:tr>
        <w:trPr/>
        <w:tc>
          <w:tcPr>
            <w:tcW w:w="2038" w:type="dxa"/>
            <w:tcBorders/>
            <w:vAlign w:val="center"/>
          </w:tcPr>
          <w:p>
            <w:pPr>
              <w:pStyle w:val="TableContents"/>
              <w:bidi w:val="0"/>
              <w:spacing w:before="0" w:after="283"/>
              <w:jc w:val="left"/>
              <w:rPr/>
            </w:pPr>
            <w:r>
              <w:rPr/>
              <w:t>4</w:t>
            </w:r>
          </w:p>
        </w:tc>
        <w:tc>
          <w:tcPr>
            <w:tcW w:w="816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3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269,101.00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269,101.00</w:t>
                  </w:r>
                </w:p>
              </w:tc>
            </w:tr>
          </w:tbl>
          <w:p>
            <w:pPr>
              <w:pStyle w:val="TableContents"/>
              <w:bidi w:val="0"/>
              <w:spacing w:before="0" w:after="283"/>
              <w:jc w:val="left"/>
              <w:rPr/>
            </w:pPr>
            <w:r>
              <w:rPr/>
            </w:r>
          </w:p>
        </w:tc>
        <w:tc>
          <w:tcPr>
            <w:tcW w:w="8167" w:type="dxa"/>
            <w:tcBorders/>
            <w:vAlign w:val="center"/>
          </w:tcPr>
          <w:p>
            <w:pPr>
              <w:pStyle w:val="TableContents"/>
              <w:bidi w:val="0"/>
              <w:spacing w:before="0" w:after="283"/>
              <w:jc w:val="left"/>
              <w:rPr>
                <w:sz w:val="4"/>
                <w:szCs w:val="4"/>
              </w:rPr>
            </w:pPr>
            <w:r>
              <w:rPr>
                <w:sz w:val="4"/>
                <w:szCs w:val="4"/>
              </w:rPr>
            </w:r>
          </w:p>
        </w:tc>
      </w:tr>
      <w:tr>
        <w:trPr/>
        <w:tc>
          <w:tcPr>
            <w:tcW w:w="2038" w:type="dxa"/>
            <w:tcBorders/>
            <w:vAlign w:val="center"/>
          </w:tcPr>
          <w:p>
            <w:pPr>
              <w:pStyle w:val="TableContents"/>
              <w:bidi w:val="0"/>
              <w:spacing w:before="0" w:after="283"/>
              <w:jc w:val="left"/>
              <w:rPr/>
            </w:pPr>
            <w:r>
              <w:rPr/>
              <w:t>9</w:t>
            </w:r>
          </w:p>
        </w:tc>
        <w:tc>
          <w:tcPr>
            <w:tcW w:w="816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269,101.00</w:t>
            </w:r>
          </w:p>
        </w:tc>
      </w:tr>
      <w:tr>
        <w:trPr/>
        <w:tc>
          <w:tcPr>
            <w:tcW w:w="2038" w:type="dxa"/>
            <w:tcBorders/>
            <w:vAlign w:val="center"/>
          </w:tcPr>
          <w:p>
            <w:pPr>
              <w:pStyle w:val="TableContents"/>
              <w:bidi w:val="0"/>
              <w:spacing w:before="0" w:after="283"/>
              <w:jc w:val="left"/>
              <w:rPr/>
            </w:pPr>
            <w:r>
              <w:rPr/>
              <w:t>10</w:t>
            </w:r>
          </w:p>
        </w:tc>
        <w:tc>
          <w:tcPr>
            <w:tcW w:w="816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38" w:type="dxa"/>
            <w:tcBorders/>
            <w:vAlign w:val="center"/>
          </w:tcPr>
          <w:p>
            <w:pPr>
              <w:pStyle w:val="TableContents"/>
              <w:bidi w:val="0"/>
              <w:spacing w:before="0" w:after="283"/>
              <w:jc w:val="left"/>
              <w:rPr/>
            </w:pPr>
            <w:r>
              <w:rPr/>
              <w:t>11</w:t>
            </w:r>
          </w:p>
        </w:tc>
        <w:tc>
          <w:tcPr>
            <w:tcW w:w="816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.98 % </w:t>
            </w:r>
          </w:p>
        </w:tc>
      </w:tr>
      <w:tr>
        <w:trPr/>
        <w:tc>
          <w:tcPr>
            <w:tcW w:w="2038" w:type="dxa"/>
            <w:tcBorders/>
            <w:vAlign w:val="center"/>
          </w:tcPr>
          <w:p>
            <w:pPr>
              <w:pStyle w:val="TableContents"/>
              <w:bidi w:val="0"/>
              <w:spacing w:before="0" w:after="283"/>
              <w:jc w:val="left"/>
              <w:rPr/>
            </w:pPr>
            <w:r>
              <w:rPr/>
              <w:t>12</w:t>
            </w:r>
          </w:p>
        </w:tc>
        <w:tc>
          <w:tcPr>
            <w:tcW w:w="816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81663L200</w:t>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Summit Partners Sustainable Opportunities L/S QP Fund,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321,675.00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321,675.00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321,675.00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1.17 %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81663L200</w:t>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Summit Partners Sustainable Opportunities L/S Fund,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9,019.00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9,019.00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9,019.00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81663L200</w:t>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Summit Partners Alydar GP,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866,800.00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866,800.00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866,800.00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3.16 %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81663L200</w:t>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Summit Partners Alydar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866,800.00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866,800.00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866,800.00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3.16 %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81663L200</w:t>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Philip Furse</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1,135,901.00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1,426,968.00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1,426,968.00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81663L200</w:t>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Timothy Albright</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1,135,901.00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1,426,968.00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1,426,968.00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81663L200</w:t>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Robert MacAulay</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1,135,901.00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1,426,968.00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1,426,968.00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77" w:type="dxa"/>
        <w:jc w:val="left"/>
        <w:tblInd w:w="0" w:type="dxa"/>
        <w:tblLayout w:type="fixed"/>
        <w:tblCellMar>
          <w:top w:w="28" w:type="dxa"/>
          <w:left w:w="28" w:type="dxa"/>
          <w:bottom w:w="28" w:type="dxa"/>
          <w:right w:w="28" w:type="dxa"/>
        </w:tblCellMar>
      </w:tblPr>
      <w:tblGrid>
        <w:gridCol w:w="1294"/>
        <w:gridCol w:w="3883"/>
      </w:tblGrid>
      <w:tr>
        <w:trPr/>
        <w:tc>
          <w:tcPr>
            <w:tcW w:w="1294" w:type="dxa"/>
            <w:tcBorders/>
            <w:vAlign w:val="center"/>
          </w:tcPr>
          <w:p>
            <w:pPr>
              <w:pStyle w:val="TableContents"/>
              <w:bidi w:val="0"/>
              <w:spacing w:before="0" w:after="283"/>
              <w:jc w:val="left"/>
              <w:rPr>
                <w:b/>
              </w:rPr>
            </w:pPr>
            <w:r>
              <w:rPr>
                <w:b/>
              </w:rPr>
              <w:t>CUSIP No.</w:t>
            </w:r>
          </w:p>
        </w:tc>
        <w:tc>
          <w:tcPr>
            <w:tcW w:w="3883" w:type="dxa"/>
            <w:tcBorders/>
            <w:vAlign w:val="center"/>
          </w:tcPr>
          <w:p>
            <w:pPr>
              <w:pStyle w:val="TableContents"/>
              <w:bidi w:val="0"/>
              <w:spacing w:before="0" w:after="0"/>
              <w:jc w:val="left"/>
              <w:rPr/>
            </w:pPr>
            <w:r>
              <w:rPr/>
              <w:t>81663L200</w:t>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Matthew Curtis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1,135,901.00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1,426,968.00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1,426,968.00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8" w:name="item1to9"/>
      <w:bookmarkStart w:id="59" w:name="item1to9"/>
      <w:bookmarkEnd w:id="59"/>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GENEDX HOLDINGS CORP.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333 Ludlow Street, North Tower, 6th Floor, Stamford, CT, 06902</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report (each a "Reporting Person" and collectively, the "Reporting Persons") are: (i) Summit Partners Public Asset Management, LLC ("SPPAM"), (ii) Summit Partners, L.P. ("SP"), (iii) Summit Partners Concentrated Growth L/S Master Fund, L.P. ("Summit Concentrated Growth"), (iv) Summit Partners Technology L/S Master Fund, L.P. ("Summit Technology"), (v) Summit Partners Sustainable Opportunities L/S Fund Limited ("SPSO Limited"), (vi) Summit Partners Sustainable Opportunities L/S QP Fund, L.P. ("SPSO QP"), (vii) Summit Partners Sustainable Opportunities L/S Fund, L.P. ("SPSO LP"), (viii) Summit Partners Alydar GP, L.P. ("Fund GP"), (ix) Summit Partners Alydar GP, LLC ("GP"), (x) Philip Furse, (xi) Timothy Albright, (xii) Robert MacAulay and (xiii) Matthew Curtis. The Reporting Persons have entered into a Joint Filing Agreement, dated February 12, 2025, a copy of which is incorporated by reference as Exhibit A to this statement, pursuant to which the Reporting Persons agreed to file this Schedule 13G and any amendments hereto jointly in accordance with the provisions of Rule 13d-1(k)(1) under the Act.</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or registered office, as applicable, of SPPAM, SP, SPSO QP, SPSO LP, Fund GP, GP, Philip Furse, Timothy Albright, Robert MacAulay and Matthew Curtis is 222 Berkeley Street, 18th Floor, Boston, MA 02116. The registered office address of Summit Concentrated Growth, Summit Technology and SPSO Limited is c/o Walkers Corporate Limited, 190 Elgin Avenue, George Town, Grand Cayman KY1-9008, Cayman Islands.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SPPAM, SP, SPSO QP, SPSO LP, Fund GP, and GP are organized under the laws of the State of Delaware. Philip Furse, Timothy Albright and Robert MacAulay are citizens of the United States. Summit Concentrated Growth and Summit Technology are each a Cayman Islands limited partnership. SPSO Limited is a Cayman Islands exempted company.</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jc w:val="left"/>
              <w:rPr/>
            </w:pPr>
            <w:r>
              <w:rPr/>
              <w:t xml:space="preserve">CUSIP No.: </w:t>
            </w:r>
          </w:p>
          <w:p>
            <w:pPr>
              <w:pStyle w:val="TableContents"/>
              <w:bidi w:val="0"/>
              <w:spacing w:before="0" w:after="0"/>
              <w:jc w:val="left"/>
              <w:rPr/>
            </w:pPr>
            <w:r>
              <w:rPr/>
              <w:t>81663L200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1,426,968</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5.19%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1,135,901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1,426,968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0" w:name="certifications"/>
      <w:bookmarkStart w:id="61" w:name="certifications"/>
      <w:bookmarkEnd w:id="6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2" w:name="signatureInfo"/>
      <w:bookmarkStart w:id="63" w:name="signatureInfo"/>
      <w:bookmarkEnd w:id="6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000" w:type="dxa"/>
        <w:jc w:val="left"/>
        <w:tblInd w:w="0" w:type="dxa"/>
        <w:tblLayout w:type="fixed"/>
        <w:tblCellMar>
          <w:top w:w="28" w:type="dxa"/>
          <w:left w:w="28" w:type="dxa"/>
          <w:bottom w:w="28" w:type="dxa"/>
          <w:right w:w="28" w:type="dxa"/>
        </w:tblCellMar>
      </w:tblPr>
      <w:tblGrid>
        <w:gridCol w:w="5000"/>
        <w:gridCol w:w="5000"/>
      </w:tblGrid>
      <w:tr>
        <w:trPr/>
        <w:tc>
          <w:tcPr>
            <w:tcW w:w="5000" w:type="dxa"/>
            <w:tcBorders/>
            <w:vAlign w:val="center"/>
          </w:tcPr>
          <w:p>
            <w:pPr>
              <w:pStyle w:val="TableContents"/>
              <w:bidi w:val="0"/>
              <w:spacing w:before="0" w:after="0"/>
              <w:jc w:val="left"/>
              <w:rPr/>
            </w:pPr>
            <w:r>
              <w:rPr/>
              <w:t> </w:t>
            </w:r>
          </w:p>
          <w:tbl>
            <w:tblPr>
              <w:tblW w:w="4846" w:type="dxa"/>
              <w:jc w:val="left"/>
              <w:tblInd w:w="0" w:type="dxa"/>
              <w:tblLayout w:type="fixed"/>
              <w:tblCellMar>
                <w:top w:w="28" w:type="dxa"/>
                <w:left w:w="28" w:type="dxa"/>
                <w:bottom w:w="28" w:type="dxa"/>
                <w:right w:w="28" w:type="dxa"/>
              </w:tblCellMar>
            </w:tblPr>
            <w:tblGrid>
              <w:gridCol w:w="4846"/>
            </w:tblGrid>
            <w:tr>
              <w:trPr/>
              <w:tc>
                <w:tcPr>
                  <w:tcW w:w="4846" w:type="dxa"/>
                  <w:tcBorders/>
                  <w:vAlign w:val="center"/>
                </w:tcPr>
                <w:p>
                  <w:pPr>
                    <w:pStyle w:val="TableContents"/>
                    <w:bidi w:val="0"/>
                    <w:spacing w:before="0" w:after="0"/>
                    <w:jc w:val="left"/>
                    <w:rPr/>
                  </w:pPr>
                  <w:r>
                    <w:rPr/>
                    <w:t>Summit Partners Public Asset Management, LLC</w:t>
                  </w:r>
                </w:p>
              </w:tc>
            </w:tr>
          </w:tbl>
          <w:p>
            <w:pPr>
              <w:pStyle w:val="TableContents"/>
              <w:bidi w:val="0"/>
              <w:spacing w:before="0" w:after="283"/>
              <w:jc w:val="left"/>
              <w:rPr/>
            </w:pPr>
            <w:r>
              <w:rPr/>
            </w:r>
          </w:p>
        </w:tc>
        <w:tc>
          <w:tcPr>
            <w:tcW w:w="5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Adam H. Hennessey</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Adam H. Hennessey, Authorized Person</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02/12/2025</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4728" w:type="dxa"/>
        <w:jc w:val="left"/>
        <w:tblInd w:w="0" w:type="dxa"/>
        <w:tblLayout w:type="fixed"/>
        <w:tblCellMar>
          <w:top w:w="28" w:type="dxa"/>
          <w:left w:w="28" w:type="dxa"/>
          <w:bottom w:w="28" w:type="dxa"/>
          <w:right w:w="28" w:type="dxa"/>
        </w:tblCellMar>
      </w:tblPr>
      <w:tblGrid>
        <w:gridCol w:w="2364"/>
        <w:gridCol w:w="2364"/>
      </w:tblGrid>
      <w:tr>
        <w:trPr/>
        <w:tc>
          <w:tcPr>
            <w:tcW w:w="2364" w:type="dxa"/>
            <w:tcBorders/>
            <w:vAlign w:val="center"/>
          </w:tcPr>
          <w:p>
            <w:pPr>
              <w:pStyle w:val="TableContents"/>
              <w:bidi w:val="0"/>
              <w:spacing w:before="0" w:after="0"/>
              <w:jc w:val="left"/>
              <w:rPr/>
            </w:pPr>
            <w:r>
              <w:rPr/>
              <w:t> </w:t>
            </w:r>
          </w:p>
          <w:tbl>
            <w:tblPr>
              <w:tblW w:w="2251" w:type="dxa"/>
              <w:jc w:val="left"/>
              <w:tblInd w:w="0" w:type="dxa"/>
              <w:tblLayout w:type="fixed"/>
              <w:tblCellMar>
                <w:top w:w="28" w:type="dxa"/>
                <w:left w:w="28" w:type="dxa"/>
                <w:bottom w:w="28" w:type="dxa"/>
                <w:right w:w="28" w:type="dxa"/>
              </w:tblCellMar>
            </w:tblPr>
            <w:tblGrid>
              <w:gridCol w:w="2251"/>
            </w:tblGrid>
            <w:tr>
              <w:trPr/>
              <w:tc>
                <w:tcPr>
                  <w:tcW w:w="2251" w:type="dxa"/>
                  <w:tcBorders/>
                  <w:vAlign w:val="center"/>
                </w:tcPr>
                <w:p>
                  <w:pPr>
                    <w:pStyle w:val="TableContents"/>
                    <w:bidi w:val="0"/>
                    <w:spacing w:before="0" w:after="0"/>
                    <w:jc w:val="left"/>
                    <w:rPr/>
                  </w:pPr>
                  <w:r>
                    <w:rPr/>
                    <w:t>Summit Partners, L.P.</w:t>
                  </w:r>
                </w:p>
              </w:tc>
            </w:tr>
          </w:tbl>
          <w:p>
            <w:pPr>
              <w:pStyle w:val="TableContents"/>
              <w:bidi w:val="0"/>
              <w:spacing w:before="0" w:after="283"/>
              <w:jc w:val="left"/>
              <w:rPr/>
            </w:pPr>
            <w:r>
              <w:rPr/>
            </w:r>
          </w:p>
        </w:tc>
        <w:tc>
          <w:tcPr>
            <w:tcW w:w="2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Adam H. Hennessey</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Adam H. Hennessey, Authorized Person</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02/12/2025</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39"/>
        <w:gridCol w:w="4966"/>
      </w:tblGrid>
      <w:tr>
        <w:trPr/>
        <w:tc>
          <w:tcPr>
            <w:tcW w:w="5239" w:type="dxa"/>
            <w:tcBorders/>
            <w:vAlign w:val="center"/>
          </w:tcPr>
          <w:p>
            <w:pPr>
              <w:pStyle w:val="TableContents"/>
              <w:bidi w:val="0"/>
              <w:spacing w:before="0" w:after="0"/>
              <w:jc w:val="left"/>
              <w:rPr/>
            </w:pPr>
            <w:r>
              <w:rPr/>
              <w:t> </w:t>
            </w:r>
          </w:p>
          <w:tbl>
            <w:tblPr>
              <w:tblW w:w="6031" w:type="dxa"/>
              <w:jc w:val="left"/>
              <w:tblInd w:w="0" w:type="dxa"/>
              <w:tblLayout w:type="fixed"/>
              <w:tblCellMar>
                <w:top w:w="28" w:type="dxa"/>
                <w:left w:w="28" w:type="dxa"/>
                <w:bottom w:w="28" w:type="dxa"/>
                <w:right w:w="28" w:type="dxa"/>
              </w:tblCellMar>
            </w:tblPr>
            <w:tblGrid>
              <w:gridCol w:w="6031"/>
            </w:tblGrid>
            <w:tr>
              <w:trPr/>
              <w:tc>
                <w:tcPr>
                  <w:tcW w:w="6031" w:type="dxa"/>
                  <w:tcBorders/>
                  <w:vAlign w:val="center"/>
                </w:tcPr>
                <w:p>
                  <w:pPr>
                    <w:pStyle w:val="TableContents"/>
                    <w:bidi w:val="0"/>
                    <w:spacing w:before="0" w:after="0"/>
                    <w:jc w:val="left"/>
                    <w:rPr/>
                  </w:pPr>
                  <w:r>
                    <w:rPr/>
                    <w:t>Summit Partners Concentrated Growth L/S Master Fund, L.P.</w:t>
                  </w:r>
                </w:p>
              </w:tc>
            </w:tr>
          </w:tbl>
          <w:p>
            <w:pPr>
              <w:pStyle w:val="TableContents"/>
              <w:bidi w:val="0"/>
              <w:spacing w:before="0" w:after="283"/>
              <w:jc w:val="left"/>
              <w:rPr/>
            </w:pPr>
            <w:r>
              <w:rPr/>
            </w:r>
          </w:p>
        </w:tc>
        <w:tc>
          <w:tcPr>
            <w:tcW w:w="49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Adam H. Hennessey</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Adam H. Hennessey, Authorized Person</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02/12/2025</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25"/>
        <w:gridCol w:w="5080"/>
      </w:tblGrid>
      <w:tr>
        <w:trPr/>
        <w:tc>
          <w:tcPr>
            <w:tcW w:w="5125" w:type="dxa"/>
            <w:tcBorders/>
            <w:vAlign w:val="center"/>
          </w:tcPr>
          <w:p>
            <w:pPr>
              <w:pStyle w:val="TableContents"/>
              <w:bidi w:val="0"/>
              <w:spacing w:before="0" w:after="0"/>
              <w:jc w:val="left"/>
              <w:rPr/>
            </w:pPr>
            <w:r>
              <w:rPr/>
              <w:t> </w:t>
            </w:r>
          </w:p>
          <w:tbl>
            <w:tblPr>
              <w:tblW w:w="5116" w:type="dxa"/>
              <w:jc w:val="left"/>
              <w:tblInd w:w="0" w:type="dxa"/>
              <w:tblLayout w:type="fixed"/>
              <w:tblCellMar>
                <w:top w:w="28" w:type="dxa"/>
                <w:left w:w="28" w:type="dxa"/>
                <w:bottom w:w="28" w:type="dxa"/>
                <w:right w:w="28" w:type="dxa"/>
              </w:tblCellMar>
            </w:tblPr>
            <w:tblGrid>
              <w:gridCol w:w="5116"/>
            </w:tblGrid>
            <w:tr>
              <w:trPr/>
              <w:tc>
                <w:tcPr>
                  <w:tcW w:w="5116" w:type="dxa"/>
                  <w:tcBorders/>
                  <w:vAlign w:val="center"/>
                </w:tcPr>
                <w:p>
                  <w:pPr>
                    <w:pStyle w:val="TableContents"/>
                    <w:bidi w:val="0"/>
                    <w:spacing w:before="0" w:after="0"/>
                    <w:jc w:val="left"/>
                    <w:rPr/>
                  </w:pPr>
                  <w:r>
                    <w:rPr/>
                    <w:t>Summit Partners Technology L/S Master Fund, L.P.</w:t>
                  </w:r>
                </w:p>
              </w:tc>
            </w:tr>
          </w:tbl>
          <w:p>
            <w:pPr>
              <w:pStyle w:val="TableContents"/>
              <w:bidi w:val="0"/>
              <w:spacing w:before="0" w:after="283"/>
              <w:jc w:val="left"/>
              <w:rPr/>
            </w:pPr>
            <w:r>
              <w:rPr/>
            </w:r>
          </w:p>
        </w:tc>
        <w:tc>
          <w:tcPr>
            <w:tcW w:w="50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Adam H. Hennessey</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Adam H. Hennessey, Authorized Person</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02/12/2025</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36"/>
        <w:gridCol w:w="4969"/>
      </w:tblGrid>
      <w:tr>
        <w:trPr/>
        <w:tc>
          <w:tcPr>
            <w:tcW w:w="5236" w:type="dxa"/>
            <w:tcBorders/>
            <w:vAlign w:val="center"/>
          </w:tcPr>
          <w:p>
            <w:pPr>
              <w:pStyle w:val="TableContents"/>
              <w:bidi w:val="0"/>
              <w:spacing w:before="0" w:after="0"/>
              <w:jc w:val="left"/>
              <w:rPr/>
            </w:pPr>
            <w:r>
              <w:rPr/>
              <w:t> </w:t>
            </w:r>
          </w:p>
          <w:tbl>
            <w:tblPr>
              <w:tblW w:w="5971" w:type="dxa"/>
              <w:jc w:val="left"/>
              <w:tblInd w:w="0" w:type="dxa"/>
              <w:tblLayout w:type="fixed"/>
              <w:tblCellMar>
                <w:top w:w="28" w:type="dxa"/>
                <w:left w:w="28" w:type="dxa"/>
                <w:bottom w:w="28" w:type="dxa"/>
                <w:right w:w="28" w:type="dxa"/>
              </w:tblCellMar>
            </w:tblPr>
            <w:tblGrid>
              <w:gridCol w:w="5971"/>
            </w:tblGrid>
            <w:tr>
              <w:trPr/>
              <w:tc>
                <w:tcPr>
                  <w:tcW w:w="5971" w:type="dxa"/>
                  <w:tcBorders/>
                  <w:vAlign w:val="center"/>
                </w:tcPr>
                <w:p>
                  <w:pPr>
                    <w:pStyle w:val="TableContents"/>
                    <w:bidi w:val="0"/>
                    <w:spacing w:before="0" w:after="0"/>
                    <w:jc w:val="left"/>
                    <w:rPr/>
                  </w:pPr>
                  <w:r>
                    <w:rPr/>
                    <w:t>Summit Partners Sustainable Opportunities L/S Fund Limited</w:t>
                  </w:r>
                </w:p>
              </w:tc>
            </w:tr>
          </w:tbl>
          <w:p>
            <w:pPr>
              <w:pStyle w:val="TableContents"/>
              <w:bidi w:val="0"/>
              <w:spacing w:before="0" w:after="283"/>
              <w:jc w:val="left"/>
              <w:rPr/>
            </w:pPr>
            <w:r>
              <w:rPr/>
            </w:r>
          </w:p>
        </w:tc>
        <w:tc>
          <w:tcPr>
            <w:tcW w:w="49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Adam H. Hennessey</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Adam H. Hennessey, Authorized Person</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02/12/2025</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47"/>
        <w:gridCol w:w="4958"/>
      </w:tblGrid>
      <w:tr>
        <w:trPr/>
        <w:tc>
          <w:tcPr>
            <w:tcW w:w="5247" w:type="dxa"/>
            <w:tcBorders/>
            <w:vAlign w:val="center"/>
          </w:tcPr>
          <w:p>
            <w:pPr>
              <w:pStyle w:val="TableContents"/>
              <w:bidi w:val="0"/>
              <w:spacing w:before="0" w:after="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0"/>
                    <w:jc w:val="left"/>
                    <w:rPr/>
                  </w:pPr>
                  <w:r>
                    <w:rPr/>
                    <w:t>Summit Partners Sustainable Opportunities L/S QP Fund, L.P.</w:t>
                  </w:r>
                </w:p>
              </w:tc>
            </w:tr>
          </w:tbl>
          <w:p>
            <w:pPr>
              <w:pStyle w:val="TableContents"/>
              <w:bidi w:val="0"/>
              <w:spacing w:before="0" w:after="283"/>
              <w:jc w:val="left"/>
              <w:rPr/>
            </w:pPr>
            <w:r>
              <w:rPr/>
            </w:r>
          </w:p>
        </w:tc>
        <w:tc>
          <w:tcPr>
            <w:tcW w:w="49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Adam H. Hennessey</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Adam H. Hennessey, Authorized Person</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02/12/2025</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06"/>
        <w:gridCol w:w="4999"/>
      </w:tblGrid>
      <w:tr>
        <w:trPr/>
        <w:tc>
          <w:tcPr>
            <w:tcW w:w="5206" w:type="dxa"/>
            <w:tcBorders/>
            <w:vAlign w:val="center"/>
          </w:tcPr>
          <w:p>
            <w:pPr>
              <w:pStyle w:val="TableContents"/>
              <w:bidi w:val="0"/>
              <w:spacing w:before="0" w:after="0"/>
              <w:jc w:val="left"/>
              <w:rPr/>
            </w:pPr>
            <w:r>
              <w:rPr/>
              <w:t> </w:t>
            </w:r>
          </w:p>
          <w:tbl>
            <w:tblPr>
              <w:tblW w:w="5701" w:type="dxa"/>
              <w:jc w:val="left"/>
              <w:tblInd w:w="0" w:type="dxa"/>
              <w:tblLayout w:type="fixed"/>
              <w:tblCellMar>
                <w:top w:w="28" w:type="dxa"/>
                <w:left w:w="28" w:type="dxa"/>
                <w:bottom w:w="28" w:type="dxa"/>
                <w:right w:w="28" w:type="dxa"/>
              </w:tblCellMar>
            </w:tblPr>
            <w:tblGrid>
              <w:gridCol w:w="5701"/>
            </w:tblGrid>
            <w:tr>
              <w:trPr/>
              <w:tc>
                <w:tcPr>
                  <w:tcW w:w="5701" w:type="dxa"/>
                  <w:tcBorders/>
                  <w:vAlign w:val="center"/>
                </w:tcPr>
                <w:p>
                  <w:pPr>
                    <w:pStyle w:val="TableContents"/>
                    <w:bidi w:val="0"/>
                    <w:spacing w:before="0" w:after="0"/>
                    <w:jc w:val="left"/>
                    <w:rPr/>
                  </w:pPr>
                  <w:r>
                    <w:rPr/>
                    <w:t>Summit Partners Sustainable Opportunities L/S Fund, L.P.</w:t>
                  </w:r>
                </w:p>
              </w:tc>
            </w:tr>
          </w:tbl>
          <w:p>
            <w:pPr>
              <w:pStyle w:val="TableContents"/>
              <w:bidi w:val="0"/>
              <w:spacing w:before="0" w:after="283"/>
              <w:jc w:val="left"/>
              <w:rPr/>
            </w:pPr>
            <w:r>
              <w:rPr/>
            </w:r>
          </w:p>
        </w:tc>
        <w:tc>
          <w:tcPr>
            <w:tcW w:w="49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Adam H. Hennessey</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Adam H. Hennessey, Authorized Person</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02/12/2025</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6924" w:type="dxa"/>
        <w:jc w:val="left"/>
        <w:tblInd w:w="0" w:type="dxa"/>
        <w:tblLayout w:type="fixed"/>
        <w:tblCellMar>
          <w:top w:w="28" w:type="dxa"/>
          <w:left w:w="28" w:type="dxa"/>
          <w:bottom w:w="28" w:type="dxa"/>
          <w:right w:w="28" w:type="dxa"/>
        </w:tblCellMar>
      </w:tblPr>
      <w:tblGrid>
        <w:gridCol w:w="3462"/>
        <w:gridCol w:w="3462"/>
      </w:tblGrid>
      <w:tr>
        <w:trPr/>
        <w:tc>
          <w:tcPr>
            <w:tcW w:w="3462" w:type="dxa"/>
            <w:tcBorders/>
            <w:vAlign w:val="center"/>
          </w:tcPr>
          <w:p>
            <w:pPr>
              <w:pStyle w:val="TableContents"/>
              <w:bidi w:val="0"/>
              <w:spacing w:before="0" w:after="0"/>
              <w:jc w:val="left"/>
              <w:rPr/>
            </w:pPr>
            <w:r>
              <w:rPr/>
              <w:t> </w:t>
            </w:r>
          </w:p>
          <w:tbl>
            <w:tblPr>
              <w:tblW w:w="3346" w:type="dxa"/>
              <w:jc w:val="left"/>
              <w:tblInd w:w="0" w:type="dxa"/>
              <w:tblLayout w:type="fixed"/>
              <w:tblCellMar>
                <w:top w:w="28" w:type="dxa"/>
                <w:left w:w="28" w:type="dxa"/>
                <w:bottom w:w="28" w:type="dxa"/>
                <w:right w:w="28" w:type="dxa"/>
              </w:tblCellMar>
            </w:tblPr>
            <w:tblGrid>
              <w:gridCol w:w="3346"/>
            </w:tblGrid>
            <w:tr>
              <w:trPr/>
              <w:tc>
                <w:tcPr>
                  <w:tcW w:w="3346" w:type="dxa"/>
                  <w:tcBorders/>
                  <w:vAlign w:val="center"/>
                </w:tcPr>
                <w:p>
                  <w:pPr>
                    <w:pStyle w:val="TableContents"/>
                    <w:bidi w:val="0"/>
                    <w:spacing w:before="0" w:after="0"/>
                    <w:jc w:val="left"/>
                    <w:rPr/>
                  </w:pPr>
                  <w:r>
                    <w:rPr/>
                    <w:t>Summit Partners Alydar GP, L.P.</w:t>
                  </w:r>
                </w:p>
              </w:tc>
            </w:tr>
          </w:tbl>
          <w:p>
            <w:pPr>
              <w:pStyle w:val="TableContents"/>
              <w:bidi w:val="0"/>
              <w:spacing w:before="0" w:after="283"/>
              <w:jc w:val="left"/>
              <w:rPr/>
            </w:pPr>
            <w:r>
              <w:rPr/>
            </w:r>
          </w:p>
        </w:tc>
        <w:tc>
          <w:tcPr>
            <w:tcW w:w="34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Adam H. Hennessey</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Adam H. Hennessey, Authorized Person</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02/12/2025</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7040" w:type="dxa"/>
        <w:jc w:val="left"/>
        <w:tblInd w:w="0" w:type="dxa"/>
        <w:tblLayout w:type="fixed"/>
        <w:tblCellMar>
          <w:top w:w="28" w:type="dxa"/>
          <w:left w:w="28" w:type="dxa"/>
          <w:bottom w:w="28" w:type="dxa"/>
          <w:right w:w="28" w:type="dxa"/>
        </w:tblCellMar>
      </w:tblPr>
      <w:tblGrid>
        <w:gridCol w:w="3520"/>
        <w:gridCol w:w="3520"/>
      </w:tblGrid>
      <w:tr>
        <w:trPr/>
        <w:tc>
          <w:tcPr>
            <w:tcW w:w="3520" w:type="dxa"/>
            <w:tcBorders/>
            <w:vAlign w:val="center"/>
          </w:tcPr>
          <w:p>
            <w:pPr>
              <w:pStyle w:val="TableContents"/>
              <w:bidi w:val="0"/>
              <w:spacing w:before="0" w:after="0"/>
              <w:jc w:val="left"/>
              <w:rPr/>
            </w:pPr>
            <w:r>
              <w:rPr/>
              <w:t> </w:t>
            </w:r>
          </w:p>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0"/>
                    <w:jc w:val="left"/>
                    <w:rPr/>
                  </w:pPr>
                  <w:r>
                    <w:rPr/>
                    <w:t>Summit Partners Alydar GP, LLC</w:t>
                  </w:r>
                </w:p>
              </w:tc>
            </w:tr>
          </w:tbl>
          <w:p>
            <w:pPr>
              <w:pStyle w:val="TableContents"/>
              <w:bidi w:val="0"/>
              <w:spacing w:before="0" w:after="283"/>
              <w:jc w:val="left"/>
              <w:rPr/>
            </w:pPr>
            <w:r>
              <w:rPr/>
            </w:r>
          </w:p>
        </w:tc>
        <w:tc>
          <w:tcPr>
            <w:tcW w:w="35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Adam H. Hennessey</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Adam H. Hennessey, Authorized Person</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02/12/2025</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2838" w:type="dxa"/>
        <w:jc w:val="left"/>
        <w:tblInd w:w="0" w:type="dxa"/>
        <w:tblLayout w:type="fixed"/>
        <w:tblCellMar>
          <w:top w:w="28" w:type="dxa"/>
          <w:left w:w="28" w:type="dxa"/>
          <w:bottom w:w="28" w:type="dxa"/>
          <w:right w:w="28" w:type="dxa"/>
        </w:tblCellMar>
      </w:tblPr>
      <w:tblGrid>
        <w:gridCol w:w="1419"/>
        <w:gridCol w:w="1419"/>
      </w:tblGrid>
      <w:tr>
        <w:trPr/>
        <w:tc>
          <w:tcPr>
            <w:tcW w:w="1419" w:type="dxa"/>
            <w:tcBorders/>
            <w:vAlign w:val="center"/>
          </w:tcPr>
          <w:p>
            <w:pPr>
              <w:pStyle w:val="TableContents"/>
              <w:bidi w:val="0"/>
              <w:spacing w:before="0" w:after="0"/>
              <w:jc w:val="left"/>
              <w:rPr/>
            </w:pPr>
            <w:r>
              <w:rPr/>
              <w:t> </w:t>
            </w:r>
          </w:p>
          <w:tbl>
            <w:tblPr>
              <w:tblW w:w="1306" w:type="dxa"/>
              <w:jc w:val="left"/>
              <w:tblInd w:w="0" w:type="dxa"/>
              <w:tblLayout w:type="fixed"/>
              <w:tblCellMar>
                <w:top w:w="28" w:type="dxa"/>
                <w:left w:w="28" w:type="dxa"/>
                <w:bottom w:w="28" w:type="dxa"/>
                <w:right w:w="28" w:type="dxa"/>
              </w:tblCellMar>
            </w:tblPr>
            <w:tblGrid>
              <w:gridCol w:w="1306"/>
            </w:tblGrid>
            <w:tr>
              <w:trPr/>
              <w:tc>
                <w:tcPr>
                  <w:tcW w:w="1306" w:type="dxa"/>
                  <w:tcBorders/>
                  <w:vAlign w:val="center"/>
                </w:tcPr>
                <w:p>
                  <w:pPr>
                    <w:pStyle w:val="TableContents"/>
                    <w:bidi w:val="0"/>
                    <w:spacing w:before="0" w:after="0"/>
                    <w:jc w:val="left"/>
                    <w:rPr/>
                  </w:pPr>
                  <w:r>
                    <w:rPr/>
                    <w:t>Philip Furse</w:t>
                  </w:r>
                </w:p>
              </w:tc>
            </w:tr>
          </w:tbl>
          <w:p>
            <w:pPr>
              <w:pStyle w:val="TableContents"/>
              <w:bidi w:val="0"/>
              <w:spacing w:before="0" w:after="283"/>
              <w:jc w:val="left"/>
              <w:rPr/>
            </w:pPr>
            <w:r>
              <w:rPr/>
            </w:r>
          </w:p>
        </w:tc>
        <w:tc>
          <w:tcPr>
            <w:tcW w:w="1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1"/>
        <w:gridCol w:w="4284"/>
      </w:tblGrid>
      <w:tr>
        <w:trPr/>
        <w:tc>
          <w:tcPr>
            <w:tcW w:w="592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Adam H. Hennessey</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Adam H. Hennessey, POA for Philip Furse</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02/12/2025</w:t>
                  </w:r>
                </w:p>
              </w:tc>
            </w:tr>
          </w:tbl>
          <w:p>
            <w:pPr>
              <w:pStyle w:val="TableContents"/>
              <w:bidi w:val="0"/>
              <w:spacing w:before="0" w:after="283"/>
              <w:jc w:val="left"/>
              <w:rPr/>
            </w:pPr>
            <w:r>
              <w:rPr/>
            </w:r>
          </w:p>
        </w:tc>
        <w:tc>
          <w:tcPr>
            <w:tcW w:w="4284" w:type="dxa"/>
            <w:tcBorders/>
            <w:vAlign w:val="center"/>
          </w:tcPr>
          <w:p>
            <w:pPr>
              <w:pStyle w:val="TableContents"/>
              <w:bidi w:val="0"/>
              <w:spacing w:before="0" w:after="283"/>
              <w:jc w:val="left"/>
              <w:rPr>
                <w:sz w:val="4"/>
                <w:szCs w:val="4"/>
              </w:rPr>
            </w:pPr>
            <w:r>
              <w:rPr>
                <w:sz w:val="4"/>
                <w:szCs w:val="4"/>
              </w:rPr>
            </w:r>
          </w:p>
        </w:tc>
      </w:tr>
    </w:tbl>
    <w:tbl>
      <w:tblPr>
        <w:tblW w:w="3934" w:type="dxa"/>
        <w:jc w:val="left"/>
        <w:tblInd w:w="0" w:type="dxa"/>
        <w:tblLayout w:type="fixed"/>
        <w:tblCellMar>
          <w:top w:w="28" w:type="dxa"/>
          <w:left w:w="28" w:type="dxa"/>
          <w:bottom w:w="28" w:type="dxa"/>
          <w:right w:w="28" w:type="dxa"/>
        </w:tblCellMar>
      </w:tblPr>
      <w:tblGrid>
        <w:gridCol w:w="1967"/>
        <w:gridCol w:w="1967"/>
      </w:tblGrid>
      <w:tr>
        <w:trPr/>
        <w:tc>
          <w:tcPr>
            <w:tcW w:w="1967" w:type="dxa"/>
            <w:tcBorders/>
            <w:vAlign w:val="center"/>
          </w:tcPr>
          <w:p>
            <w:pPr>
              <w:pStyle w:val="TableContents"/>
              <w:bidi w:val="0"/>
              <w:spacing w:before="0" w:after="0"/>
              <w:jc w:val="left"/>
              <w:rPr/>
            </w:pPr>
            <w:r>
              <w:rPr/>
              <w:t> </w:t>
            </w:r>
          </w:p>
          <w:tbl>
            <w:tblPr>
              <w:tblW w:w="1831" w:type="dxa"/>
              <w:jc w:val="left"/>
              <w:tblInd w:w="0" w:type="dxa"/>
              <w:tblLayout w:type="fixed"/>
              <w:tblCellMar>
                <w:top w:w="28" w:type="dxa"/>
                <w:left w:w="28" w:type="dxa"/>
                <w:bottom w:w="28" w:type="dxa"/>
                <w:right w:w="28" w:type="dxa"/>
              </w:tblCellMar>
            </w:tblPr>
            <w:tblGrid>
              <w:gridCol w:w="1831"/>
            </w:tblGrid>
            <w:tr>
              <w:trPr/>
              <w:tc>
                <w:tcPr>
                  <w:tcW w:w="1831" w:type="dxa"/>
                  <w:tcBorders/>
                  <w:vAlign w:val="center"/>
                </w:tcPr>
                <w:p>
                  <w:pPr>
                    <w:pStyle w:val="TableContents"/>
                    <w:bidi w:val="0"/>
                    <w:spacing w:before="0" w:after="0"/>
                    <w:jc w:val="left"/>
                    <w:rPr/>
                  </w:pPr>
                  <w:r>
                    <w:rPr/>
                    <w:t>Timothy Albright</w:t>
                  </w:r>
                </w:p>
              </w:tc>
            </w:tr>
          </w:tbl>
          <w:p>
            <w:pPr>
              <w:pStyle w:val="TableContents"/>
              <w:bidi w:val="0"/>
              <w:spacing w:before="0" w:after="283"/>
              <w:jc w:val="left"/>
              <w:rPr/>
            </w:pPr>
            <w:r>
              <w:rPr/>
            </w:r>
          </w:p>
        </w:tc>
        <w:tc>
          <w:tcPr>
            <w:tcW w:w="19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4"/>
        <w:gridCol w:w="4281"/>
      </w:tblGrid>
      <w:tr>
        <w:trPr/>
        <w:tc>
          <w:tcPr>
            <w:tcW w:w="59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Adam H. Hennessey</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Adam H. Hennessey, POA for Timothy Albright</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02/12/2025</w:t>
                  </w:r>
                </w:p>
              </w:tc>
            </w:tr>
          </w:tbl>
          <w:p>
            <w:pPr>
              <w:pStyle w:val="TableContents"/>
              <w:bidi w:val="0"/>
              <w:spacing w:before="0" w:after="283"/>
              <w:jc w:val="left"/>
              <w:rPr/>
            </w:pPr>
            <w:r>
              <w:rPr/>
            </w:r>
          </w:p>
        </w:tc>
        <w:tc>
          <w:tcPr>
            <w:tcW w:w="4281" w:type="dxa"/>
            <w:tcBorders/>
            <w:vAlign w:val="center"/>
          </w:tcPr>
          <w:p>
            <w:pPr>
              <w:pStyle w:val="TableContents"/>
              <w:bidi w:val="0"/>
              <w:spacing w:before="0" w:after="283"/>
              <w:jc w:val="left"/>
              <w:rPr>
                <w:sz w:val="4"/>
                <w:szCs w:val="4"/>
              </w:rPr>
            </w:pPr>
            <w:r>
              <w:rPr>
                <w:sz w:val="4"/>
                <w:szCs w:val="4"/>
              </w:rPr>
            </w:r>
          </w:p>
        </w:tc>
      </w:tr>
    </w:tbl>
    <w:tbl>
      <w:tblPr>
        <w:tblW w:w="4020" w:type="dxa"/>
        <w:jc w:val="left"/>
        <w:tblInd w:w="0" w:type="dxa"/>
        <w:tblLayout w:type="fixed"/>
        <w:tblCellMar>
          <w:top w:w="28" w:type="dxa"/>
          <w:left w:w="28" w:type="dxa"/>
          <w:bottom w:w="28" w:type="dxa"/>
          <w:right w:w="28" w:type="dxa"/>
        </w:tblCellMar>
      </w:tblPr>
      <w:tblGrid>
        <w:gridCol w:w="2010"/>
        <w:gridCol w:w="2010"/>
      </w:tblGrid>
      <w:tr>
        <w:trPr/>
        <w:tc>
          <w:tcPr>
            <w:tcW w:w="2010" w:type="dxa"/>
            <w:tcBorders/>
            <w:vAlign w:val="center"/>
          </w:tcPr>
          <w:p>
            <w:pPr>
              <w:pStyle w:val="TableContents"/>
              <w:bidi w:val="0"/>
              <w:spacing w:before="0" w:after="0"/>
              <w:jc w:val="left"/>
              <w:rPr/>
            </w:pPr>
            <w:r>
              <w:rPr/>
              <w:t> </w:t>
            </w:r>
          </w:p>
          <w:tbl>
            <w:tblPr>
              <w:tblW w:w="1876" w:type="dxa"/>
              <w:jc w:val="left"/>
              <w:tblInd w:w="0" w:type="dxa"/>
              <w:tblLayout w:type="fixed"/>
              <w:tblCellMar>
                <w:top w:w="28" w:type="dxa"/>
                <w:left w:w="28" w:type="dxa"/>
                <w:bottom w:w="28" w:type="dxa"/>
                <w:right w:w="28" w:type="dxa"/>
              </w:tblCellMar>
            </w:tblPr>
            <w:tblGrid>
              <w:gridCol w:w="1876"/>
            </w:tblGrid>
            <w:tr>
              <w:trPr/>
              <w:tc>
                <w:tcPr>
                  <w:tcW w:w="1876" w:type="dxa"/>
                  <w:tcBorders/>
                  <w:vAlign w:val="center"/>
                </w:tcPr>
                <w:p>
                  <w:pPr>
                    <w:pStyle w:val="TableContents"/>
                    <w:bidi w:val="0"/>
                    <w:spacing w:before="0" w:after="0"/>
                    <w:jc w:val="left"/>
                    <w:rPr/>
                  </w:pPr>
                  <w:r>
                    <w:rPr/>
                    <w:t>Robert MacAulay</w:t>
                  </w:r>
                </w:p>
              </w:tc>
            </w:tr>
          </w:tbl>
          <w:p>
            <w:pPr>
              <w:pStyle w:val="TableContents"/>
              <w:bidi w:val="0"/>
              <w:spacing w:before="0" w:after="283"/>
              <w:jc w:val="left"/>
              <w:rPr/>
            </w:pPr>
            <w:r>
              <w:rPr/>
            </w:r>
          </w:p>
        </w:tc>
        <w:tc>
          <w:tcPr>
            <w:tcW w:w="20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8"/>
        <w:gridCol w:w="4287"/>
      </w:tblGrid>
      <w:tr>
        <w:trPr/>
        <w:tc>
          <w:tcPr>
            <w:tcW w:w="59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Adam H. Hennessey</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Adam H. Hennessey, POA for Robert MacAulay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02/12/2025</w:t>
                  </w:r>
                </w:p>
              </w:tc>
            </w:tr>
          </w:tbl>
          <w:p>
            <w:pPr>
              <w:pStyle w:val="TableContents"/>
              <w:bidi w:val="0"/>
              <w:spacing w:before="0" w:after="283"/>
              <w:jc w:val="left"/>
              <w:rPr/>
            </w:pPr>
            <w:r>
              <w:rPr/>
            </w:r>
          </w:p>
        </w:tc>
        <w:tc>
          <w:tcPr>
            <w:tcW w:w="4287" w:type="dxa"/>
            <w:tcBorders/>
            <w:vAlign w:val="center"/>
          </w:tcPr>
          <w:p>
            <w:pPr>
              <w:pStyle w:val="TableContents"/>
              <w:bidi w:val="0"/>
              <w:spacing w:before="0" w:after="283"/>
              <w:jc w:val="left"/>
              <w:rPr>
                <w:sz w:val="4"/>
                <w:szCs w:val="4"/>
              </w:rPr>
            </w:pPr>
            <w:r>
              <w:rPr>
                <w:sz w:val="4"/>
                <w:szCs w:val="4"/>
              </w:rPr>
            </w:r>
          </w:p>
        </w:tc>
      </w:tr>
    </w:tbl>
    <w:tbl>
      <w:tblPr>
        <w:tblW w:w="3500" w:type="dxa"/>
        <w:jc w:val="left"/>
        <w:tblInd w:w="0" w:type="dxa"/>
        <w:tblLayout w:type="fixed"/>
        <w:tblCellMar>
          <w:top w:w="28" w:type="dxa"/>
          <w:left w:w="28" w:type="dxa"/>
          <w:bottom w:w="28" w:type="dxa"/>
          <w:right w:w="28" w:type="dxa"/>
        </w:tblCellMar>
      </w:tblPr>
      <w:tblGrid>
        <w:gridCol w:w="1750"/>
        <w:gridCol w:w="1750"/>
      </w:tblGrid>
      <w:tr>
        <w:trPr/>
        <w:tc>
          <w:tcPr>
            <w:tcW w:w="1750" w:type="dxa"/>
            <w:tcBorders/>
            <w:vAlign w:val="center"/>
          </w:tcPr>
          <w:p>
            <w:pPr>
              <w:pStyle w:val="TableContents"/>
              <w:bidi w:val="0"/>
              <w:spacing w:before="0" w:after="0"/>
              <w:jc w:val="left"/>
              <w:rPr/>
            </w:pPr>
            <w:r>
              <w:rPr/>
              <w:t> </w:t>
            </w:r>
          </w:p>
          <w:tbl>
            <w:tblPr>
              <w:tblW w:w="1636" w:type="dxa"/>
              <w:jc w:val="left"/>
              <w:tblInd w:w="0" w:type="dxa"/>
              <w:tblLayout w:type="fixed"/>
              <w:tblCellMar>
                <w:top w:w="28" w:type="dxa"/>
                <w:left w:w="28" w:type="dxa"/>
                <w:bottom w:w="28" w:type="dxa"/>
                <w:right w:w="28" w:type="dxa"/>
              </w:tblCellMar>
            </w:tblPr>
            <w:tblGrid>
              <w:gridCol w:w="1636"/>
            </w:tblGrid>
            <w:tr>
              <w:trPr/>
              <w:tc>
                <w:tcPr>
                  <w:tcW w:w="1636" w:type="dxa"/>
                  <w:tcBorders/>
                  <w:vAlign w:val="center"/>
                </w:tcPr>
                <w:p>
                  <w:pPr>
                    <w:pStyle w:val="TableContents"/>
                    <w:bidi w:val="0"/>
                    <w:spacing w:before="0" w:after="0"/>
                    <w:jc w:val="left"/>
                    <w:rPr/>
                  </w:pPr>
                  <w:r>
                    <w:rPr/>
                    <w:t>Matthew Curtis</w:t>
                  </w:r>
                </w:p>
              </w:tc>
            </w:tr>
          </w:tbl>
          <w:p>
            <w:pPr>
              <w:pStyle w:val="TableContents"/>
              <w:bidi w:val="0"/>
              <w:spacing w:before="0" w:after="283"/>
              <w:jc w:val="left"/>
              <w:rPr/>
            </w:pPr>
            <w:r>
              <w:rPr/>
            </w:r>
          </w:p>
        </w:tc>
        <w:tc>
          <w:tcPr>
            <w:tcW w:w="1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2"/>
        <w:gridCol w:w="4283"/>
      </w:tblGrid>
      <w:tr>
        <w:trPr/>
        <w:tc>
          <w:tcPr>
            <w:tcW w:w="592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Adam H. Hennessey</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Adam H. Hennessey, POA for Matthew Curtis</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02/12/2025</w:t>
                  </w:r>
                </w:p>
              </w:tc>
            </w:tr>
          </w:tbl>
          <w:p>
            <w:pPr>
              <w:pStyle w:val="TableContents"/>
              <w:bidi w:val="0"/>
              <w:spacing w:before="0" w:after="283"/>
              <w:jc w:val="left"/>
              <w:rPr/>
            </w:pPr>
            <w:r>
              <w:rPr/>
            </w:r>
          </w:p>
        </w:tc>
        <w:tc>
          <w:tcPr>
            <w:tcW w:w="42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Item 4: The information required by Item 4 with respect to each Reporting Person is set forth in Rows 5 through 9 and 11 of each cover page to this Schedule 13G. The ownership percentages are calculated based on 27,471,397 outstanding shares of Common Stock, as of October 22, 2024, as reported in the issuer's Quarterly Report on Form 10-Q filed on October 29, 2024. SPPAM is the investment manager with respect to shares of Common Stock and call options to purchase shares of Common Stock ("Call Options") directly held by Summit Concentrated Growth, SPSO QP, SPSO LP, SPSO Limited and Summit Technology (collectively the "Funds") and a separately managed account. SP is the Managing Member of SPPAM. Summit Concentrated Growth, Summit Technology, and a separately managed account each directly hold shares of Common Stock and Call Options. SPSO Limited, SPSO QP and SPSO LP each directly holds shares of Common Stock. Fund GP is the general partner of Summit Concentrated Growth, SPSO QP, SPSO LP and Summit Technology. GP is the general partner of Fund GP. Philip Furse is the Chief Investment Officer of SPPAM and a Portfolio Manager of SPPAM, with respect to the shares of Common Stock and Call Options directly held by the Funds and the separately managed account of SPPAM. Timothy Albright is a Portfolio Manager of SPPAM with respect to the shares of Common Stock and Call Options directly held by the Funds and the separately managed account of SPPAM. Robert MacAulay is the Chief Risk Officer of SPPAM with respect to the shares of Common Stock and Call Options directly held by the Funds and the separately managed account of SPPAM. Matthew Curtis is a Portfolio Manager of SPPAM with respect to the shares of Common Stock and Call Options directly held by the Funds and the separately managed account of SPPAM. Accordingly, each of the Reporting Persons may be deemed the beneficial owner of the reported securities but the filing of this statement shall not be construed as an admission that any of the Reporting Persons is, for the purpose of 13(d) or 13(g) of the Act, the beneficial owner of any securities covered by this statement. Please note that the Reporting Persons do not have any voting control over any of the securities held by the separately managed account referenced herein. EXHIBIT A JOINT FILING AGREEMENT This will confirm the agreement by and among the undersigned that the Schedule 13G filed with the Securities and Exchange Commission on or about the date hereof with respect to the beneficial ownership by the undersigned of the Common Stock (this "Agreement"), is being filed, and all amendments thereto will be filed, on behalf of each of the persons and entities named below that is named as a reporting person in such filing in accordance with Rule 13d-1(k) under the Securities Exchange Act of 1934, as amended. This Agreement may be executed in two or more counterparts, each of which shall be deemed an original, but all of which together shall constitute one and the same instrument. Joint Filing Agreement dated February 12, 2025, among Summit Partners Public Asset Management, LLC, Summit Partners, L.P., Summit Partners Concentrated Growth L/S Master Fund, L.P., Summit Partners Technology L/S Master Fund, L.P., Summit Partners Sustainable Opportunities L/S Fund Limited, Summit Partners Sustainable Opportunities L/S QP Fund, L.P., Summit Partners Sustainable Opportunities L/S Fund, L.P., Summit Partners Alydar GP, L.P., Summit Partners Alydar GP, LLC, Philip Furse, Timothy Albright, Robert MacAulay and Matthew Curtis. Dated: February 12, 2025 Summit Partners Public Asset Management, LLC Signature: /s/ Adam H. Hennessey Name/Title: Adam H. Hennessey, Authorized Person Summit Partners, L.P. Signature: /s/ Adam H. Hennessey Name/Title: Adam H. Hennessey, Authorized Person Summit Partners Concentrated Growth L/S Master Fund, L.P. Signature: /s/ Adam H. Hennessey Name/Title: Adam H. Hennessey, Authorized Person Summit Partners Technology L/S Master Fund, L.P. Signature: /s/ Adam H. Hennessey Name/Title: Adam H. Hennessey, Authorized Person Summit Partners Sustainable Opportunities L/S Fund Limited Signature: /s/ Adam H. Hennessey Name/Title: Adam H. Hennessey, Authorized Person Summit Partners Sustainable Opportunities L/S QP Fund, L.P. Signature: /s/ Adam H. Hennessey Name/Title: Adam H. Hennessey, Authorized Person Summit Partners Sustainable Opportunities L/S Fund, L.P. Signature: /s/ Adam H. Hennessey Name/Title: Adam H. Hennessey, Authorized Person Summit Partners Alydar GP, L.P. Signature: /s/ Adam H. Hennessey Name/Title: Adam H. Hennessey, Authorized Person Summit Partners Alydar GP, LLC Signature: /s/ Adam H. Hennessey Name/Title: Adam H. Hennessey, Authorized Person Philip Furse Signature: /s/ Adam H. Hennessey Name/Title: Adam H. Hennessey, POA for Philip Furse Timothy Albright Signature: /s/ Adam H. Hennessey Name/Title: Adam H. Hennessey, POA for Timothy Albright Robert MacAulay Signature: /s/ Adam H. Hennessey Name/Title: Adam H. Hennessey, POA for Robert MacAulay Matthew Curtis Signature: /s/ Adam H. Hennessey Name/Title: Adam H. Hennessey, POA for Matthew Curtis EXHIBIT B POWERS OF ATTORNEY Powers of Attorney, dated as of January 31, 2024, (incorporated herein by reference to Exhibit B to that certain Schedule 13G filed on January 31, 2024, with the Securities and Exchange Commission in connection with securities of Klaviyo, Inc.).</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3465</Words>
  <Characters>18487</Characters>
  <CharactersWithSpaces>21687</CharactersWithSpaces>
  <Paragraphs>728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